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C3BD1E" w14:textId="77777777" w:rsidR="003801E8" w:rsidRDefault="00E44AAE">
      <w:pPr>
        <w:spacing w:after="0" w:line="240" w:lineRule="auto"/>
        <w:jc w:val="center"/>
        <w:rPr>
          <w:rFonts w:ascii="Arial" w:hAnsi="Arial" w:cs="Arial"/>
          <w:b/>
          <w:color w:val="002060"/>
          <w:sz w:val="32"/>
          <w:szCs w:val="32"/>
        </w:rPr>
      </w:pPr>
      <w:bookmarkStart w:id="0" w:name="_Hlk175942210"/>
      <w:bookmarkEnd w:id="0"/>
      <w:r>
        <w:rPr>
          <w:rFonts w:ascii="Arial" w:hAnsi="Arial" w:cs="Arial"/>
          <w:b/>
          <w:color w:val="002060"/>
          <w:sz w:val="32"/>
          <w:szCs w:val="32"/>
        </w:rPr>
        <w:t>UNIVERZITET CRNE GORE</w:t>
      </w:r>
    </w:p>
    <w:p w14:paraId="4A3AE963" w14:textId="77777777" w:rsidR="003801E8" w:rsidRDefault="00E44AAE">
      <w:pPr>
        <w:spacing w:after="0" w:line="240" w:lineRule="auto"/>
        <w:jc w:val="center"/>
        <w:rPr>
          <w:rFonts w:ascii="Arial" w:hAnsi="Arial" w:cs="Arial"/>
          <w:b/>
          <w:color w:val="002060"/>
          <w:sz w:val="32"/>
          <w:szCs w:val="32"/>
        </w:rPr>
      </w:pPr>
      <w:r>
        <w:rPr>
          <w:rFonts w:ascii="Arial" w:hAnsi="Arial" w:cs="Arial"/>
          <w:b/>
          <w:color w:val="002060"/>
          <w:sz w:val="32"/>
          <w:szCs w:val="32"/>
        </w:rPr>
        <w:t>BIOTEHNIČKI FAKULTET</w:t>
      </w:r>
    </w:p>
    <w:p w14:paraId="51184B5D" w14:textId="77777777" w:rsidR="003801E8" w:rsidRDefault="003801E8">
      <w:pPr>
        <w:spacing w:after="0" w:line="240" w:lineRule="auto"/>
        <w:rPr>
          <w:rFonts w:ascii="Arial" w:hAnsi="Arial" w:cs="Arial"/>
          <w:b/>
          <w:color w:val="002060"/>
          <w:sz w:val="24"/>
          <w:szCs w:val="24"/>
        </w:rPr>
      </w:pPr>
    </w:p>
    <w:p w14:paraId="2C1004CE" w14:textId="77777777" w:rsidR="003801E8" w:rsidRDefault="003801E8">
      <w:pPr>
        <w:spacing w:after="0" w:line="240" w:lineRule="auto"/>
        <w:rPr>
          <w:rFonts w:ascii="Arial" w:hAnsi="Arial" w:cs="Arial"/>
          <w:b/>
          <w:color w:val="002060"/>
          <w:sz w:val="24"/>
          <w:szCs w:val="24"/>
        </w:rPr>
      </w:pPr>
    </w:p>
    <w:p w14:paraId="7D951A64" w14:textId="77777777" w:rsidR="003801E8" w:rsidRDefault="003801E8">
      <w:pPr>
        <w:spacing w:after="0" w:line="240" w:lineRule="auto"/>
        <w:jc w:val="center"/>
        <w:rPr>
          <w:rFonts w:ascii="Arial" w:hAnsi="Arial" w:cs="Arial"/>
          <w:b/>
          <w:color w:val="002060"/>
          <w:sz w:val="32"/>
          <w:szCs w:val="28"/>
        </w:rPr>
      </w:pPr>
    </w:p>
    <w:p w14:paraId="5C225A13" w14:textId="77777777" w:rsidR="003801E8" w:rsidRDefault="003801E8">
      <w:pPr>
        <w:spacing w:after="0" w:line="240" w:lineRule="auto"/>
        <w:jc w:val="center"/>
        <w:rPr>
          <w:rFonts w:ascii="Arial" w:hAnsi="Arial" w:cs="Arial"/>
          <w:b/>
          <w:color w:val="002060"/>
          <w:sz w:val="32"/>
          <w:szCs w:val="28"/>
        </w:rPr>
      </w:pPr>
    </w:p>
    <w:p w14:paraId="2CE66C89" w14:textId="77777777" w:rsidR="003801E8" w:rsidRDefault="003801E8">
      <w:pPr>
        <w:spacing w:after="0" w:line="240" w:lineRule="auto"/>
        <w:jc w:val="center"/>
        <w:rPr>
          <w:rFonts w:ascii="Arial" w:hAnsi="Arial" w:cs="Arial"/>
          <w:b/>
          <w:color w:val="002060"/>
          <w:sz w:val="32"/>
          <w:szCs w:val="28"/>
        </w:rPr>
      </w:pPr>
    </w:p>
    <w:p w14:paraId="1EDE913F" w14:textId="77777777" w:rsidR="003801E8" w:rsidRDefault="003801E8">
      <w:pPr>
        <w:spacing w:after="0" w:line="240" w:lineRule="auto"/>
        <w:jc w:val="center"/>
        <w:rPr>
          <w:rFonts w:ascii="Arial" w:hAnsi="Arial" w:cs="Arial"/>
          <w:b/>
          <w:color w:val="002060"/>
          <w:sz w:val="32"/>
          <w:szCs w:val="28"/>
        </w:rPr>
      </w:pPr>
    </w:p>
    <w:p w14:paraId="5B76F0AE" w14:textId="77777777" w:rsidR="003801E8" w:rsidRDefault="003801E8">
      <w:pPr>
        <w:spacing w:after="0" w:line="240" w:lineRule="auto"/>
        <w:jc w:val="center"/>
        <w:rPr>
          <w:rFonts w:ascii="Arial" w:hAnsi="Arial" w:cs="Arial"/>
          <w:b/>
          <w:color w:val="002060"/>
          <w:sz w:val="32"/>
          <w:szCs w:val="28"/>
        </w:rPr>
      </w:pPr>
    </w:p>
    <w:p w14:paraId="7CFC3865" w14:textId="77777777" w:rsidR="003801E8" w:rsidRDefault="00E44AAE">
      <w:pPr>
        <w:spacing w:after="0" w:line="240" w:lineRule="auto"/>
        <w:jc w:val="center"/>
        <w:rPr>
          <w:rFonts w:ascii="Arial" w:hAnsi="Arial" w:cs="Arial"/>
          <w:b/>
          <w:color w:val="002060"/>
          <w:sz w:val="32"/>
          <w:szCs w:val="28"/>
        </w:rPr>
      </w:pPr>
      <w:r>
        <w:rPr>
          <w:rFonts w:ascii="Arial" w:hAnsi="Arial" w:cs="Arial"/>
          <w:b/>
          <w:color w:val="002060"/>
          <w:sz w:val="32"/>
          <w:szCs w:val="28"/>
        </w:rPr>
        <w:t>Bogoljub Kandić</w:t>
      </w:r>
    </w:p>
    <w:p w14:paraId="730C7E30" w14:textId="77777777" w:rsidR="003801E8" w:rsidRDefault="003801E8">
      <w:pPr>
        <w:spacing w:after="0" w:line="240" w:lineRule="auto"/>
        <w:rPr>
          <w:rFonts w:ascii="Arial" w:hAnsi="Arial" w:cs="Arial"/>
          <w:b/>
          <w:color w:val="002060"/>
          <w:sz w:val="24"/>
          <w:szCs w:val="24"/>
        </w:rPr>
      </w:pPr>
    </w:p>
    <w:p w14:paraId="4151EF40" w14:textId="77777777" w:rsidR="003801E8" w:rsidRDefault="00E44AAE">
      <w:pPr>
        <w:spacing w:after="0" w:line="240" w:lineRule="auto"/>
        <w:jc w:val="center"/>
        <w:rPr>
          <w:rFonts w:ascii="Arial" w:hAnsi="Arial" w:cs="Arial"/>
          <w:b/>
          <w:color w:val="002060"/>
          <w:sz w:val="44"/>
          <w:szCs w:val="44"/>
        </w:rPr>
      </w:pPr>
      <w:r>
        <w:rPr>
          <w:rFonts w:ascii="Arial" w:hAnsi="Arial" w:cs="Arial"/>
          <w:b/>
          <w:caps/>
          <w:color w:val="002060"/>
          <w:sz w:val="44"/>
          <w:szCs w:val="44"/>
        </w:rPr>
        <w:t xml:space="preserve">ESka oboljenje vinove loze u VINOGRADIMA U Crnoj gori i mogućnosti njenog suzbijanja </w:t>
      </w:r>
    </w:p>
    <w:p w14:paraId="7F542ECE" w14:textId="77777777" w:rsidR="003801E8" w:rsidRDefault="003801E8">
      <w:pPr>
        <w:spacing w:after="0" w:line="240" w:lineRule="auto"/>
        <w:jc w:val="center"/>
        <w:rPr>
          <w:rFonts w:ascii="Arial" w:hAnsi="Arial" w:cs="Arial"/>
          <w:b/>
          <w:color w:val="002060"/>
          <w:sz w:val="44"/>
          <w:szCs w:val="44"/>
        </w:rPr>
      </w:pPr>
    </w:p>
    <w:p w14:paraId="5B949CC1" w14:textId="77777777" w:rsidR="003801E8" w:rsidRDefault="003801E8">
      <w:pPr>
        <w:spacing w:after="0" w:line="240" w:lineRule="auto"/>
        <w:jc w:val="center"/>
        <w:rPr>
          <w:rFonts w:ascii="Arial" w:hAnsi="Arial" w:cs="Arial"/>
          <w:b/>
          <w:color w:val="002060"/>
          <w:sz w:val="24"/>
          <w:szCs w:val="24"/>
        </w:rPr>
      </w:pPr>
    </w:p>
    <w:p w14:paraId="6F4E8522" w14:textId="77777777" w:rsidR="003801E8" w:rsidRDefault="003801E8">
      <w:pPr>
        <w:spacing w:after="0" w:line="240" w:lineRule="auto"/>
        <w:jc w:val="center"/>
        <w:rPr>
          <w:rFonts w:ascii="Arial" w:hAnsi="Arial" w:cs="Arial"/>
          <w:b/>
          <w:color w:val="002060"/>
          <w:sz w:val="24"/>
          <w:szCs w:val="24"/>
        </w:rPr>
      </w:pPr>
    </w:p>
    <w:p w14:paraId="32564E35" w14:textId="77777777" w:rsidR="003801E8" w:rsidRDefault="003801E8">
      <w:pPr>
        <w:spacing w:after="0" w:line="240" w:lineRule="auto"/>
        <w:jc w:val="center"/>
        <w:rPr>
          <w:rFonts w:ascii="Arial" w:hAnsi="Arial" w:cs="Arial"/>
          <w:b/>
          <w:color w:val="002060"/>
          <w:sz w:val="24"/>
          <w:szCs w:val="24"/>
        </w:rPr>
      </w:pPr>
    </w:p>
    <w:p w14:paraId="34030D9D" w14:textId="77777777" w:rsidR="003801E8" w:rsidRDefault="00E44AAE">
      <w:pPr>
        <w:spacing w:after="0" w:line="240" w:lineRule="auto"/>
        <w:jc w:val="center"/>
        <w:rPr>
          <w:rFonts w:ascii="Arial" w:hAnsi="Arial" w:cs="Arial"/>
          <w:b/>
          <w:color w:val="002060"/>
          <w:sz w:val="32"/>
          <w:szCs w:val="28"/>
        </w:rPr>
      </w:pPr>
      <w:r>
        <w:rPr>
          <w:rFonts w:ascii="Arial" w:hAnsi="Arial" w:cs="Arial"/>
          <w:b/>
          <w:color w:val="002060"/>
          <w:sz w:val="32"/>
          <w:szCs w:val="28"/>
        </w:rPr>
        <w:t>Doktorska disertacija</w:t>
      </w:r>
    </w:p>
    <w:p w14:paraId="742E0903" w14:textId="77777777" w:rsidR="003801E8" w:rsidRDefault="003801E8">
      <w:pPr>
        <w:spacing w:after="0" w:line="240" w:lineRule="auto"/>
        <w:rPr>
          <w:rFonts w:ascii="Arial" w:hAnsi="Arial" w:cs="Arial"/>
          <w:b/>
          <w:color w:val="002060"/>
          <w:sz w:val="24"/>
          <w:szCs w:val="24"/>
        </w:rPr>
      </w:pPr>
    </w:p>
    <w:p w14:paraId="251CB526" w14:textId="77777777" w:rsidR="003801E8" w:rsidRDefault="003801E8">
      <w:pPr>
        <w:spacing w:after="0" w:line="240" w:lineRule="auto"/>
        <w:rPr>
          <w:rFonts w:ascii="Arial" w:hAnsi="Arial" w:cs="Arial"/>
          <w:b/>
          <w:color w:val="002060"/>
          <w:sz w:val="24"/>
          <w:szCs w:val="24"/>
        </w:rPr>
      </w:pPr>
    </w:p>
    <w:p w14:paraId="595E2C6C" w14:textId="77777777" w:rsidR="003801E8" w:rsidRDefault="003801E8">
      <w:pPr>
        <w:spacing w:after="0" w:line="240" w:lineRule="auto"/>
        <w:jc w:val="center"/>
        <w:rPr>
          <w:rFonts w:ascii="Arial" w:hAnsi="Arial" w:cs="Arial"/>
          <w:b/>
          <w:color w:val="002060"/>
          <w:sz w:val="28"/>
          <w:szCs w:val="24"/>
        </w:rPr>
      </w:pPr>
    </w:p>
    <w:p w14:paraId="0CDB1F3A" w14:textId="77777777" w:rsidR="003801E8" w:rsidRDefault="003801E8">
      <w:pPr>
        <w:spacing w:after="0" w:line="240" w:lineRule="auto"/>
        <w:jc w:val="center"/>
        <w:rPr>
          <w:rFonts w:ascii="Arial" w:hAnsi="Arial" w:cs="Arial"/>
          <w:b/>
          <w:color w:val="002060"/>
          <w:sz w:val="28"/>
          <w:szCs w:val="24"/>
        </w:rPr>
      </w:pPr>
    </w:p>
    <w:p w14:paraId="4D49AE70" w14:textId="77777777" w:rsidR="003801E8" w:rsidRDefault="003801E8">
      <w:pPr>
        <w:spacing w:after="0" w:line="240" w:lineRule="auto"/>
        <w:jc w:val="center"/>
        <w:rPr>
          <w:rFonts w:ascii="Arial" w:hAnsi="Arial" w:cs="Arial"/>
          <w:b/>
          <w:color w:val="002060"/>
          <w:sz w:val="28"/>
          <w:szCs w:val="24"/>
        </w:rPr>
      </w:pPr>
    </w:p>
    <w:p w14:paraId="1EB5EBA3" w14:textId="77777777" w:rsidR="003801E8" w:rsidRDefault="003801E8">
      <w:pPr>
        <w:spacing w:after="0" w:line="240" w:lineRule="auto"/>
        <w:jc w:val="center"/>
        <w:rPr>
          <w:rFonts w:ascii="Arial" w:hAnsi="Arial" w:cs="Arial"/>
          <w:b/>
          <w:color w:val="002060"/>
          <w:sz w:val="28"/>
          <w:szCs w:val="24"/>
        </w:rPr>
      </w:pPr>
    </w:p>
    <w:p w14:paraId="441D83BD" w14:textId="77777777" w:rsidR="003801E8" w:rsidRDefault="003801E8">
      <w:pPr>
        <w:spacing w:after="0" w:line="240" w:lineRule="auto"/>
        <w:jc w:val="center"/>
        <w:rPr>
          <w:rFonts w:ascii="Arial" w:hAnsi="Arial" w:cs="Arial"/>
          <w:b/>
          <w:color w:val="002060"/>
          <w:sz w:val="28"/>
          <w:szCs w:val="24"/>
        </w:rPr>
      </w:pPr>
    </w:p>
    <w:p w14:paraId="3B53B3FD" w14:textId="77777777" w:rsidR="003801E8" w:rsidRDefault="003801E8">
      <w:pPr>
        <w:spacing w:after="0" w:line="240" w:lineRule="auto"/>
        <w:jc w:val="center"/>
        <w:rPr>
          <w:rFonts w:ascii="Arial" w:hAnsi="Arial" w:cs="Arial"/>
          <w:b/>
          <w:color w:val="002060"/>
          <w:sz w:val="28"/>
          <w:szCs w:val="24"/>
        </w:rPr>
      </w:pPr>
    </w:p>
    <w:p w14:paraId="152CD1F2" w14:textId="77777777" w:rsidR="003801E8" w:rsidRDefault="003801E8">
      <w:pPr>
        <w:spacing w:after="0" w:line="240" w:lineRule="auto"/>
        <w:jc w:val="center"/>
        <w:rPr>
          <w:rFonts w:ascii="Arial" w:hAnsi="Arial" w:cs="Arial"/>
          <w:b/>
          <w:color w:val="002060"/>
          <w:sz w:val="28"/>
          <w:szCs w:val="24"/>
        </w:rPr>
      </w:pPr>
    </w:p>
    <w:p w14:paraId="737EED01" w14:textId="77777777" w:rsidR="003801E8" w:rsidRDefault="003801E8">
      <w:pPr>
        <w:spacing w:after="0" w:line="240" w:lineRule="auto"/>
        <w:jc w:val="center"/>
        <w:rPr>
          <w:rFonts w:ascii="Arial" w:hAnsi="Arial" w:cs="Arial"/>
          <w:b/>
          <w:color w:val="002060"/>
          <w:sz w:val="28"/>
          <w:szCs w:val="24"/>
        </w:rPr>
      </w:pPr>
    </w:p>
    <w:p w14:paraId="67573320" w14:textId="77777777" w:rsidR="003801E8" w:rsidRDefault="003801E8">
      <w:pPr>
        <w:spacing w:after="0" w:line="240" w:lineRule="auto"/>
        <w:jc w:val="center"/>
        <w:rPr>
          <w:rFonts w:ascii="Arial" w:hAnsi="Arial" w:cs="Arial"/>
          <w:b/>
          <w:color w:val="002060"/>
          <w:sz w:val="28"/>
          <w:szCs w:val="24"/>
        </w:rPr>
      </w:pPr>
    </w:p>
    <w:p w14:paraId="175144E5" w14:textId="77777777" w:rsidR="003801E8" w:rsidRDefault="003801E8">
      <w:pPr>
        <w:spacing w:after="0" w:line="240" w:lineRule="auto"/>
        <w:jc w:val="center"/>
        <w:rPr>
          <w:rFonts w:ascii="Arial" w:hAnsi="Arial" w:cs="Arial"/>
          <w:b/>
          <w:color w:val="002060"/>
          <w:sz w:val="28"/>
          <w:szCs w:val="24"/>
        </w:rPr>
      </w:pPr>
    </w:p>
    <w:p w14:paraId="23CCB8BE" w14:textId="77777777" w:rsidR="003801E8" w:rsidRDefault="003801E8">
      <w:pPr>
        <w:spacing w:after="0" w:line="240" w:lineRule="auto"/>
        <w:jc w:val="center"/>
        <w:rPr>
          <w:rFonts w:ascii="Arial" w:hAnsi="Arial" w:cs="Arial"/>
          <w:b/>
          <w:color w:val="002060"/>
          <w:sz w:val="28"/>
          <w:szCs w:val="24"/>
        </w:rPr>
      </w:pPr>
    </w:p>
    <w:p w14:paraId="7FD829A9" w14:textId="77777777" w:rsidR="003801E8" w:rsidRDefault="003801E8">
      <w:pPr>
        <w:spacing w:after="0" w:line="240" w:lineRule="auto"/>
        <w:jc w:val="center"/>
        <w:rPr>
          <w:rFonts w:ascii="Arial" w:hAnsi="Arial" w:cs="Arial"/>
          <w:b/>
          <w:color w:val="002060"/>
          <w:sz w:val="28"/>
          <w:szCs w:val="24"/>
        </w:rPr>
      </w:pPr>
    </w:p>
    <w:p w14:paraId="22C33407" w14:textId="77777777" w:rsidR="003801E8" w:rsidRDefault="003801E8">
      <w:pPr>
        <w:spacing w:after="0" w:line="240" w:lineRule="auto"/>
        <w:jc w:val="center"/>
        <w:rPr>
          <w:rFonts w:ascii="Arial" w:hAnsi="Arial" w:cs="Arial"/>
          <w:b/>
          <w:color w:val="002060"/>
          <w:sz w:val="28"/>
          <w:szCs w:val="24"/>
        </w:rPr>
      </w:pPr>
    </w:p>
    <w:p w14:paraId="35AFBF4B" w14:textId="77777777" w:rsidR="003801E8" w:rsidRDefault="003801E8">
      <w:pPr>
        <w:spacing w:after="0" w:line="240" w:lineRule="auto"/>
        <w:jc w:val="center"/>
        <w:rPr>
          <w:rFonts w:ascii="Arial" w:hAnsi="Arial" w:cs="Arial"/>
          <w:b/>
          <w:color w:val="002060"/>
          <w:sz w:val="28"/>
          <w:szCs w:val="24"/>
        </w:rPr>
      </w:pPr>
    </w:p>
    <w:p w14:paraId="324A766A" w14:textId="77777777" w:rsidR="003801E8" w:rsidRDefault="003801E8">
      <w:pPr>
        <w:spacing w:after="0" w:line="240" w:lineRule="auto"/>
        <w:jc w:val="center"/>
        <w:rPr>
          <w:rFonts w:ascii="Arial" w:hAnsi="Arial" w:cs="Arial"/>
          <w:b/>
          <w:color w:val="002060"/>
          <w:sz w:val="28"/>
          <w:szCs w:val="24"/>
        </w:rPr>
      </w:pPr>
    </w:p>
    <w:p w14:paraId="6DAD9600" w14:textId="77777777" w:rsidR="003801E8" w:rsidRDefault="003801E8">
      <w:pPr>
        <w:spacing w:after="0" w:line="240" w:lineRule="auto"/>
        <w:jc w:val="center"/>
        <w:rPr>
          <w:rFonts w:ascii="Arial" w:hAnsi="Arial" w:cs="Arial"/>
          <w:b/>
          <w:color w:val="002060"/>
          <w:sz w:val="28"/>
          <w:szCs w:val="24"/>
        </w:rPr>
      </w:pPr>
    </w:p>
    <w:p w14:paraId="37606181" w14:textId="77777777" w:rsidR="003801E8" w:rsidRDefault="003801E8">
      <w:pPr>
        <w:spacing w:after="0" w:line="240" w:lineRule="auto"/>
        <w:jc w:val="center"/>
        <w:rPr>
          <w:rFonts w:ascii="Arial" w:hAnsi="Arial" w:cs="Arial"/>
          <w:b/>
          <w:color w:val="002060"/>
          <w:sz w:val="32"/>
          <w:szCs w:val="32"/>
        </w:rPr>
      </w:pPr>
    </w:p>
    <w:p w14:paraId="07897419" w14:textId="77777777" w:rsidR="003801E8" w:rsidRDefault="00E44AAE">
      <w:pPr>
        <w:spacing w:after="0" w:line="240" w:lineRule="auto"/>
        <w:jc w:val="center"/>
        <w:rPr>
          <w:rFonts w:ascii="Arial" w:hAnsi="Arial" w:cs="Arial"/>
          <w:b/>
          <w:color w:val="002060"/>
          <w:sz w:val="28"/>
          <w:szCs w:val="28"/>
        </w:rPr>
      </w:pPr>
      <w:r>
        <w:rPr>
          <w:rFonts w:ascii="Arial" w:hAnsi="Arial" w:cs="Arial"/>
          <w:b/>
          <w:color w:val="002060"/>
          <w:sz w:val="28"/>
          <w:szCs w:val="28"/>
        </w:rPr>
        <w:t>Podgorica, 2025. godine</w:t>
      </w:r>
    </w:p>
    <w:p w14:paraId="3F379B94" w14:textId="77777777" w:rsidR="003801E8" w:rsidRDefault="00E44AAE">
      <w:pPr>
        <w:spacing w:after="0" w:line="240" w:lineRule="auto"/>
        <w:rPr>
          <w:rFonts w:ascii="Arial" w:hAnsi="Arial" w:cs="Arial"/>
          <w:b/>
          <w:color w:val="002060"/>
          <w:sz w:val="32"/>
          <w:szCs w:val="28"/>
        </w:rPr>
      </w:pPr>
      <w:r>
        <w:rPr>
          <w:rFonts w:ascii="Arial" w:hAnsi="Arial" w:cs="Arial"/>
          <w:b/>
          <w:color w:val="002060"/>
          <w:sz w:val="28"/>
          <w:szCs w:val="24"/>
        </w:rPr>
        <w:lastRenderedPageBreak/>
        <w:t xml:space="preserve">                           </w:t>
      </w:r>
      <w:r>
        <w:rPr>
          <w:rFonts w:ascii="Arial" w:hAnsi="Arial" w:cs="Arial"/>
          <w:b/>
          <w:color w:val="002060"/>
          <w:sz w:val="32"/>
          <w:szCs w:val="28"/>
        </w:rPr>
        <w:t>UNIVERSITY OF MONTENEGRO</w:t>
      </w:r>
    </w:p>
    <w:p w14:paraId="535854F5" w14:textId="77777777" w:rsidR="003801E8" w:rsidRDefault="00E44AAE">
      <w:pPr>
        <w:spacing w:after="0" w:line="240" w:lineRule="auto"/>
        <w:jc w:val="center"/>
        <w:rPr>
          <w:rFonts w:ascii="Arial" w:hAnsi="Arial" w:cs="Arial"/>
          <w:b/>
          <w:color w:val="002060"/>
          <w:sz w:val="32"/>
          <w:szCs w:val="28"/>
        </w:rPr>
      </w:pPr>
      <w:r>
        <w:rPr>
          <w:rFonts w:ascii="Arial" w:hAnsi="Arial" w:cs="Arial"/>
          <w:b/>
          <w:color w:val="002060"/>
          <w:sz w:val="32"/>
          <w:szCs w:val="28"/>
        </w:rPr>
        <w:t xml:space="preserve">         BIOTECHNICAL FACULTY</w:t>
      </w:r>
    </w:p>
    <w:p w14:paraId="7EC00CD2" w14:textId="77777777" w:rsidR="003801E8" w:rsidRDefault="003801E8">
      <w:pPr>
        <w:spacing w:after="0" w:line="240" w:lineRule="auto"/>
        <w:rPr>
          <w:rFonts w:ascii="Arial" w:hAnsi="Arial" w:cs="Arial"/>
          <w:b/>
          <w:color w:val="002060"/>
          <w:sz w:val="24"/>
          <w:szCs w:val="32"/>
        </w:rPr>
      </w:pPr>
    </w:p>
    <w:p w14:paraId="28B8E1FB" w14:textId="77777777" w:rsidR="003801E8" w:rsidRDefault="003801E8">
      <w:pPr>
        <w:spacing w:after="0" w:line="240" w:lineRule="auto"/>
        <w:rPr>
          <w:rFonts w:ascii="Arial" w:hAnsi="Arial" w:cs="Arial"/>
          <w:b/>
          <w:color w:val="002060"/>
          <w:sz w:val="24"/>
          <w:szCs w:val="32"/>
        </w:rPr>
      </w:pPr>
    </w:p>
    <w:p w14:paraId="57C2203E" w14:textId="77777777" w:rsidR="003801E8" w:rsidRDefault="003801E8">
      <w:pPr>
        <w:spacing w:after="0" w:line="240" w:lineRule="auto"/>
        <w:jc w:val="center"/>
        <w:rPr>
          <w:rFonts w:ascii="Arial" w:hAnsi="Arial" w:cs="Arial"/>
          <w:b/>
          <w:color w:val="002060"/>
          <w:sz w:val="32"/>
          <w:szCs w:val="28"/>
        </w:rPr>
      </w:pPr>
    </w:p>
    <w:p w14:paraId="4D5BBDFE" w14:textId="77777777" w:rsidR="003801E8" w:rsidRDefault="003801E8">
      <w:pPr>
        <w:spacing w:after="0" w:line="240" w:lineRule="auto"/>
        <w:jc w:val="center"/>
        <w:rPr>
          <w:rFonts w:ascii="Arial" w:hAnsi="Arial" w:cs="Arial"/>
          <w:b/>
          <w:color w:val="002060"/>
          <w:sz w:val="32"/>
          <w:szCs w:val="28"/>
        </w:rPr>
      </w:pPr>
    </w:p>
    <w:p w14:paraId="5394A073" w14:textId="77777777" w:rsidR="003801E8" w:rsidRDefault="003801E8">
      <w:pPr>
        <w:spacing w:after="0" w:line="240" w:lineRule="auto"/>
        <w:jc w:val="center"/>
        <w:rPr>
          <w:rFonts w:ascii="Arial" w:hAnsi="Arial" w:cs="Arial"/>
          <w:b/>
          <w:color w:val="002060"/>
          <w:sz w:val="32"/>
          <w:szCs w:val="28"/>
        </w:rPr>
      </w:pPr>
    </w:p>
    <w:p w14:paraId="07DC3A31" w14:textId="77777777" w:rsidR="003801E8" w:rsidRDefault="003801E8">
      <w:pPr>
        <w:spacing w:after="0" w:line="240" w:lineRule="auto"/>
        <w:jc w:val="center"/>
        <w:rPr>
          <w:rFonts w:ascii="Arial" w:hAnsi="Arial" w:cs="Arial"/>
          <w:b/>
          <w:color w:val="002060"/>
          <w:sz w:val="32"/>
          <w:szCs w:val="28"/>
        </w:rPr>
      </w:pPr>
    </w:p>
    <w:p w14:paraId="26B1182F" w14:textId="77777777" w:rsidR="003801E8" w:rsidRDefault="003801E8">
      <w:pPr>
        <w:spacing w:after="0" w:line="240" w:lineRule="auto"/>
        <w:jc w:val="center"/>
        <w:rPr>
          <w:rFonts w:ascii="Arial" w:hAnsi="Arial" w:cs="Arial"/>
          <w:b/>
          <w:color w:val="002060"/>
          <w:sz w:val="32"/>
          <w:szCs w:val="28"/>
        </w:rPr>
      </w:pPr>
    </w:p>
    <w:p w14:paraId="72F98742" w14:textId="77777777" w:rsidR="003801E8" w:rsidRDefault="00E44AAE">
      <w:pPr>
        <w:spacing w:after="0" w:line="240" w:lineRule="auto"/>
        <w:jc w:val="center"/>
        <w:rPr>
          <w:rFonts w:ascii="Arial" w:hAnsi="Arial" w:cs="Arial"/>
          <w:b/>
          <w:color w:val="002060"/>
          <w:sz w:val="32"/>
          <w:szCs w:val="28"/>
        </w:rPr>
      </w:pPr>
      <w:r>
        <w:rPr>
          <w:rFonts w:ascii="Arial" w:hAnsi="Arial" w:cs="Arial"/>
          <w:b/>
          <w:color w:val="002060"/>
          <w:sz w:val="32"/>
          <w:szCs w:val="28"/>
        </w:rPr>
        <w:t>Bogoljub Kandić</w:t>
      </w:r>
    </w:p>
    <w:p w14:paraId="69C6D40D" w14:textId="77777777" w:rsidR="003801E8" w:rsidRDefault="003801E8">
      <w:pPr>
        <w:spacing w:after="0" w:line="240" w:lineRule="auto"/>
        <w:rPr>
          <w:rFonts w:ascii="Arial" w:hAnsi="Arial" w:cs="Arial"/>
          <w:b/>
          <w:color w:val="002060"/>
          <w:sz w:val="24"/>
          <w:szCs w:val="24"/>
        </w:rPr>
      </w:pPr>
    </w:p>
    <w:p w14:paraId="0BC1F847" w14:textId="77777777" w:rsidR="003801E8" w:rsidRDefault="00E44AAE">
      <w:pPr>
        <w:spacing w:after="0" w:line="240" w:lineRule="auto"/>
        <w:jc w:val="center"/>
        <w:rPr>
          <w:rFonts w:ascii="Arial" w:hAnsi="Arial" w:cs="Arial"/>
          <w:b/>
          <w:color w:val="002060"/>
          <w:sz w:val="44"/>
          <w:szCs w:val="44"/>
        </w:rPr>
      </w:pPr>
      <w:r>
        <w:rPr>
          <w:rFonts w:ascii="Arial" w:hAnsi="Arial" w:cs="Arial"/>
          <w:b/>
          <w:caps/>
          <w:color w:val="002060"/>
          <w:sz w:val="44"/>
          <w:szCs w:val="44"/>
        </w:rPr>
        <w:t>ESCA DISEASE OF grapeVINE IN VINEYARDS OF MONTENEGRO AND POSSIBILITIES FOR ITS CONTROL</w:t>
      </w:r>
    </w:p>
    <w:p w14:paraId="2B5E7171" w14:textId="77777777" w:rsidR="003801E8" w:rsidRDefault="003801E8">
      <w:pPr>
        <w:spacing w:after="0" w:line="240" w:lineRule="auto"/>
        <w:jc w:val="center"/>
        <w:rPr>
          <w:rFonts w:ascii="Arial" w:hAnsi="Arial" w:cs="Arial"/>
          <w:b/>
          <w:color w:val="002060"/>
          <w:sz w:val="24"/>
          <w:szCs w:val="24"/>
        </w:rPr>
      </w:pPr>
    </w:p>
    <w:p w14:paraId="6132D7FC" w14:textId="77777777" w:rsidR="003801E8" w:rsidRDefault="003801E8">
      <w:pPr>
        <w:spacing w:after="0" w:line="240" w:lineRule="auto"/>
        <w:jc w:val="center"/>
        <w:rPr>
          <w:rFonts w:ascii="Arial" w:hAnsi="Arial" w:cs="Arial"/>
          <w:b/>
          <w:color w:val="002060"/>
          <w:sz w:val="32"/>
          <w:szCs w:val="28"/>
        </w:rPr>
      </w:pPr>
    </w:p>
    <w:p w14:paraId="7694D9E0" w14:textId="77777777" w:rsidR="003801E8" w:rsidRDefault="003801E8">
      <w:pPr>
        <w:spacing w:after="0" w:line="240" w:lineRule="auto"/>
        <w:jc w:val="center"/>
        <w:rPr>
          <w:rFonts w:ascii="Arial" w:hAnsi="Arial" w:cs="Arial"/>
          <w:b/>
          <w:color w:val="002060"/>
          <w:sz w:val="32"/>
          <w:szCs w:val="28"/>
        </w:rPr>
      </w:pPr>
    </w:p>
    <w:p w14:paraId="477765D4" w14:textId="77777777" w:rsidR="003801E8" w:rsidRDefault="00E44AAE">
      <w:pPr>
        <w:spacing w:after="0" w:line="240" w:lineRule="auto"/>
        <w:jc w:val="center"/>
        <w:rPr>
          <w:rFonts w:ascii="Arial" w:hAnsi="Arial" w:cs="Arial"/>
          <w:b/>
          <w:color w:val="002060"/>
          <w:sz w:val="32"/>
          <w:szCs w:val="28"/>
        </w:rPr>
      </w:pPr>
      <w:r>
        <w:rPr>
          <w:rFonts w:ascii="Arial" w:hAnsi="Arial" w:cs="Arial"/>
          <w:b/>
          <w:color w:val="002060"/>
          <w:sz w:val="32"/>
          <w:szCs w:val="28"/>
        </w:rPr>
        <w:t>Ph.D. dissertation</w:t>
      </w:r>
    </w:p>
    <w:p w14:paraId="4A8A4ECE" w14:textId="77777777" w:rsidR="003801E8" w:rsidRDefault="003801E8">
      <w:pPr>
        <w:spacing w:after="0" w:line="240" w:lineRule="auto"/>
        <w:jc w:val="center"/>
        <w:rPr>
          <w:rFonts w:ascii="Arial" w:hAnsi="Arial" w:cs="Arial"/>
          <w:b/>
          <w:color w:val="002060"/>
          <w:sz w:val="24"/>
        </w:rPr>
      </w:pPr>
    </w:p>
    <w:p w14:paraId="36FE180B" w14:textId="77777777" w:rsidR="003801E8" w:rsidRDefault="003801E8">
      <w:pPr>
        <w:spacing w:after="0" w:line="240" w:lineRule="auto"/>
        <w:jc w:val="center"/>
        <w:rPr>
          <w:rFonts w:ascii="Arial" w:hAnsi="Arial" w:cs="Arial"/>
          <w:b/>
          <w:color w:val="002060"/>
          <w:sz w:val="24"/>
        </w:rPr>
      </w:pPr>
    </w:p>
    <w:p w14:paraId="4CED245A" w14:textId="77777777" w:rsidR="003801E8" w:rsidRDefault="003801E8">
      <w:pPr>
        <w:spacing w:after="0" w:line="240" w:lineRule="auto"/>
        <w:jc w:val="center"/>
        <w:rPr>
          <w:rFonts w:ascii="Arial" w:hAnsi="Arial" w:cs="Arial"/>
          <w:b/>
          <w:color w:val="002060"/>
          <w:sz w:val="28"/>
          <w:szCs w:val="24"/>
        </w:rPr>
      </w:pPr>
    </w:p>
    <w:p w14:paraId="4098800A" w14:textId="77777777" w:rsidR="003801E8" w:rsidRDefault="003801E8">
      <w:pPr>
        <w:spacing w:after="0" w:line="240" w:lineRule="auto"/>
        <w:jc w:val="center"/>
        <w:rPr>
          <w:rFonts w:ascii="Arial" w:hAnsi="Arial" w:cs="Arial"/>
          <w:b/>
          <w:color w:val="002060"/>
          <w:sz w:val="28"/>
          <w:szCs w:val="24"/>
        </w:rPr>
      </w:pPr>
    </w:p>
    <w:p w14:paraId="3574D653" w14:textId="77777777" w:rsidR="003801E8" w:rsidRDefault="003801E8">
      <w:pPr>
        <w:spacing w:after="0" w:line="240" w:lineRule="auto"/>
        <w:jc w:val="center"/>
        <w:rPr>
          <w:rFonts w:ascii="Arial" w:hAnsi="Arial" w:cs="Arial"/>
          <w:b/>
          <w:color w:val="002060"/>
          <w:sz w:val="28"/>
          <w:szCs w:val="24"/>
        </w:rPr>
      </w:pPr>
    </w:p>
    <w:p w14:paraId="5E4F0E0F" w14:textId="77777777" w:rsidR="003801E8" w:rsidRDefault="003801E8">
      <w:pPr>
        <w:spacing w:after="0" w:line="240" w:lineRule="auto"/>
        <w:jc w:val="center"/>
        <w:rPr>
          <w:rFonts w:ascii="Arial" w:hAnsi="Arial" w:cs="Arial"/>
          <w:b/>
          <w:color w:val="002060"/>
          <w:sz w:val="28"/>
          <w:szCs w:val="24"/>
        </w:rPr>
      </w:pPr>
    </w:p>
    <w:p w14:paraId="19DB4279" w14:textId="77777777" w:rsidR="003801E8" w:rsidRDefault="003801E8">
      <w:pPr>
        <w:spacing w:after="0" w:line="240" w:lineRule="auto"/>
        <w:jc w:val="center"/>
        <w:rPr>
          <w:rFonts w:ascii="Arial" w:hAnsi="Arial" w:cs="Arial"/>
          <w:b/>
          <w:color w:val="002060"/>
          <w:sz w:val="28"/>
          <w:szCs w:val="24"/>
        </w:rPr>
      </w:pPr>
    </w:p>
    <w:p w14:paraId="0B91DA73" w14:textId="77777777" w:rsidR="003801E8" w:rsidRDefault="003801E8">
      <w:pPr>
        <w:spacing w:after="0" w:line="240" w:lineRule="auto"/>
        <w:jc w:val="center"/>
        <w:rPr>
          <w:rFonts w:ascii="Arial" w:hAnsi="Arial" w:cs="Arial"/>
          <w:b/>
          <w:color w:val="002060"/>
          <w:sz w:val="28"/>
          <w:szCs w:val="24"/>
        </w:rPr>
      </w:pPr>
    </w:p>
    <w:p w14:paraId="757633FB" w14:textId="77777777" w:rsidR="003801E8" w:rsidRDefault="003801E8">
      <w:pPr>
        <w:spacing w:after="0" w:line="240" w:lineRule="auto"/>
        <w:jc w:val="center"/>
        <w:rPr>
          <w:rFonts w:ascii="Arial" w:hAnsi="Arial" w:cs="Arial"/>
          <w:b/>
          <w:color w:val="002060"/>
          <w:sz w:val="28"/>
          <w:szCs w:val="24"/>
        </w:rPr>
      </w:pPr>
    </w:p>
    <w:p w14:paraId="52B52BF4" w14:textId="77777777" w:rsidR="003801E8" w:rsidRDefault="003801E8">
      <w:pPr>
        <w:spacing w:after="0" w:line="240" w:lineRule="auto"/>
        <w:jc w:val="center"/>
        <w:rPr>
          <w:rFonts w:ascii="Arial" w:hAnsi="Arial" w:cs="Arial"/>
          <w:b/>
          <w:color w:val="002060"/>
          <w:sz w:val="28"/>
          <w:szCs w:val="24"/>
        </w:rPr>
      </w:pPr>
    </w:p>
    <w:p w14:paraId="0B640E94" w14:textId="77777777" w:rsidR="003801E8" w:rsidRDefault="003801E8">
      <w:pPr>
        <w:spacing w:after="0" w:line="240" w:lineRule="auto"/>
        <w:jc w:val="center"/>
        <w:rPr>
          <w:rFonts w:ascii="Arial" w:hAnsi="Arial" w:cs="Arial"/>
          <w:b/>
          <w:color w:val="002060"/>
          <w:sz w:val="28"/>
          <w:szCs w:val="24"/>
        </w:rPr>
      </w:pPr>
    </w:p>
    <w:p w14:paraId="188FFC90" w14:textId="77777777" w:rsidR="003801E8" w:rsidRDefault="003801E8">
      <w:pPr>
        <w:spacing w:after="0" w:line="240" w:lineRule="auto"/>
        <w:jc w:val="center"/>
        <w:rPr>
          <w:rFonts w:ascii="Arial" w:hAnsi="Arial" w:cs="Arial"/>
          <w:b/>
          <w:color w:val="002060"/>
          <w:sz w:val="28"/>
          <w:szCs w:val="24"/>
        </w:rPr>
      </w:pPr>
    </w:p>
    <w:p w14:paraId="66D8EE03" w14:textId="77777777" w:rsidR="003801E8" w:rsidRDefault="003801E8">
      <w:pPr>
        <w:spacing w:after="0" w:line="240" w:lineRule="auto"/>
        <w:jc w:val="center"/>
        <w:rPr>
          <w:rFonts w:ascii="Arial" w:hAnsi="Arial" w:cs="Arial"/>
          <w:b/>
          <w:color w:val="002060"/>
          <w:sz w:val="28"/>
          <w:szCs w:val="24"/>
        </w:rPr>
      </w:pPr>
    </w:p>
    <w:p w14:paraId="2B2FD0CB" w14:textId="77777777" w:rsidR="003801E8" w:rsidRDefault="003801E8">
      <w:pPr>
        <w:spacing w:after="0" w:line="240" w:lineRule="auto"/>
        <w:jc w:val="center"/>
        <w:rPr>
          <w:rFonts w:ascii="Arial" w:hAnsi="Arial" w:cs="Arial"/>
          <w:b/>
          <w:color w:val="002060"/>
          <w:sz w:val="28"/>
          <w:szCs w:val="24"/>
        </w:rPr>
      </w:pPr>
    </w:p>
    <w:p w14:paraId="6469BE35" w14:textId="77777777" w:rsidR="003801E8" w:rsidRDefault="003801E8">
      <w:pPr>
        <w:spacing w:after="0" w:line="240" w:lineRule="auto"/>
        <w:jc w:val="center"/>
        <w:rPr>
          <w:rFonts w:ascii="Arial" w:hAnsi="Arial" w:cs="Arial"/>
          <w:b/>
          <w:color w:val="002060"/>
          <w:sz w:val="28"/>
          <w:szCs w:val="24"/>
        </w:rPr>
      </w:pPr>
    </w:p>
    <w:p w14:paraId="47B2D583" w14:textId="77777777" w:rsidR="003801E8" w:rsidRDefault="003801E8">
      <w:pPr>
        <w:spacing w:after="0" w:line="240" w:lineRule="auto"/>
        <w:jc w:val="center"/>
        <w:rPr>
          <w:rFonts w:ascii="Arial" w:hAnsi="Arial" w:cs="Arial"/>
          <w:b/>
          <w:color w:val="002060"/>
          <w:sz w:val="28"/>
          <w:szCs w:val="24"/>
        </w:rPr>
      </w:pPr>
    </w:p>
    <w:p w14:paraId="32B5EFC3" w14:textId="77777777" w:rsidR="003801E8" w:rsidRDefault="003801E8">
      <w:pPr>
        <w:spacing w:after="0" w:line="240" w:lineRule="auto"/>
        <w:jc w:val="center"/>
        <w:rPr>
          <w:rFonts w:ascii="Arial" w:hAnsi="Arial" w:cs="Arial"/>
          <w:b/>
          <w:color w:val="002060"/>
          <w:sz w:val="28"/>
          <w:szCs w:val="24"/>
        </w:rPr>
      </w:pPr>
    </w:p>
    <w:p w14:paraId="08BBD845" w14:textId="77777777" w:rsidR="003801E8" w:rsidRDefault="003801E8">
      <w:pPr>
        <w:spacing w:after="0" w:line="240" w:lineRule="auto"/>
        <w:jc w:val="center"/>
        <w:rPr>
          <w:rFonts w:ascii="Arial" w:hAnsi="Arial" w:cs="Arial"/>
          <w:b/>
          <w:color w:val="002060"/>
          <w:sz w:val="28"/>
          <w:szCs w:val="24"/>
        </w:rPr>
      </w:pPr>
    </w:p>
    <w:p w14:paraId="29648D09" w14:textId="77777777" w:rsidR="003801E8" w:rsidRDefault="00E44AAE">
      <w:pPr>
        <w:spacing w:after="0" w:line="240" w:lineRule="auto"/>
        <w:jc w:val="center"/>
        <w:rPr>
          <w:rFonts w:ascii="Arial" w:hAnsi="Arial" w:cs="Arial"/>
          <w:b/>
          <w:color w:val="002060"/>
          <w:sz w:val="28"/>
          <w:szCs w:val="24"/>
        </w:rPr>
      </w:pPr>
      <w:r>
        <w:rPr>
          <w:rFonts w:ascii="Arial" w:hAnsi="Arial" w:cs="Arial"/>
          <w:b/>
          <w:color w:val="002060"/>
          <w:sz w:val="28"/>
          <w:szCs w:val="24"/>
        </w:rPr>
        <w:t>Podgorica, 2025</w:t>
      </w:r>
    </w:p>
    <w:p w14:paraId="11834E11" w14:textId="77777777" w:rsidR="003801E8" w:rsidRDefault="003801E8">
      <w:pPr>
        <w:spacing w:after="0" w:line="240" w:lineRule="auto"/>
        <w:jc w:val="center"/>
        <w:rPr>
          <w:rFonts w:ascii="Arial" w:hAnsi="Arial" w:cs="Arial"/>
          <w:b/>
          <w:color w:val="002060"/>
          <w:sz w:val="28"/>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5"/>
        <w:gridCol w:w="5729"/>
      </w:tblGrid>
      <w:tr w:rsidR="003801E8" w14:paraId="1ABE96D7" w14:textId="77777777">
        <w:tc>
          <w:tcPr>
            <w:tcW w:w="2775" w:type="dxa"/>
          </w:tcPr>
          <w:p w14:paraId="755693B3" w14:textId="77777777" w:rsidR="003801E8" w:rsidRDefault="00E44AAE">
            <w:pPr>
              <w:spacing w:after="0" w:line="360" w:lineRule="auto"/>
              <w:jc w:val="both"/>
              <w:rPr>
                <w:rFonts w:ascii="Book Antiqua" w:hAnsi="Book Antiqua" w:cs="Times New Roman"/>
                <w:b/>
                <w:color w:val="002060"/>
                <w:sz w:val="24"/>
                <w:szCs w:val="24"/>
              </w:rPr>
            </w:pPr>
            <w:r>
              <w:rPr>
                <w:rFonts w:ascii="Book Antiqua" w:hAnsi="Book Antiqua" w:cs="Times New Roman"/>
                <w:b/>
                <w:color w:val="002060"/>
                <w:sz w:val="24"/>
                <w:szCs w:val="24"/>
              </w:rPr>
              <w:lastRenderedPageBreak/>
              <w:t>Doktorand</w:t>
            </w:r>
          </w:p>
        </w:tc>
        <w:tc>
          <w:tcPr>
            <w:tcW w:w="5729" w:type="dxa"/>
          </w:tcPr>
          <w:p w14:paraId="156D3CB5" w14:textId="77777777" w:rsidR="003801E8" w:rsidRDefault="003801E8">
            <w:pPr>
              <w:spacing w:after="0" w:line="360" w:lineRule="auto"/>
              <w:jc w:val="both"/>
              <w:rPr>
                <w:rFonts w:ascii="Book Antiqua" w:hAnsi="Book Antiqua" w:cs="Times New Roman"/>
                <w:color w:val="002060"/>
                <w:sz w:val="24"/>
                <w:szCs w:val="24"/>
              </w:rPr>
            </w:pPr>
          </w:p>
        </w:tc>
      </w:tr>
      <w:tr w:rsidR="003801E8" w14:paraId="588A590B" w14:textId="77777777">
        <w:tc>
          <w:tcPr>
            <w:tcW w:w="2775" w:type="dxa"/>
          </w:tcPr>
          <w:p w14:paraId="1CAD7A98" w14:textId="77777777" w:rsidR="003801E8" w:rsidRDefault="00E44AAE">
            <w:pPr>
              <w:spacing w:after="100" w:line="360" w:lineRule="auto"/>
              <w:jc w:val="both"/>
              <w:rPr>
                <w:rFonts w:ascii="Book Antiqua" w:hAnsi="Book Antiqua" w:cs="Times New Roman"/>
                <w:sz w:val="24"/>
                <w:szCs w:val="24"/>
              </w:rPr>
            </w:pPr>
            <w:r>
              <w:rPr>
                <w:rFonts w:ascii="Book Antiqua" w:hAnsi="Book Antiqua" w:cs="Times New Roman"/>
                <w:sz w:val="24"/>
                <w:szCs w:val="24"/>
              </w:rPr>
              <w:t>Ime i prezime:</w:t>
            </w:r>
          </w:p>
        </w:tc>
        <w:tc>
          <w:tcPr>
            <w:tcW w:w="5729" w:type="dxa"/>
          </w:tcPr>
          <w:p w14:paraId="4644CD72" w14:textId="77777777" w:rsidR="003801E8" w:rsidRDefault="00E44AAE">
            <w:pPr>
              <w:spacing w:after="100" w:line="360" w:lineRule="auto"/>
              <w:jc w:val="both"/>
              <w:rPr>
                <w:rFonts w:ascii="Book Antiqua" w:hAnsi="Book Antiqua" w:cs="Times New Roman"/>
                <w:sz w:val="24"/>
                <w:szCs w:val="24"/>
              </w:rPr>
            </w:pPr>
            <w:r>
              <w:rPr>
                <w:rFonts w:ascii="Book Antiqua" w:hAnsi="Book Antiqua" w:cs="Times New Roman"/>
                <w:sz w:val="24"/>
                <w:szCs w:val="24"/>
              </w:rPr>
              <w:t>Bogoljub Kandić</w:t>
            </w:r>
          </w:p>
        </w:tc>
      </w:tr>
      <w:tr w:rsidR="003801E8" w14:paraId="0E6373B6" w14:textId="77777777">
        <w:tc>
          <w:tcPr>
            <w:tcW w:w="2775" w:type="dxa"/>
          </w:tcPr>
          <w:p w14:paraId="4E86D18A" w14:textId="77777777" w:rsidR="003801E8" w:rsidRDefault="00E44AAE">
            <w:pPr>
              <w:spacing w:after="100" w:line="360" w:lineRule="auto"/>
              <w:jc w:val="both"/>
              <w:rPr>
                <w:rFonts w:ascii="Book Antiqua" w:hAnsi="Book Antiqua" w:cs="Times New Roman"/>
                <w:sz w:val="24"/>
                <w:szCs w:val="24"/>
              </w:rPr>
            </w:pPr>
            <w:r>
              <w:rPr>
                <w:rFonts w:ascii="Book Antiqua" w:hAnsi="Book Antiqua" w:cs="Times New Roman"/>
                <w:sz w:val="24"/>
                <w:szCs w:val="24"/>
              </w:rPr>
              <w:t>Datum i mjesto rođenja:</w:t>
            </w:r>
          </w:p>
        </w:tc>
        <w:tc>
          <w:tcPr>
            <w:tcW w:w="5729" w:type="dxa"/>
          </w:tcPr>
          <w:p w14:paraId="25216D1B" w14:textId="77777777" w:rsidR="003801E8" w:rsidRDefault="00E44AAE">
            <w:pPr>
              <w:spacing w:after="100" w:line="360" w:lineRule="auto"/>
              <w:jc w:val="both"/>
              <w:rPr>
                <w:rFonts w:ascii="Book Antiqua" w:hAnsi="Book Antiqua" w:cs="Times New Roman"/>
                <w:sz w:val="24"/>
                <w:szCs w:val="24"/>
              </w:rPr>
            </w:pPr>
            <w:r>
              <w:rPr>
                <w:rFonts w:ascii="Book Antiqua" w:hAnsi="Book Antiqua" w:cs="Times New Roman"/>
                <w:sz w:val="24"/>
                <w:szCs w:val="24"/>
              </w:rPr>
              <w:t>06. 03. 1990. godine, Nikšić</w:t>
            </w:r>
          </w:p>
        </w:tc>
      </w:tr>
      <w:tr w:rsidR="003801E8" w14:paraId="3101B416" w14:textId="77777777">
        <w:tc>
          <w:tcPr>
            <w:tcW w:w="2775" w:type="dxa"/>
          </w:tcPr>
          <w:p w14:paraId="185ACADC" w14:textId="77777777" w:rsidR="003801E8" w:rsidRDefault="00E44AAE">
            <w:pPr>
              <w:spacing w:after="0" w:line="360" w:lineRule="auto"/>
              <w:jc w:val="both"/>
              <w:rPr>
                <w:rFonts w:ascii="Book Antiqua" w:hAnsi="Book Antiqua" w:cs="Times New Roman"/>
                <w:sz w:val="24"/>
                <w:szCs w:val="24"/>
              </w:rPr>
            </w:pPr>
            <w:r>
              <w:rPr>
                <w:rFonts w:ascii="Book Antiqua" w:hAnsi="Book Antiqua" w:cs="Times New Roman"/>
                <w:sz w:val="24"/>
                <w:szCs w:val="24"/>
              </w:rPr>
              <w:t>Postdiplomske studije:</w:t>
            </w:r>
          </w:p>
        </w:tc>
        <w:tc>
          <w:tcPr>
            <w:tcW w:w="5729" w:type="dxa"/>
          </w:tcPr>
          <w:p w14:paraId="6E25272C" w14:textId="77777777" w:rsidR="003801E8" w:rsidRDefault="00E44AAE">
            <w:pPr>
              <w:spacing w:after="0" w:line="360" w:lineRule="auto"/>
              <w:jc w:val="both"/>
              <w:rPr>
                <w:rFonts w:ascii="Book Antiqua" w:hAnsi="Book Antiqua" w:cs="Times New Roman"/>
                <w:sz w:val="24"/>
                <w:szCs w:val="24"/>
              </w:rPr>
            </w:pPr>
            <w:r>
              <w:rPr>
                <w:rFonts w:ascii="Book Antiqua" w:hAnsi="Book Antiqua" w:cs="Times New Roman"/>
                <w:sz w:val="24"/>
                <w:szCs w:val="24"/>
              </w:rPr>
              <w:t xml:space="preserve">Biotehnički fakultet, Univerzitet Crne Gore, Podgorica </w:t>
            </w:r>
          </w:p>
          <w:p w14:paraId="225CA73E" w14:textId="77777777" w:rsidR="003801E8" w:rsidRDefault="00E44AAE">
            <w:pPr>
              <w:spacing w:after="0" w:line="360" w:lineRule="auto"/>
              <w:jc w:val="both"/>
              <w:rPr>
                <w:rFonts w:ascii="Book Antiqua" w:hAnsi="Book Antiqua" w:cs="Times New Roman"/>
                <w:sz w:val="24"/>
                <w:szCs w:val="24"/>
              </w:rPr>
            </w:pPr>
            <w:r>
              <w:rPr>
                <w:rFonts w:ascii="Book Antiqua" w:hAnsi="Book Antiqua" w:cs="Times New Roman"/>
                <w:sz w:val="24"/>
                <w:szCs w:val="24"/>
              </w:rPr>
              <w:t xml:space="preserve">Magistar nauka (120 ECTS), </w:t>
            </w:r>
            <w:r>
              <w:rPr>
                <w:rFonts w:ascii="Book Antiqua" w:hAnsi="Book Antiqua" w:cs="Times New Roman"/>
                <w:i/>
                <w:sz w:val="24"/>
                <w:szCs w:val="24"/>
              </w:rPr>
              <w:t xml:space="preserve">cum maxima laude, </w:t>
            </w:r>
            <w:r>
              <w:rPr>
                <w:rFonts w:ascii="Book Antiqua" w:hAnsi="Book Antiqua" w:cs="Times New Roman"/>
                <w:iCs/>
                <w:sz w:val="24"/>
                <w:szCs w:val="24"/>
              </w:rPr>
              <w:t>2016</w:t>
            </w:r>
          </w:p>
          <w:p w14:paraId="5788AA7F" w14:textId="77777777" w:rsidR="003801E8" w:rsidRDefault="00E44AAE">
            <w:pPr>
              <w:spacing w:after="0" w:line="360" w:lineRule="auto"/>
              <w:jc w:val="both"/>
              <w:rPr>
                <w:rFonts w:ascii="Book Antiqua" w:hAnsi="Book Antiqua" w:cs="Times New Roman"/>
                <w:sz w:val="24"/>
                <w:szCs w:val="24"/>
              </w:rPr>
            </w:pPr>
            <w:r>
              <w:rPr>
                <w:rFonts w:ascii="Book Antiqua" w:hAnsi="Book Antiqua" w:cs="Times New Roman"/>
                <w:sz w:val="24"/>
                <w:szCs w:val="24"/>
              </w:rPr>
              <w:t xml:space="preserve">Studijski program: Zaštita bilja </w:t>
            </w:r>
          </w:p>
        </w:tc>
      </w:tr>
      <w:tr w:rsidR="003801E8" w14:paraId="5CD6CCA7" w14:textId="77777777">
        <w:tc>
          <w:tcPr>
            <w:tcW w:w="8504" w:type="dxa"/>
            <w:gridSpan w:val="2"/>
          </w:tcPr>
          <w:p w14:paraId="296683B0" w14:textId="77777777" w:rsidR="003801E8" w:rsidRDefault="003801E8">
            <w:pPr>
              <w:spacing w:after="0" w:line="360" w:lineRule="auto"/>
              <w:jc w:val="both"/>
              <w:rPr>
                <w:rFonts w:ascii="Book Antiqua" w:hAnsi="Book Antiqua" w:cs="Times New Roman"/>
                <w:color w:val="2F5496" w:themeColor="accent1" w:themeShade="BF"/>
                <w:sz w:val="24"/>
                <w:szCs w:val="24"/>
              </w:rPr>
            </w:pPr>
          </w:p>
        </w:tc>
      </w:tr>
      <w:tr w:rsidR="003801E8" w14:paraId="2C1A8C56" w14:textId="77777777">
        <w:tc>
          <w:tcPr>
            <w:tcW w:w="2775" w:type="dxa"/>
          </w:tcPr>
          <w:p w14:paraId="37761B14" w14:textId="77777777" w:rsidR="003801E8" w:rsidRDefault="00E44AAE">
            <w:pPr>
              <w:spacing w:after="0" w:line="360" w:lineRule="auto"/>
              <w:jc w:val="both"/>
              <w:rPr>
                <w:rFonts w:ascii="Book Antiqua" w:hAnsi="Book Antiqua" w:cs="Times New Roman"/>
                <w:sz w:val="24"/>
                <w:szCs w:val="24"/>
              </w:rPr>
            </w:pPr>
            <w:r>
              <w:rPr>
                <w:rFonts w:ascii="Book Antiqua" w:hAnsi="Book Antiqua" w:cs="Times New Roman"/>
                <w:b/>
                <w:color w:val="002060"/>
                <w:sz w:val="24"/>
                <w:szCs w:val="24"/>
              </w:rPr>
              <w:t>Mentor</w:t>
            </w:r>
          </w:p>
        </w:tc>
        <w:tc>
          <w:tcPr>
            <w:tcW w:w="5729" w:type="dxa"/>
          </w:tcPr>
          <w:p w14:paraId="48F9A422" w14:textId="77777777" w:rsidR="003801E8" w:rsidRDefault="00E44AAE">
            <w:pPr>
              <w:spacing w:after="0" w:line="360" w:lineRule="auto"/>
              <w:jc w:val="both"/>
              <w:rPr>
                <w:rFonts w:ascii="Book Antiqua" w:hAnsi="Book Antiqua" w:cs="Times New Roman"/>
                <w:sz w:val="24"/>
                <w:szCs w:val="24"/>
              </w:rPr>
            </w:pPr>
            <w:r>
              <w:rPr>
                <w:rFonts w:ascii="Book Antiqua" w:hAnsi="Book Antiqua" w:cs="Times New Roman"/>
                <w:sz w:val="24"/>
                <w:szCs w:val="24"/>
              </w:rPr>
              <w:t>Dr Nedeljko Latinović, redovni profesor Biotehničkog fakulteta Univerziteta Crne Gore</w:t>
            </w:r>
          </w:p>
        </w:tc>
      </w:tr>
      <w:tr w:rsidR="003801E8" w14:paraId="71D70161" w14:textId="77777777">
        <w:tc>
          <w:tcPr>
            <w:tcW w:w="8504" w:type="dxa"/>
            <w:gridSpan w:val="2"/>
          </w:tcPr>
          <w:p w14:paraId="11868CDF" w14:textId="77777777" w:rsidR="003801E8" w:rsidRDefault="00E44AAE">
            <w:pPr>
              <w:spacing w:after="0" w:line="360" w:lineRule="auto"/>
              <w:jc w:val="both"/>
              <w:rPr>
                <w:rFonts w:ascii="Book Antiqua" w:hAnsi="Book Antiqua" w:cs="Times New Roman"/>
                <w:b/>
                <w:color w:val="002060"/>
                <w:sz w:val="24"/>
                <w:szCs w:val="24"/>
              </w:rPr>
            </w:pPr>
            <w:r>
              <w:rPr>
                <w:rFonts w:ascii="Book Antiqua" w:hAnsi="Book Antiqua" w:cs="Times New Roman"/>
                <w:b/>
                <w:color w:val="002060"/>
                <w:sz w:val="24"/>
                <w:szCs w:val="24"/>
              </w:rPr>
              <w:t>Članovi komisije za ocjenu podobnosti doktorske teze i kandidata</w:t>
            </w:r>
          </w:p>
        </w:tc>
      </w:tr>
      <w:tr w:rsidR="003801E8" w14:paraId="7CFECB66" w14:textId="77777777">
        <w:tc>
          <w:tcPr>
            <w:tcW w:w="2775" w:type="dxa"/>
          </w:tcPr>
          <w:p w14:paraId="605CD32F" w14:textId="77777777" w:rsidR="003801E8" w:rsidRDefault="003801E8">
            <w:pPr>
              <w:spacing w:after="0" w:line="360" w:lineRule="auto"/>
              <w:jc w:val="both"/>
              <w:rPr>
                <w:rFonts w:ascii="Book Antiqua" w:hAnsi="Book Antiqua" w:cs="Times New Roman"/>
                <w:color w:val="2F5496" w:themeColor="accent1" w:themeShade="BF"/>
                <w:sz w:val="24"/>
                <w:szCs w:val="24"/>
              </w:rPr>
            </w:pPr>
          </w:p>
        </w:tc>
        <w:tc>
          <w:tcPr>
            <w:tcW w:w="5729" w:type="dxa"/>
          </w:tcPr>
          <w:p w14:paraId="641E901B" w14:textId="77777777" w:rsidR="003801E8" w:rsidRDefault="00E44AAE">
            <w:pPr>
              <w:spacing w:after="0" w:line="360" w:lineRule="auto"/>
              <w:jc w:val="both"/>
              <w:rPr>
                <w:rFonts w:ascii="Book Antiqua" w:hAnsi="Book Antiqua" w:cs="Times New Roman"/>
                <w:sz w:val="24"/>
                <w:szCs w:val="24"/>
              </w:rPr>
            </w:pPr>
            <w:r>
              <w:rPr>
                <w:rFonts w:ascii="Book Antiqua" w:hAnsi="Book Antiqua" w:cs="Times New Roman"/>
                <w:sz w:val="24"/>
                <w:szCs w:val="24"/>
              </w:rPr>
              <w:t>Dr Nedeljko Latinović, redovni profesor, Biotehnički fakultet – Univerzitet Crne Gore, mentor</w:t>
            </w:r>
          </w:p>
          <w:p w14:paraId="038B5A71" w14:textId="77777777" w:rsidR="003801E8" w:rsidRDefault="00E44AAE">
            <w:pPr>
              <w:spacing w:after="0" w:line="360" w:lineRule="auto"/>
              <w:jc w:val="both"/>
              <w:rPr>
                <w:rFonts w:ascii="Book Antiqua" w:hAnsi="Book Antiqua" w:cs="Times New Roman"/>
                <w:sz w:val="24"/>
                <w:szCs w:val="24"/>
              </w:rPr>
            </w:pPr>
            <w:r>
              <w:rPr>
                <w:rFonts w:ascii="Book Antiqua" w:hAnsi="Book Antiqua" w:cs="Times New Roman"/>
                <w:sz w:val="24"/>
                <w:szCs w:val="24"/>
              </w:rPr>
              <w:t>Dr Jelena Latinović, redovni profesor, Biotehnički fakultet – Univerzitet Crne Gore, član</w:t>
            </w:r>
          </w:p>
          <w:p w14:paraId="1419537B" w14:textId="77777777" w:rsidR="003801E8" w:rsidRDefault="00E44AAE">
            <w:pPr>
              <w:spacing w:after="0" w:line="360" w:lineRule="auto"/>
              <w:jc w:val="both"/>
              <w:rPr>
                <w:rFonts w:ascii="Book Antiqua" w:hAnsi="Book Antiqua" w:cs="Times New Roman"/>
                <w:sz w:val="24"/>
                <w:szCs w:val="24"/>
              </w:rPr>
            </w:pPr>
            <w:r>
              <w:rPr>
                <w:rFonts w:ascii="Book Antiqua" w:hAnsi="Book Antiqua" w:cs="Times New Roman"/>
                <w:sz w:val="24"/>
                <w:szCs w:val="24"/>
              </w:rPr>
              <w:t xml:space="preserve">Dr Tatjana Popović, docent, Biotehnički fakultet – Univerzitet Crne Gore, član </w:t>
            </w:r>
          </w:p>
          <w:p w14:paraId="2AA45287" w14:textId="77777777" w:rsidR="003801E8" w:rsidRDefault="003801E8">
            <w:pPr>
              <w:spacing w:after="0" w:line="360" w:lineRule="auto"/>
              <w:jc w:val="both"/>
              <w:rPr>
                <w:rFonts w:ascii="Book Antiqua" w:hAnsi="Book Antiqua" w:cs="Times New Roman"/>
                <w:sz w:val="24"/>
                <w:szCs w:val="24"/>
              </w:rPr>
            </w:pPr>
          </w:p>
        </w:tc>
      </w:tr>
    </w:tbl>
    <w:p w14:paraId="55CDF766" w14:textId="77777777" w:rsidR="003801E8" w:rsidRDefault="003801E8">
      <w:pPr>
        <w:spacing w:line="360" w:lineRule="auto"/>
        <w:rPr>
          <w:rFonts w:ascii="Book Antiqua" w:hAnsi="Book Antiqua" w:cs="Times New Roman"/>
          <w:b/>
          <w:bCs/>
          <w:color w:val="002060"/>
          <w:sz w:val="24"/>
          <w:szCs w:val="24"/>
        </w:rPr>
      </w:pPr>
    </w:p>
    <w:p w14:paraId="5998DAE5" w14:textId="77777777" w:rsidR="003801E8" w:rsidRDefault="003801E8">
      <w:pPr>
        <w:spacing w:line="360" w:lineRule="auto"/>
        <w:rPr>
          <w:rFonts w:ascii="Book Antiqua" w:hAnsi="Book Antiqua" w:cs="Times New Roman"/>
          <w:bCs/>
          <w:sz w:val="24"/>
          <w:szCs w:val="24"/>
        </w:rPr>
      </w:pPr>
    </w:p>
    <w:p w14:paraId="58127109" w14:textId="77777777" w:rsidR="003801E8" w:rsidRDefault="003801E8">
      <w:pPr>
        <w:spacing w:line="360" w:lineRule="auto"/>
        <w:rPr>
          <w:rFonts w:ascii="Book Antiqua" w:hAnsi="Book Antiqua" w:cs="Times New Roman"/>
          <w:bCs/>
          <w:sz w:val="24"/>
          <w:szCs w:val="24"/>
        </w:rPr>
      </w:pPr>
    </w:p>
    <w:p w14:paraId="56874B0C" w14:textId="77777777" w:rsidR="003801E8" w:rsidRDefault="003801E8">
      <w:pPr>
        <w:spacing w:line="360" w:lineRule="auto"/>
        <w:rPr>
          <w:rFonts w:ascii="Book Antiqua" w:hAnsi="Book Antiqua" w:cs="Times New Roman"/>
          <w:bCs/>
          <w:sz w:val="24"/>
          <w:szCs w:val="24"/>
        </w:rPr>
      </w:pPr>
    </w:p>
    <w:p w14:paraId="1F56F0F7" w14:textId="77777777" w:rsidR="003801E8" w:rsidRDefault="003801E8">
      <w:pPr>
        <w:spacing w:line="360" w:lineRule="auto"/>
        <w:rPr>
          <w:rFonts w:ascii="Book Antiqua" w:hAnsi="Book Antiqua" w:cs="Times New Roman"/>
          <w:bCs/>
          <w:sz w:val="24"/>
          <w:szCs w:val="24"/>
        </w:rPr>
      </w:pPr>
    </w:p>
    <w:p w14:paraId="6566F2E5" w14:textId="77777777" w:rsidR="003801E8" w:rsidRDefault="003801E8">
      <w:pPr>
        <w:spacing w:line="360" w:lineRule="auto"/>
        <w:rPr>
          <w:rFonts w:ascii="Book Antiqua" w:hAnsi="Book Antiqua" w:cs="Times New Roman"/>
          <w:bCs/>
          <w:sz w:val="24"/>
          <w:szCs w:val="24"/>
        </w:rPr>
      </w:pPr>
    </w:p>
    <w:p w14:paraId="398119C0" w14:textId="77777777" w:rsidR="003801E8" w:rsidRDefault="003801E8">
      <w:pPr>
        <w:spacing w:line="360" w:lineRule="auto"/>
        <w:rPr>
          <w:rFonts w:ascii="Book Antiqua" w:hAnsi="Book Antiqua" w:cs="Times New Roman"/>
          <w:bCs/>
          <w:sz w:val="24"/>
          <w:szCs w:val="24"/>
        </w:rPr>
      </w:pPr>
    </w:p>
    <w:p w14:paraId="28C5BD6F" w14:textId="77777777" w:rsidR="003801E8" w:rsidRDefault="003801E8">
      <w:pPr>
        <w:spacing w:line="360" w:lineRule="auto"/>
        <w:rPr>
          <w:rFonts w:ascii="Book Antiqua" w:hAnsi="Book Antiqua"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5402"/>
      </w:tblGrid>
      <w:tr w:rsidR="003801E8" w14:paraId="08C1B27B" w14:textId="77777777">
        <w:tc>
          <w:tcPr>
            <w:tcW w:w="8504" w:type="dxa"/>
            <w:gridSpan w:val="2"/>
          </w:tcPr>
          <w:p w14:paraId="45010744" w14:textId="77777777" w:rsidR="003801E8" w:rsidRDefault="00E44AAE">
            <w:pPr>
              <w:spacing w:after="0" w:line="360" w:lineRule="auto"/>
              <w:jc w:val="center"/>
              <w:rPr>
                <w:rFonts w:ascii="Book Antiqua" w:hAnsi="Book Antiqua" w:cs="Times New Roman"/>
                <w:b/>
                <w:color w:val="002060"/>
                <w:sz w:val="24"/>
                <w:szCs w:val="24"/>
              </w:rPr>
            </w:pPr>
            <w:bookmarkStart w:id="1" w:name="_Hlk90989782"/>
            <w:r>
              <w:rPr>
                <w:rFonts w:ascii="Book Antiqua" w:hAnsi="Book Antiqua" w:cs="Times New Roman"/>
                <w:b/>
                <w:color w:val="002060"/>
                <w:sz w:val="24"/>
                <w:szCs w:val="24"/>
              </w:rPr>
              <w:lastRenderedPageBreak/>
              <w:t>Podaci o doktorskoj disertaciji</w:t>
            </w:r>
          </w:p>
          <w:p w14:paraId="5380A188" w14:textId="77777777" w:rsidR="003801E8" w:rsidRDefault="003801E8">
            <w:pPr>
              <w:spacing w:after="0" w:line="360" w:lineRule="auto"/>
              <w:rPr>
                <w:rFonts w:ascii="Book Antiqua" w:hAnsi="Book Antiqua" w:cs="Times New Roman"/>
                <w:b/>
                <w:color w:val="002060"/>
                <w:sz w:val="24"/>
                <w:szCs w:val="24"/>
              </w:rPr>
            </w:pPr>
          </w:p>
        </w:tc>
      </w:tr>
      <w:tr w:rsidR="003801E8" w14:paraId="53EE6A81" w14:textId="77777777">
        <w:tc>
          <w:tcPr>
            <w:tcW w:w="3102" w:type="dxa"/>
          </w:tcPr>
          <w:p w14:paraId="09E8C485" w14:textId="77777777" w:rsidR="003801E8" w:rsidRDefault="00E44AAE">
            <w:pPr>
              <w:spacing w:after="0" w:line="360" w:lineRule="auto"/>
              <w:rPr>
                <w:rFonts w:ascii="Book Antiqua" w:hAnsi="Book Antiqua" w:cs="Times New Roman"/>
                <w:sz w:val="24"/>
                <w:szCs w:val="24"/>
              </w:rPr>
            </w:pPr>
            <w:r>
              <w:rPr>
                <w:rFonts w:ascii="Book Antiqua" w:hAnsi="Book Antiqua" w:cs="Times New Roman"/>
                <w:b/>
                <w:color w:val="323E4F" w:themeColor="text2" w:themeShade="BF"/>
                <w:sz w:val="24"/>
                <w:szCs w:val="24"/>
              </w:rPr>
              <w:t>Naziv doktorskih studija</w:t>
            </w:r>
          </w:p>
        </w:tc>
        <w:tc>
          <w:tcPr>
            <w:tcW w:w="5402" w:type="dxa"/>
          </w:tcPr>
          <w:p w14:paraId="41C7DFC2" w14:textId="77777777" w:rsidR="003801E8" w:rsidRDefault="00E44AAE">
            <w:pPr>
              <w:spacing w:after="0" w:line="360" w:lineRule="auto"/>
              <w:jc w:val="both"/>
              <w:rPr>
                <w:rFonts w:ascii="Book Antiqua" w:hAnsi="Book Antiqua" w:cs="Times New Roman"/>
                <w:sz w:val="24"/>
                <w:szCs w:val="24"/>
              </w:rPr>
            </w:pPr>
            <w:r>
              <w:rPr>
                <w:rFonts w:ascii="Book Antiqua" w:hAnsi="Book Antiqua" w:cs="Times New Roman"/>
                <w:sz w:val="24"/>
                <w:szCs w:val="24"/>
              </w:rPr>
              <w:t xml:space="preserve">Doktorske studije Univerziteta Crne Gore </w:t>
            </w:r>
          </w:p>
          <w:p w14:paraId="2BDFED38" w14:textId="77777777" w:rsidR="003801E8" w:rsidRDefault="00E44AAE">
            <w:pPr>
              <w:spacing w:after="0" w:line="360" w:lineRule="auto"/>
              <w:jc w:val="both"/>
              <w:rPr>
                <w:rFonts w:ascii="Book Antiqua" w:hAnsi="Book Antiqua" w:cs="Times New Roman"/>
                <w:sz w:val="24"/>
                <w:szCs w:val="24"/>
              </w:rPr>
            </w:pPr>
            <w:r>
              <w:rPr>
                <w:rFonts w:ascii="Book Antiqua" w:hAnsi="Book Antiqua" w:cs="Times New Roman"/>
                <w:sz w:val="24"/>
                <w:szCs w:val="24"/>
              </w:rPr>
              <w:t>Biotehnički fakultet</w:t>
            </w:r>
          </w:p>
          <w:p w14:paraId="489C4BB8" w14:textId="77777777" w:rsidR="003801E8" w:rsidRDefault="00E44AAE">
            <w:pPr>
              <w:spacing w:after="0" w:line="360" w:lineRule="auto"/>
              <w:rPr>
                <w:rFonts w:ascii="Book Antiqua" w:hAnsi="Book Antiqua" w:cs="Times New Roman"/>
                <w:sz w:val="24"/>
                <w:szCs w:val="24"/>
              </w:rPr>
            </w:pPr>
            <w:r>
              <w:rPr>
                <w:rFonts w:ascii="Book Antiqua" w:hAnsi="Book Antiqua" w:cs="Times New Roman"/>
                <w:sz w:val="24"/>
                <w:szCs w:val="24"/>
              </w:rPr>
              <w:t>Studijski program: Biotehnika</w:t>
            </w:r>
          </w:p>
          <w:p w14:paraId="2F11AB89" w14:textId="77777777" w:rsidR="003801E8" w:rsidRDefault="003801E8">
            <w:pPr>
              <w:spacing w:after="0" w:line="360" w:lineRule="auto"/>
              <w:rPr>
                <w:rFonts w:ascii="Book Antiqua" w:hAnsi="Book Antiqua" w:cs="Times New Roman"/>
                <w:sz w:val="24"/>
                <w:szCs w:val="24"/>
              </w:rPr>
            </w:pPr>
          </w:p>
        </w:tc>
      </w:tr>
      <w:tr w:rsidR="003801E8" w14:paraId="79F7A3F1" w14:textId="77777777">
        <w:tc>
          <w:tcPr>
            <w:tcW w:w="3102" w:type="dxa"/>
          </w:tcPr>
          <w:p w14:paraId="7C78B87E" w14:textId="77777777" w:rsidR="003801E8" w:rsidRDefault="00E44AAE">
            <w:pPr>
              <w:spacing w:after="0" w:line="360" w:lineRule="auto"/>
              <w:rPr>
                <w:rFonts w:ascii="Book Antiqua" w:hAnsi="Book Antiqua" w:cs="Times New Roman"/>
                <w:sz w:val="24"/>
                <w:szCs w:val="24"/>
              </w:rPr>
            </w:pPr>
            <w:r>
              <w:rPr>
                <w:rFonts w:ascii="Book Antiqua" w:hAnsi="Book Antiqua" w:cs="Times New Roman"/>
                <w:b/>
                <w:color w:val="323E4F" w:themeColor="text2" w:themeShade="BF"/>
                <w:sz w:val="24"/>
                <w:szCs w:val="24"/>
              </w:rPr>
              <w:t>Naslov doktorske disertacije</w:t>
            </w:r>
          </w:p>
        </w:tc>
        <w:tc>
          <w:tcPr>
            <w:tcW w:w="5402" w:type="dxa"/>
          </w:tcPr>
          <w:p w14:paraId="3E4AAD9D" w14:textId="77777777" w:rsidR="003801E8" w:rsidRDefault="00E44AAE">
            <w:pPr>
              <w:spacing w:after="0" w:line="360" w:lineRule="auto"/>
              <w:rPr>
                <w:rFonts w:ascii="Book Antiqua" w:hAnsi="Book Antiqua" w:cs="Times New Roman"/>
                <w:sz w:val="24"/>
                <w:szCs w:val="24"/>
              </w:rPr>
            </w:pPr>
            <w:r>
              <w:rPr>
                <w:rFonts w:ascii="Book Antiqua" w:hAnsi="Book Antiqua" w:cs="Times New Roman"/>
                <w:sz w:val="24"/>
                <w:szCs w:val="24"/>
              </w:rPr>
              <w:t xml:space="preserve">Eska oboljenje vinove loze u vinogradima u Crnoj Gori i mogućnosti njenog suzbijanja </w:t>
            </w:r>
          </w:p>
          <w:p w14:paraId="51F332FB" w14:textId="77777777" w:rsidR="003801E8" w:rsidRDefault="003801E8">
            <w:pPr>
              <w:spacing w:after="0" w:line="360" w:lineRule="auto"/>
              <w:rPr>
                <w:rFonts w:ascii="Book Antiqua" w:hAnsi="Book Antiqua" w:cs="Times New Roman"/>
                <w:sz w:val="24"/>
                <w:szCs w:val="24"/>
              </w:rPr>
            </w:pPr>
          </w:p>
        </w:tc>
      </w:tr>
      <w:tr w:rsidR="003801E8" w14:paraId="79CF67E0" w14:textId="77777777">
        <w:tc>
          <w:tcPr>
            <w:tcW w:w="3102" w:type="dxa"/>
          </w:tcPr>
          <w:p w14:paraId="2C594FCF" w14:textId="77777777" w:rsidR="003801E8" w:rsidRDefault="00E44AAE">
            <w:pPr>
              <w:spacing w:after="0" w:line="360" w:lineRule="auto"/>
              <w:rPr>
                <w:rFonts w:ascii="Book Antiqua" w:hAnsi="Book Antiqua" w:cs="Times New Roman"/>
                <w:b/>
                <w:color w:val="323E4F" w:themeColor="text2" w:themeShade="BF"/>
                <w:sz w:val="24"/>
                <w:szCs w:val="24"/>
              </w:rPr>
            </w:pPr>
            <w:r>
              <w:rPr>
                <w:rFonts w:ascii="Book Antiqua" w:hAnsi="Book Antiqua" w:cs="Times New Roman"/>
                <w:b/>
                <w:color w:val="323E4F" w:themeColor="text2" w:themeShade="BF"/>
                <w:sz w:val="24"/>
                <w:szCs w:val="24"/>
              </w:rPr>
              <w:t>Naučna oblast</w:t>
            </w:r>
          </w:p>
        </w:tc>
        <w:tc>
          <w:tcPr>
            <w:tcW w:w="5402" w:type="dxa"/>
          </w:tcPr>
          <w:p w14:paraId="79578A64" w14:textId="77777777" w:rsidR="003801E8" w:rsidRDefault="00E44AAE">
            <w:pPr>
              <w:spacing w:after="0" w:line="360" w:lineRule="auto"/>
              <w:rPr>
                <w:rFonts w:ascii="Book Antiqua" w:hAnsi="Book Antiqua" w:cs="Times New Roman"/>
                <w:sz w:val="24"/>
                <w:szCs w:val="24"/>
              </w:rPr>
            </w:pPr>
            <w:r>
              <w:rPr>
                <w:rFonts w:ascii="Book Antiqua" w:hAnsi="Book Antiqua" w:cs="Times New Roman"/>
                <w:sz w:val="24"/>
                <w:szCs w:val="24"/>
              </w:rPr>
              <w:t>Poljoprivredne nauke</w:t>
            </w:r>
          </w:p>
          <w:p w14:paraId="2E65287F" w14:textId="77777777" w:rsidR="003801E8" w:rsidRDefault="003801E8">
            <w:pPr>
              <w:spacing w:after="0" w:line="360" w:lineRule="auto"/>
              <w:rPr>
                <w:rFonts w:ascii="Book Antiqua" w:hAnsi="Book Antiqua" w:cs="Times New Roman"/>
                <w:sz w:val="24"/>
                <w:szCs w:val="24"/>
              </w:rPr>
            </w:pPr>
          </w:p>
        </w:tc>
      </w:tr>
      <w:tr w:rsidR="003801E8" w14:paraId="76C0978B" w14:textId="77777777">
        <w:tc>
          <w:tcPr>
            <w:tcW w:w="3102" w:type="dxa"/>
          </w:tcPr>
          <w:p w14:paraId="24D0F11E" w14:textId="77777777" w:rsidR="003801E8" w:rsidRDefault="00E44AAE">
            <w:pPr>
              <w:spacing w:after="0" w:line="360" w:lineRule="auto"/>
              <w:rPr>
                <w:rFonts w:ascii="Book Antiqua" w:hAnsi="Book Antiqua" w:cs="Times New Roman"/>
                <w:b/>
                <w:color w:val="323E4F" w:themeColor="text2" w:themeShade="BF"/>
                <w:sz w:val="24"/>
                <w:szCs w:val="24"/>
              </w:rPr>
            </w:pPr>
            <w:r>
              <w:rPr>
                <w:rFonts w:ascii="Book Antiqua" w:hAnsi="Book Antiqua" w:cs="Times New Roman"/>
                <w:b/>
                <w:color w:val="323E4F" w:themeColor="text2" w:themeShade="BF"/>
                <w:sz w:val="24"/>
                <w:szCs w:val="24"/>
              </w:rPr>
              <w:t>Uža naučna oblast</w:t>
            </w:r>
          </w:p>
        </w:tc>
        <w:tc>
          <w:tcPr>
            <w:tcW w:w="5402" w:type="dxa"/>
          </w:tcPr>
          <w:p w14:paraId="7EBEBF5F" w14:textId="77777777" w:rsidR="003801E8" w:rsidRDefault="00E44AAE">
            <w:pPr>
              <w:spacing w:after="0" w:line="360" w:lineRule="auto"/>
              <w:rPr>
                <w:rFonts w:ascii="Book Antiqua" w:hAnsi="Book Antiqua" w:cs="Times New Roman"/>
                <w:sz w:val="24"/>
                <w:szCs w:val="24"/>
              </w:rPr>
            </w:pPr>
            <w:r>
              <w:rPr>
                <w:rFonts w:ascii="Book Antiqua" w:hAnsi="Book Antiqua" w:cs="Times New Roman"/>
                <w:sz w:val="24"/>
                <w:szCs w:val="24"/>
              </w:rPr>
              <w:t>Poljoprivredna biotehnologija</w:t>
            </w:r>
          </w:p>
        </w:tc>
      </w:tr>
      <w:bookmarkEnd w:id="1"/>
    </w:tbl>
    <w:p w14:paraId="5582AF66" w14:textId="77777777" w:rsidR="003801E8" w:rsidRDefault="003801E8">
      <w:pPr>
        <w:spacing w:after="0" w:line="360" w:lineRule="auto"/>
        <w:rPr>
          <w:rFonts w:ascii="Book Antiqua" w:hAnsi="Book Antiqua"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5380"/>
      </w:tblGrid>
      <w:tr w:rsidR="003801E8" w14:paraId="309CAB2D" w14:textId="77777777">
        <w:tc>
          <w:tcPr>
            <w:tcW w:w="8504" w:type="dxa"/>
            <w:gridSpan w:val="2"/>
          </w:tcPr>
          <w:p w14:paraId="118FB84B" w14:textId="77777777" w:rsidR="003801E8" w:rsidRDefault="00E44AAE">
            <w:pPr>
              <w:spacing w:after="0" w:line="360" w:lineRule="auto"/>
              <w:jc w:val="center"/>
              <w:rPr>
                <w:rFonts w:ascii="Book Antiqua" w:hAnsi="Book Antiqua" w:cs="Times New Roman"/>
                <w:b/>
                <w:color w:val="323E4F" w:themeColor="text2" w:themeShade="BF"/>
                <w:sz w:val="24"/>
                <w:szCs w:val="24"/>
              </w:rPr>
            </w:pPr>
            <w:r>
              <w:rPr>
                <w:rFonts w:ascii="Book Antiqua" w:hAnsi="Book Antiqua" w:cs="Times New Roman"/>
                <w:b/>
                <w:color w:val="323E4F" w:themeColor="text2" w:themeShade="BF"/>
                <w:sz w:val="24"/>
                <w:szCs w:val="24"/>
              </w:rPr>
              <w:t>Information on PhD dissertation</w:t>
            </w:r>
          </w:p>
          <w:p w14:paraId="519DDFB9" w14:textId="77777777" w:rsidR="003801E8" w:rsidRDefault="003801E8">
            <w:pPr>
              <w:spacing w:after="0" w:line="360" w:lineRule="auto"/>
              <w:rPr>
                <w:rFonts w:ascii="Book Antiqua" w:hAnsi="Book Antiqua" w:cs="Times New Roman"/>
                <w:b/>
                <w:color w:val="323E4F" w:themeColor="text2" w:themeShade="BF"/>
                <w:sz w:val="24"/>
                <w:szCs w:val="24"/>
              </w:rPr>
            </w:pPr>
          </w:p>
        </w:tc>
      </w:tr>
      <w:tr w:rsidR="003801E8" w14:paraId="255161CF" w14:textId="77777777">
        <w:tc>
          <w:tcPr>
            <w:tcW w:w="3124" w:type="dxa"/>
          </w:tcPr>
          <w:p w14:paraId="055FB791" w14:textId="77777777" w:rsidR="003801E8" w:rsidRDefault="00E44AAE">
            <w:pPr>
              <w:spacing w:after="0" w:line="360" w:lineRule="auto"/>
              <w:rPr>
                <w:rFonts w:ascii="Book Antiqua" w:hAnsi="Book Antiqua" w:cs="Times New Roman"/>
                <w:sz w:val="24"/>
                <w:szCs w:val="24"/>
              </w:rPr>
            </w:pPr>
            <w:r>
              <w:rPr>
                <w:rFonts w:ascii="Book Antiqua" w:hAnsi="Book Antiqua" w:cs="Times New Roman"/>
                <w:b/>
                <w:color w:val="323E4F" w:themeColor="text2" w:themeShade="BF"/>
                <w:sz w:val="24"/>
                <w:szCs w:val="24"/>
              </w:rPr>
              <w:t>Title of PhD studies</w:t>
            </w:r>
          </w:p>
        </w:tc>
        <w:tc>
          <w:tcPr>
            <w:tcW w:w="5380" w:type="dxa"/>
          </w:tcPr>
          <w:p w14:paraId="4411DD76" w14:textId="77777777" w:rsidR="003801E8" w:rsidRDefault="00E44AAE">
            <w:pPr>
              <w:spacing w:after="0" w:line="360" w:lineRule="auto"/>
              <w:jc w:val="both"/>
              <w:rPr>
                <w:rFonts w:ascii="Book Antiqua" w:hAnsi="Book Antiqua" w:cs="Times New Roman"/>
                <w:sz w:val="24"/>
                <w:szCs w:val="24"/>
              </w:rPr>
            </w:pPr>
            <w:r>
              <w:rPr>
                <w:rFonts w:ascii="Book Antiqua" w:hAnsi="Book Antiqua" w:cs="Times New Roman"/>
                <w:sz w:val="24"/>
                <w:szCs w:val="24"/>
              </w:rPr>
              <w:t>PhD studies at the University of Montenegro</w:t>
            </w:r>
          </w:p>
          <w:p w14:paraId="7C69E303" w14:textId="77777777" w:rsidR="003801E8" w:rsidRDefault="00E44AAE">
            <w:pPr>
              <w:spacing w:after="0" w:line="360" w:lineRule="auto"/>
              <w:jc w:val="both"/>
              <w:rPr>
                <w:rFonts w:ascii="Book Antiqua" w:hAnsi="Book Antiqua" w:cs="Times New Roman"/>
                <w:sz w:val="24"/>
                <w:szCs w:val="24"/>
              </w:rPr>
            </w:pPr>
            <w:r>
              <w:rPr>
                <w:rFonts w:ascii="Book Antiqua" w:hAnsi="Book Antiqua" w:cs="Times New Roman"/>
                <w:sz w:val="24"/>
                <w:szCs w:val="24"/>
              </w:rPr>
              <w:t>Biotechnical Faculty</w:t>
            </w:r>
          </w:p>
          <w:p w14:paraId="0536E08E" w14:textId="77777777" w:rsidR="003801E8" w:rsidRDefault="00E44AAE">
            <w:pPr>
              <w:spacing w:after="0" w:line="360" w:lineRule="auto"/>
              <w:rPr>
                <w:rFonts w:ascii="Book Antiqua" w:hAnsi="Book Antiqua" w:cs="Times New Roman"/>
                <w:sz w:val="24"/>
                <w:szCs w:val="24"/>
              </w:rPr>
            </w:pPr>
            <w:r>
              <w:rPr>
                <w:rFonts w:ascii="Book Antiqua" w:hAnsi="Book Antiqua" w:cs="Times New Roman"/>
                <w:sz w:val="24"/>
                <w:szCs w:val="24"/>
              </w:rPr>
              <w:t>Study program: Biotechnics</w:t>
            </w:r>
          </w:p>
        </w:tc>
      </w:tr>
      <w:tr w:rsidR="003801E8" w14:paraId="16ECB52A" w14:textId="77777777">
        <w:tc>
          <w:tcPr>
            <w:tcW w:w="3124" w:type="dxa"/>
          </w:tcPr>
          <w:p w14:paraId="3E21FAD8" w14:textId="77777777" w:rsidR="003801E8" w:rsidRDefault="00E44AAE">
            <w:pPr>
              <w:spacing w:after="0" w:line="360" w:lineRule="auto"/>
              <w:rPr>
                <w:rFonts w:ascii="Book Antiqua" w:hAnsi="Book Antiqua" w:cs="Times New Roman"/>
                <w:sz w:val="24"/>
                <w:szCs w:val="24"/>
              </w:rPr>
            </w:pPr>
            <w:r>
              <w:rPr>
                <w:rFonts w:ascii="Book Antiqua" w:hAnsi="Book Antiqua" w:cs="Times New Roman"/>
                <w:b/>
                <w:color w:val="323E4F" w:themeColor="text2" w:themeShade="BF"/>
                <w:sz w:val="24"/>
                <w:szCs w:val="24"/>
              </w:rPr>
              <w:t>Title of PhD disseration</w:t>
            </w:r>
          </w:p>
        </w:tc>
        <w:tc>
          <w:tcPr>
            <w:tcW w:w="5380" w:type="dxa"/>
          </w:tcPr>
          <w:p w14:paraId="38A11699" w14:textId="77777777" w:rsidR="003801E8" w:rsidRDefault="00E44AAE">
            <w:pPr>
              <w:spacing w:after="0" w:line="360" w:lineRule="auto"/>
              <w:rPr>
                <w:rFonts w:ascii="Book Antiqua" w:hAnsi="Book Antiqua" w:cs="Times New Roman"/>
                <w:sz w:val="24"/>
                <w:szCs w:val="24"/>
              </w:rPr>
            </w:pPr>
            <w:r>
              <w:rPr>
                <w:rFonts w:ascii="Book Antiqua" w:hAnsi="Book Antiqua" w:cs="Times New Roman"/>
                <w:sz w:val="24"/>
                <w:szCs w:val="24"/>
              </w:rPr>
              <w:t>Esca diseases of grapevine in vineyards of Montenegro and possibilities for its control</w:t>
            </w:r>
          </w:p>
        </w:tc>
      </w:tr>
      <w:tr w:rsidR="003801E8" w14:paraId="5517C5D7" w14:textId="77777777">
        <w:tc>
          <w:tcPr>
            <w:tcW w:w="3124" w:type="dxa"/>
          </w:tcPr>
          <w:p w14:paraId="11EECDF9" w14:textId="77777777" w:rsidR="003801E8" w:rsidRDefault="00E44AAE">
            <w:pPr>
              <w:spacing w:after="0" w:line="360" w:lineRule="auto"/>
              <w:rPr>
                <w:rFonts w:ascii="Book Antiqua" w:hAnsi="Book Antiqua" w:cs="Times New Roman"/>
                <w:b/>
                <w:color w:val="323E4F" w:themeColor="text2" w:themeShade="BF"/>
                <w:sz w:val="24"/>
                <w:szCs w:val="24"/>
              </w:rPr>
            </w:pPr>
            <w:r>
              <w:rPr>
                <w:rFonts w:ascii="Book Antiqua" w:hAnsi="Book Antiqua" w:cs="Times New Roman"/>
                <w:b/>
                <w:color w:val="323E4F" w:themeColor="text2" w:themeShade="BF"/>
                <w:sz w:val="24"/>
                <w:szCs w:val="24"/>
              </w:rPr>
              <w:t>Scientific field</w:t>
            </w:r>
          </w:p>
        </w:tc>
        <w:tc>
          <w:tcPr>
            <w:tcW w:w="5380" w:type="dxa"/>
          </w:tcPr>
          <w:p w14:paraId="11608866" w14:textId="77777777" w:rsidR="003801E8" w:rsidRDefault="00E44AAE">
            <w:pPr>
              <w:spacing w:after="0" w:line="360" w:lineRule="auto"/>
              <w:rPr>
                <w:rFonts w:ascii="Book Antiqua" w:hAnsi="Book Antiqua" w:cs="Times New Roman"/>
                <w:sz w:val="24"/>
                <w:szCs w:val="24"/>
              </w:rPr>
            </w:pPr>
            <w:r>
              <w:rPr>
                <w:rFonts w:ascii="Book Antiqua" w:hAnsi="Book Antiqua" w:cs="Times New Roman"/>
                <w:sz w:val="24"/>
                <w:szCs w:val="24"/>
              </w:rPr>
              <w:t>Agricultural Sciences</w:t>
            </w:r>
          </w:p>
          <w:p w14:paraId="3F5D7AB6" w14:textId="77777777" w:rsidR="003801E8" w:rsidRDefault="003801E8">
            <w:pPr>
              <w:spacing w:after="0" w:line="360" w:lineRule="auto"/>
              <w:rPr>
                <w:rFonts w:ascii="Book Antiqua" w:hAnsi="Book Antiqua" w:cs="Times New Roman"/>
                <w:sz w:val="24"/>
                <w:szCs w:val="24"/>
              </w:rPr>
            </w:pPr>
          </w:p>
          <w:p w14:paraId="003960CD" w14:textId="77777777" w:rsidR="003801E8" w:rsidRDefault="003801E8">
            <w:pPr>
              <w:spacing w:after="0" w:line="360" w:lineRule="auto"/>
              <w:rPr>
                <w:rFonts w:ascii="Book Antiqua" w:hAnsi="Book Antiqua" w:cs="Times New Roman"/>
                <w:sz w:val="24"/>
                <w:szCs w:val="24"/>
              </w:rPr>
            </w:pPr>
          </w:p>
          <w:p w14:paraId="3443534B" w14:textId="77777777" w:rsidR="003801E8" w:rsidRDefault="003801E8">
            <w:pPr>
              <w:spacing w:after="0" w:line="360" w:lineRule="auto"/>
              <w:rPr>
                <w:rFonts w:ascii="Book Antiqua" w:hAnsi="Book Antiqua" w:cs="Times New Roman"/>
                <w:sz w:val="24"/>
                <w:szCs w:val="24"/>
              </w:rPr>
            </w:pPr>
          </w:p>
          <w:p w14:paraId="15DF2E48" w14:textId="77777777" w:rsidR="003801E8" w:rsidRDefault="003801E8">
            <w:pPr>
              <w:spacing w:after="0" w:line="360" w:lineRule="auto"/>
              <w:rPr>
                <w:rFonts w:ascii="Book Antiqua" w:hAnsi="Book Antiqua" w:cs="Times New Roman"/>
                <w:sz w:val="24"/>
                <w:szCs w:val="24"/>
              </w:rPr>
            </w:pPr>
          </w:p>
          <w:p w14:paraId="2DFF2D57" w14:textId="77777777" w:rsidR="003801E8" w:rsidRDefault="003801E8">
            <w:pPr>
              <w:spacing w:after="0" w:line="360" w:lineRule="auto"/>
              <w:rPr>
                <w:rFonts w:ascii="Book Antiqua" w:hAnsi="Book Antiqua" w:cs="Times New Roman"/>
                <w:sz w:val="24"/>
                <w:szCs w:val="24"/>
              </w:rPr>
            </w:pPr>
          </w:p>
          <w:p w14:paraId="317B2A63" w14:textId="77777777" w:rsidR="003801E8" w:rsidRDefault="003801E8">
            <w:pPr>
              <w:spacing w:after="0" w:line="360" w:lineRule="auto"/>
              <w:rPr>
                <w:rFonts w:ascii="Book Antiqua" w:hAnsi="Book Antiqua" w:cs="Times New Roman"/>
                <w:sz w:val="24"/>
                <w:szCs w:val="24"/>
              </w:rPr>
            </w:pPr>
          </w:p>
          <w:p w14:paraId="5D15F241" w14:textId="77777777" w:rsidR="003801E8" w:rsidRDefault="003801E8">
            <w:pPr>
              <w:spacing w:after="0" w:line="360" w:lineRule="auto"/>
              <w:rPr>
                <w:rFonts w:ascii="Book Antiqua" w:hAnsi="Book Antiqua" w:cs="Times New Roman"/>
                <w:sz w:val="24"/>
                <w:szCs w:val="24"/>
              </w:rPr>
            </w:pPr>
          </w:p>
          <w:p w14:paraId="2DFB7CBC" w14:textId="77777777" w:rsidR="003801E8" w:rsidRDefault="003801E8">
            <w:pPr>
              <w:spacing w:after="0" w:line="360" w:lineRule="auto"/>
              <w:rPr>
                <w:rFonts w:ascii="Book Antiqua" w:hAnsi="Book Antiqua" w:cs="Times New Roman"/>
                <w:sz w:val="24"/>
                <w:szCs w:val="24"/>
              </w:rPr>
            </w:pPr>
          </w:p>
          <w:p w14:paraId="23ECF8F6" w14:textId="77777777" w:rsidR="003801E8" w:rsidRDefault="003801E8">
            <w:pPr>
              <w:spacing w:after="0" w:line="360" w:lineRule="auto"/>
              <w:rPr>
                <w:rFonts w:ascii="Book Antiqua" w:hAnsi="Book Antiqua" w:cs="Times New Roman"/>
                <w:sz w:val="24"/>
                <w:szCs w:val="24"/>
              </w:rPr>
            </w:pPr>
          </w:p>
        </w:tc>
      </w:tr>
    </w:tbl>
    <w:p w14:paraId="0C0DA618" w14:textId="77777777" w:rsidR="003801E8" w:rsidRDefault="00E44AAE">
      <w:pPr>
        <w:pStyle w:val="teza1"/>
        <w:spacing w:before="0" w:after="200"/>
        <w:jc w:val="left"/>
        <w:rPr>
          <w:rFonts w:ascii="Book Antiqua" w:hAnsi="Book Antiqua" w:cs="Times New Roman"/>
          <w:color w:val="323E4F" w:themeColor="text2" w:themeShade="BF"/>
          <w:sz w:val="24"/>
        </w:rPr>
      </w:pPr>
      <w:r>
        <w:rPr>
          <w:rFonts w:ascii="Book Antiqua" w:hAnsi="Book Antiqua" w:cs="Times New Roman"/>
          <w:color w:val="323E4F" w:themeColor="text2" w:themeShade="BF"/>
          <w:sz w:val="24"/>
        </w:rPr>
        <w:lastRenderedPageBreak/>
        <w:t>Rezime</w:t>
      </w:r>
    </w:p>
    <w:p w14:paraId="02A9AA29"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Termin bolesti drveta vinove loze obuhvata nekoliko oboljenja vinove loze koja su povezana sa različitim fitopatogenim gljivama. Odlikuju se velikom geografskom rasprostranjenosti i predstavljaju problem u svim vinogradarskim zemaljama na svijetu, a eska je jedna od najstarijih i ekonomski najznačajnijih bolesti koja pripada ovoj grupi. Etiološki je teško utvrditi porijeklo eska oboljenja u Crnoj Gori, ali pojava izraženijih simptoma ove bolesti, kao i u ostalim evropskim zemljama, vezuje se za prestanak upotrebe natrijum arsenita i kreozana. Simptomi bolesti se javljaju u vinogradima različite starosti i sortimenta u svim regionima gajenja u Crnoj Gori. Vinogradarstvo je jedan od najznačajnijih segmenata crnogorske poljoprivrede pa zbog toga re</w:t>
      </w:r>
      <w:r>
        <w:rPr>
          <w:rFonts w:ascii="Book Antiqua" w:hAnsi="Book Antiqua" w:cs="Times New Roman"/>
          <w:sz w:val="24"/>
          <w:szCs w:val="24"/>
          <w:lang w:val="sr-Latn-RS"/>
        </w:rPr>
        <w:t>zultati prikazani u</w:t>
      </w:r>
      <w:r>
        <w:rPr>
          <w:rFonts w:ascii="Book Antiqua" w:hAnsi="Book Antiqua" w:cs="Times New Roman"/>
          <w:sz w:val="24"/>
          <w:szCs w:val="24"/>
        </w:rPr>
        <w:t xml:space="preserve"> ovoj tezi doprinose poboljšanju znanja o eska oboljenju u Crnoj Gori i mogućnosti suzbijanja upotrebom bioloških mjera zaštite. Četvorogodišnjim istraživanjem je pregledano 30 vinograda, anketirano 70 vinogradara u svim vinogradarskim regionima i prikupljeno ukupno 85 različitih uzoraka za analizu. Pregledom vinograda potvrđeno je prisustvo simptoma eska oboljenja u svim crnogorskim vinogradarskim regionima u vidu hroničnog i apoplektičnog sušenja vinove loze. Intenzitet simptoma je varirao u zavisnosti od sortimenta i starosti vinograda, a folijarni simptomi nijesu uočeni u vinogradima mlađim od 5 godina. Najveća incidenca bolesti je zabilježena u vinogradima starosti 30-35 godina u kojim je uočeno prisustvo velikog broja „praznih mjesta“. Autohtone crnogorske sorte Vranac i Kratošija, kao i pojedine stone sorte vinove loze, Afus ali i Kardinal, su pokazale visok stepen osjetljivosti, za razliku od introdukovanih sorti Syrah, Merlot, Šardone, Kabernet Šovinjon i Marselan. Rezultati ankete sprovedene među crnogorskim vinogradarima o eska oboljenju, pokazuju nizak nivo znanja vinogradara o patogenezi oboljenja, mogućnostima suzbijanja i ekonomskom uticaju. </w:t>
      </w:r>
    </w:p>
    <w:p w14:paraId="41F1864A"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Laboratorijskom obradom sakupljenih uzoraka izolovano je 236 izolata različitih patogenih i saprofitnih mikroorganizama. Molekularnom dijagnostikom i </w:t>
      </w:r>
      <w:r>
        <w:rPr>
          <w:rFonts w:ascii="Book Antiqua" w:hAnsi="Book Antiqua" w:cs="Times New Roman"/>
          <w:sz w:val="24"/>
          <w:szCs w:val="24"/>
        </w:rPr>
        <w:lastRenderedPageBreak/>
        <w:t xml:space="preserve">sekvencioniranjem različitih gena (ITS, LSU, TUB2, TEF1a, ACT, RPB2, CAL, HIS), u drvetu vinove loze koja je pokazivala simptome eska oboljenja identifikovani su patogeni mikroorganizmi </w:t>
      </w:r>
      <w:r>
        <w:rPr>
          <w:rFonts w:ascii="Book Antiqua" w:hAnsi="Book Antiqua" w:cs="Times New Roman"/>
          <w:i/>
          <w:iCs/>
          <w:sz w:val="24"/>
          <w:szCs w:val="24"/>
        </w:rPr>
        <w:t>Phaeoacremonium minimum</w:t>
      </w:r>
      <w:r>
        <w:rPr>
          <w:rFonts w:ascii="Book Antiqua" w:hAnsi="Book Antiqua" w:cs="Times New Roman"/>
          <w:sz w:val="24"/>
          <w:szCs w:val="24"/>
        </w:rPr>
        <w:t xml:space="preserve">, </w:t>
      </w:r>
      <w:r>
        <w:rPr>
          <w:rFonts w:ascii="Book Antiqua" w:hAnsi="Book Antiqua" w:cs="Times New Roman"/>
          <w:i/>
          <w:iCs/>
          <w:sz w:val="24"/>
          <w:szCs w:val="24"/>
        </w:rPr>
        <w:t>Phaeomoniella chlamydospora</w:t>
      </w:r>
      <w:r>
        <w:rPr>
          <w:rFonts w:ascii="Book Antiqua" w:hAnsi="Book Antiqua" w:cs="Times New Roman"/>
          <w:sz w:val="24"/>
          <w:szCs w:val="24"/>
        </w:rPr>
        <w:t xml:space="preserve"> i </w:t>
      </w:r>
      <w:r>
        <w:rPr>
          <w:rFonts w:ascii="Book Antiqua" w:hAnsi="Book Antiqua" w:cs="Times New Roman"/>
          <w:i/>
          <w:iCs/>
          <w:sz w:val="24"/>
          <w:szCs w:val="24"/>
        </w:rPr>
        <w:t>Fomitiporia mediterranea</w:t>
      </w:r>
      <w:r>
        <w:rPr>
          <w:rFonts w:ascii="Book Antiqua" w:hAnsi="Book Antiqua" w:cs="Times New Roman"/>
          <w:sz w:val="24"/>
          <w:szCs w:val="24"/>
        </w:rPr>
        <w:t xml:space="preserve">. Osim patogena prouzrokovača eska oboljenja identifikovani su i </w:t>
      </w:r>
      <w:r>
        <w:rPr>
          <w:rFonts w:ascii="Book Antiqua" w:hAnsi="Book Antiqua" w:cs="Times New Roman"/>
          <w:i/>
          <w:iCs/>
          <w:sz w:val="24"/>
          <w:szCs w:val="24"/>
        </w:rPr>
        <w:t>Neofusicoccum parvum</w:t>
      </w:r>
      <w:r>
        <w:rPr>
          <w:rFonts w:ascii="Book Antiqua" w:hAnsi="Book Antiqua" w:cs="Times New Roman"/>
          <w:sz w:val="24"/>
          <w:szCs w:val="24"/>
        </w:rPr>
        <w:t xml:space="preserve">, </w:t>
      </w:r>
      <w:r>
        <w:rPr>
          <w:rFonts w:ascii="Book Antiqua" w:hAnsi="Book Antiqua" w:cs="Times New Roman"/>
          <w:i/>
          <w:iCs/>
          <w:sz w:val="24"/>
          <w:szCs w:val="24"/>
        </w:rPr>
        <w:t xml:space="preserve">Diplodia seriata, Diplodia mutila </w:t>
      </w:r>
      <w:r>
        <w:rPr>
          <w:rFonts w:ascii="Book Antiqua" w:hAnsi="Book Antiqua" w:cs="Times New Roman"/>
          <w:sz w:val="24"/>
          <w:szCs w:val="24"/>
        </w:rPr>
        <w:t xml:space="preserve">i </w:t>
      </w:r>
      <w:r>
        <w:rPr>
          <w:rFonts w:ascii="Book Antiqua" w:hAnsi="Book Antiqua" w:cs="Times New Roman"/>
          <w:i/>
          <w:iCs/>
          <w:sz w:val="24"/>
          <w:szCs w:val="24"/>
        </w:rPr>
        <w:t>Botryosphaeria dothidea</w:t>
      </w:r>
      <w:r>
        <w:rPr>
          <w:rFonts w:ascii="Book Antiqua" w:hAnsi="Book Antiqua" w:cs="Times New Roman"/>
          <w:sz w:val="24"/>
          <w:szCs w:val="24"/>
        </w:rPr>
        <w:t xml:space="preserve">, patogeni prouzorovači botriosfernog raka vinove loze. Utvrđeno je prisustvo mikroorganizama </w:t>
      </w:r>
      <w:r>
        <w:rPr>
          <w:rFonts w:ascii="Book Antiqua" w:hAnsi="Book Antiqua" w:cs="Times New Roman"/>
          <w:i/>
          <w:sz w:val="24"/>
          <w:szCs w:val="24"/>
        </w:rPr>
        <w:t>Diaporthe ampelina</w:t>
      </w:r>
      <w:r>
        <w:rPr>
          <w:rFonts w:ascii="Book Antiqua" w:hAnsi="Book Antiqua" w:cs="Times New Roman"/>
          <w:sz w:val="24"/>
          <w:szCs w:val="24"/>
        </w:rPr>
        <w:t xml:space="preserve">, </w:t>
      </w:r>
      <w:r>
        <w:rPr>
          <w:rFonts w:ascii="Book Antiqua" w:hAnsi="Book Antiqua" w:cs="Times New Roman"/>
          <w:i/>
          <w:sz w:val="24"/>
          <w:szCs w:val="24"/>
        </w:rPr>
        <w:t>Diaporthe eres</w:t>
      </w:r>
      <w:r>
        <w:rPr>
          <w:rFonts w:ascii="Book Antiqua" w:hAnsi="Book Antiqua" w:cs="Times New Roman"/>
          <w:sz w:val="24"/>
          <w:szCs w:val="24"/>
        </w:rPr>
        <w:t xml:space="preserve">, </w:t>
      </w:r>
      <w:r>
        <w:rPr>
          <w:rFonts w:ascii="Book Antiqua" w:hAnsi="Book Antiqua" w:cs="Times New Roman"/>
          <w:i/>
          <w:sz w:val="24"/>
          <w:szCs w:val="24"/>
        </w:rPr>
        <w:t>Cadophora luteo olivacea</w:t>
      </w:r>
      <w:r>
        <w:rPr>
          <w:rFonts w:ascii="Book Antiqua" w:hAnsi="Book Antiqua" w:cs="Times New Roman"/>
          <w:sz w:val="24"/>
          <w:szCs w:val="24"/>
        </w:rPr>
        <w:t xml:space="preserve">, </w:t>
      </w:r>
      <w:r>
        <w:rPr>
          <w:rFonts w:ascii="Book Antiqua" w:hAnsi="Book Antiqua" w:cs="Times New Roman"/>
          <w:i/>
          <w:iCs/>
          <w:sz w:val="24"/>
          <w:szCs w:val="24"/>
        </w:rPr>
        <w:t>Seimatosporium vitis</w:t>
      </w:r>
      <w:r>
        <w:rPr>
          <w:rFonts w:ascii="Book Antiqua" w:hAnsi="Book Antiqua" w:cs="Times New Roman"/>
          <w:sz w:val="24"/>
          <w:szCs w:val="24"/>
        </w:rPr>
        <w:t xml:space="preserve"> i </w:t>
      </w:r>
      <w:r>
        <w:rPr>
          <w:rFonts w:ascii="Book Antiqua" w:hAnsi="Book Antiqua" w:cs="Times New Roman"/>
          <w:i/>
          <w:iCs/>
          <w:sz w:val="24"/>
          <w:szCs w:val="24"/>
        </w:rPr>
        <w:t>Biscogniauxia mediterranea,</w:t>
      </w:r>
      <w:r>
        <w:rPr>
          <w:rFonts w:ascii="Book Antiqua" w:hAnsi="Book Antiqua" w:cs="Times New Roman"/>
          <w:sz w:val="24"/>
          <w:szCs w:val="24"/>
        </w:rPr>
        <w:t xml:space="preserve"> koji se dovode u vezu sa bolestima stabla vinove loze. </w:t>
      </w:r>
    </w:p>
    <w:p w14:paraId="69B9A2D8"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U čokotima vinove loze mlađim od 5 godina, a koji nijesu pokazivali simptome bolesti, utvrđeno je prisustvo patogenih mikroorganizama </w:t>
      </w:r>
      <w:r>
        <w:rPr>
          <w:rFonts w:ascii="Book Antiqua" w:hAnsi="Book Antiqua" w:cs="Times New Roman"/>
          <w:i/>
          <w:iCs/>
          <w:sz w:val="24"/>
          <w:szCs w:val="24"/>
        </w:rPr>
        <w:t>Phaeomoniella chlamydospora</w:t>
      </w:r>
      <w:r>
        <w:rPr>
          <w:rFonts w:ascii="Book Antiqua" w:hAnsi="Book Antiqua" w:cs="Times New Roman"/>
          <w:sz w:val="24"/>
          <w:szCs w:val="24"/>
        </w:rPr>
        <w:t xml:space="preserve">, </w:t>
      </w:r>
      <w:r>
        <w:rPr>
          <w:rFonts w:ascii="Book Antiqua" w:hAnsi="Book Antiqua" w:cs="Times New Roman"/>
          <w:i/>
          <w:iCs/>
          <w:sz w:val="24"/>
          <w:szCs w:val="24"/>
        </w:rPr>
        <w:t>Diplodia seriata</w:t>
      </w:r>
      <w:r>
        <w:rPr>
          <w:rFonts w:ascii="Book Antiqua" w:hAnsi="Book Antiqua" w:cs="Times New Roman"/>
          <w:sz w:val="24"/>
          <w:szCs w:val="24"/>
        </w:rPr>
        <w:t xml:space="preserve">, </w:t>
      </w:r>
      <w:r>
        <w:rPr>
          <w:rFonts w:ascii="Book Antiqua" w:hAnsi="Book Antiqua" w:cs="Times New Roman"/>
          <w:i/>
          <w:iCs/>
          <w:sz w:val="24"/>
          <w:szCs w:val="24"/>
        </w:rPr>
        <w:t>Botryospheria dothidea</w:t>
      </w:r>
      <w:r>
        <w:rPr>
          <w:rFonts w:ascii="Book Antiqua" w:hAnsi="Book Antiqua" w:cs="Times New Roman"/>
          <w:sz w:val="24"/>
          <w:szCs w:val="24"/>
        </w:rPr>
        <w:t xml:space="preserve">, </w:t>
      </w:r>
      <w:r>
        <w:rPr>
          <w:rFonts w:ascii="Book Antiqua" w:hAnsi="Book Antiqua" w:cs="Times New Roman"/>
          <w:i/>
          <w:iCs/>
          <w:sz w:val="24"/>
          <w:szCs w:val="24"/>
        </w:rPr>
        <w:t>Neofusicoccum parvum</w:t>
      </w:r>
      <w:r>
        <w:rPr>
          <w:rFonts w:ascii="Book Antiqua" w:hAnsi="Book Antiqua" w:cs="Times New Roman"/>
          <w:sz w:val="24"/>
          <w:szCs w:val="24"/>
        </w:rPr>
        <w:t xml:space="preserve">. </w:t>
      </w:r>
    </w:p>
    <w:p w14:paraId="11A920C6"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Analizom klimatskih faktora u periodu istraživanja, ustanovljeno je da veća količina padavina u periodu maj/jun može prouzrokovati jači intenzitet pojave simptoma bolesti. Tokom berbe 2024. godine utvrđen je direktan gubitak prinosa od 43,47% usled razvoja eska oboljenja u ispitivanom vinogradu. </w:t>
      </w:r>
    </w:p>
    <w:p w14:paraId="205AF96A" w14:textId="77777777" w:rsidR="003801E8" w:rsidRDefault="00E44AAE">
      <w:pPr>
        <w:spacing w:line="360" w:lineRule="auto"/>
        <w:jc w:val="both"/>
        <w:rPr>
          <w:rFonts w:ascii="Book Antiqua" w:hAnsi="Book Antiqua"/>
          <w:sz w:val="24"/>
          <w:szCs w:val="24"/>
        </w:rPr>
      </w:pPr>
      <w:r>
        <w:rPr>
          <w:rFonts w:ascii="Book Antiqua" w:hAnsi="Book Antiqua"/>
          <w:sz w:val="24"/>
          <w:szCs w:val="24"/>
        </w:rPr>
        <w:t xml:space="preserve">Kombinacijom različitih </w:t>
      </w:r>
      <w:r>
        <w:rPr>
          <w:rFonts w:ascii="Book Antiqua" w:hAnsi="Book Antiqua"/>
          <w:i/>
          <w:iCs/>
          <w:sz w:val="24"/>
          <w:szCs w:val="24"/>
        </w:rPr>
        <w:t>in vitro</w:t>
      </w:r>
      <w:r>
        <w:rPr>
          <w:rFonts w:ascii="Book Antiqua" w:hAnsi="Book Antiqua"/>
          <w:sz w:val="24"/>
          <w:szCs w:val="24"/>
        </w:rPr>
        <w:t xml:space="preserve"> i </w:t>
      </w:r>
      <w:r>
        <w:rPr>
          <w:rFonts w:ascii="Book Antiqua" w:hAnsi="Book Antiqua"/>
          <w:i/>
          <w:iCs/>
          <w:sz w:val="24"/>
          <w:szCs w:val="24"/>
        </w:rPr>
        <w:t>in vivo</w:t>
      </w:r>
      <w:r>
        <w:rPr>
          <w:rFonts w:ascii="Book Antiqua" w:hAnsi="Book Antiqua"/>
          <w:sz w:val="24"/>
          <w:szCs w:val="24"/>
        </w:rPr>
        <w:t xml:space="preserve"> testova ispitan je antagonistički potencijal lokalno izolovanog soja </w:t>
      </w:r>
      <w:r>
        <w:rPr>
          <w:rFonts w:ascii="Book Antiqua" w:hAnsi="Book Antiqua"/>
          <w:bCs/>
          <w:i/>
          <w:sz w:val="24"/>
          <w:szCs w:val="24"/>
        </w:rPr>
        <w:t>Trichoderma citrinoviride</w:t>
      </w:r>
      <w:r>
        <w:rPr>
          <w:rFonts w:ascii="Book Antiqua" w:hAnsi="Book Antiqua"/>
          <w:sz w:val="24"/>
          <w:szCs w:val="24"/>
        </w:rPr>
        <w:t xml:space="preserve"> T-CG prema izolatima patogena prouzrokovača eska oboljenja vinove loze u Crnoj Gori, te upoređen sa komercijalnim biofungicidom Vintec</w:t>
      </w:r>
      <w:r>
        <w:rPr>
          <w:rFonts w:ascii="Arial" w:hAnsi="Arial" w:cs="Arial"/>
          <w:shd w:val="clear" w:color="auto" w:fill="FFFFFF"/>
        </w:rPr>
        <w:t>®</w:t>
      </w:r>
      <w:r>
        <w:rPr>
          <w:rFonts w:ascii="Book Antiqua" w:hAnsi="Book Antiqua"/>
          <w:sz w:val="24"/>
          <w:szCs w:val="24"/>
        </w:rPr>
        <w:t xml:space="preserve"> (</w:t>
      </w:r>
      <w:r>
        <w:rPr>
          <w:rFonts w:ascii="Book Antiqua" w:hAnsi="Book Antiqua"/>
          <w:bCs/>
          <w:i/>
          <w:sz w:val="24"/>
          <w:szCs w:val="24"/>
        </w:rPr>
        <w:t>Trichoderma atroviride</w:t>
      </w:r>
      <w:r>
        <w:rPr>
          <w:rFonts w:ascii="Book Antiqua" w:hAnsi="Book Antiqua"/>
          <w:sz w:val="24"/>
          <w:szCs w:val="24"/>
        </w:rPr>
        <w:t xml:space="preserve"> SC1). Radi upoređivanja rezultata, antagonistički potencijal bakarnog preparata Nordox</w:t>
      </w:r>
      <w:r>
        <w:rPr>
          <w:rFonts w:ascii="Arial" w:hAnsi="Arial" w:cs="Arial"/>
          <w:shd w:val="clear" w:color="auto" w:fill="FFFFFF"/>
        </w:rPr>
        <w:t>®</w:t>
      </w:r>
      <w:r>
        <w:rPr>
          <w:rFonts w:ascii="Book Antiqua" w:hAnsi="Book Antiqua"/>
          <w:sz w:val="24"/>
          <w:szCs w:val="24"/>
        </w:rPr>
        <w:t xml:space="preserve"> ispitan je indirektnim </w:t>
      </w:r>
      <w:r>
        <w:rPr>
          <w:rFonts w:ascii="Book Antiqua" w:hAnsi="Book Antiqua"/>
          <w:i/>
          <w:iCs/>
          <w:sz w:val="24"/>
          <w:szCs w:val="24"/>
        </w:rPr>
        <w:t>in vitro</w:t>
      </w:r>
      <w:r>
        <w:rPr>
          <w:rFonts w:ascii="Book Antiqua" w:hAnsi="Book Antiqua"/>
          <w:sz w:val="24"/>
          <w:szCs w:val="24"/>
        </w:rPr>
        <w:t xml:space="preserve"> i </w:t>
      </w:r>
      <w:r>
        <w:rPr>
          <w:rFonts w:ascii="Book Antiqua" w:hAnsi="Book Antiqua"/>
          <w:i/>
          <w:iCs/>
          <w:sz w:val="24"/>
          <w:szCs w:val="24"/>
        </w:rPr>
        <w:t>in vivo</w:t>
      </w:r>
      <w:r>
        <w:rPr>
          <w:rFonts w:ascii="Book Antiqua" w:hAnsi="Book Antiqua"/>
          <w:sz w:val="24"/>
          <w:szCs w:val="24"/>
        </w:rPr>
        <w:t xml:space="preserve"> testovima prema izolatu </w:t>
      </w:r>
      <w:r>
        <w:rPr>
          <w:rFonts w:ascii="Book Antiqua" w:hAnsi="Book Antiqua"/>
          <w:bCs/>
          <w:i/>
          <w:sz w:val="24"/>
          <w:szCs w:val="24"/>
        </w:rPr>
        <w:t>Fomitiporia mediterranea</w:t>
      </w:r>
      <w:r>
        <w:rPr>
          <w:rFonts w:ascii="Book Antiqua" w:hAnsi="Book Antiqua"/>
          <w:sz w:val="24"/>
          <w:szCs w:val="24"/>
        </w:rPr>
        <w:t xml:space="preserve"> MN008. U svim izvedenim testovima lokalno izolovani soj </w:t>
      </w:r>
      <w:r>
        <w:rPr>
          <w:rFonts w:ascii="Book Antiqua" w:hAnsi="Book Antiqua"/>
          <w:bCs/>
          <w:i/>
          <w:sz w:val="24"/>
          <w:szCs w:val="24"/>
        </w:rPr>
        <w:t>T. citrinoviride</w:t>
      </w:r>
      <w:r>
        <w:rPr>
          <w:rFonts w:ascii="Book Antiqua" w:hAnsi="Book Antiqua"/>
          <w:sz w:val="24"/>
          <w:szCs w:val="24"/>
        </w:rPr>
        <w:t xml:space="preserve"> T-CG pokazao je statistički značajan antagonistički efekat u odnosu na kontrolu prema svim ispitivanim izolatima patogena. Posebno je izražen antagonizam zabilježen u indirektnom </w:t>
      </w:r>
      <w:r>
        <w:rPr>
          <w:rFonts w:ascii="Book Antiqua" w:hAnsi="Book Antiqua"/>
          <w:i/>
          <w:iCs/>
          <w:sz w:val="24"/>
          <w:szCs w:val="24"/>
        </w:rPr>
        <w:t>in vitro</w:t>
      </w:r>
      <w:r>
        <w:rPr>
          <w:rFonts w:ascii="Book Antiqua" w:hAnsi="Book Antiqua"/>
          <w:sz w:val="24"/>
          <w:szCs w:val="24"/>
        </w:rPr>
        <w:t xml:space="preserve"> testu prema izolatima </w:t>
      </w:r>
      <w:r>
        <w:rPr>
          <w:rFonts w:ascii="Book Antiqua" w:hAnsi="Book Antiqua"/>
          <w:bCs/>
          <w:i/>
          <w:sz w:val="24"/>
          <w:szCs w:val="24"/>
        </w:rPr>
        <w:t>P. minimum</w:t>
      </w:r>
      <w:r>
        <w:rPr>
          <w:rFonts w:ascii="Book Antiqua" w:hAnsi="Book Antiqua"/>
          <w:sz w:val="24"/>
          <w:szCs w:val="24"/>
        </w:rPr>
        <w:t xml:space="preserve"> MN002 i </w:t>
      </w:r>
      <w:r>
        <w:rPr>
          <w:rFonts w:ascii="Book Antiqua" w:hAnsi="Book Antiqua"/>
          <w:bCs/>
          <w:i/>
          <w:sz w:val="24"/>
          <w:szCs w:val="24"/>
        </w:rPr>
        <w:t>F. mediterranea</w:t>
      </w:r>
      <w:r>
        <w:rPr>
          <w:rFonts w:ascii="Book Antiqua" w:hAnsi="Book Antiqua"/>
          <w:sz w:val="24"/>
          <w:szCs w:val="24"/>
        </w:rPr>
        <w:t xml:space="preserve"> MN008. Dobijeni rezultati ukazuju na potrebu za strožijim fitosanitarnim nadzorom u proizvodnji i uvozu sadnog materijala vinove loze, kao i na neophodnost razvoja integrisanih strategija suzbijanja eska </w:t>
      </w:r>
      <w:r>
        <w:rPr>
          <w:rFonts w:ascii="Book Antiqua" w:hAnsi="Book Antiqua"/>
          <w:sz w:val="24"/>
          <w:szCs w:val="24"/>
        </w:rPr>
        <w:lastRenderedPageBreak/>
        <w:t>oboljenja zasnovanih na primjeni biofungicida u kombinaciji sa odgovarajućim agrotehničkim i mehaničkim mjerama. Takođe, rezultati predstavljaju osnovu za dalja istraživanja lokalnih sojeva razli</w:t>
      </w:r>
      <w:r>
        <w:rPr>
          <w:rFonts w:ascii="Book Antiqua" w:hAnsi="Book Antiqua"/>
          <w:sz w:val="24"/>
          <w:szCs w:val="24"/>
          <w:lang w:val="en-US"/>
        </w:rPr>
        <w:t xml:space="preserve">čitih vrsta mikroorganizama </w:t>
      </w:r>
      <w:r>
        <w:rPr>
          <w:rFonts w:ascii="Book Antiqua" w:hAnsi="Book Antiqua"/>
          <w:sz w:val="24"/>
          <w:szCs w:val="24"/>
        </w:rPr>
        <w:t xml:space="preserve">sa biokontrolnim potencijalom kao i osnovu  za dalju procjenu vrste </w:t>
      </w:r>
      <w:r>
        <w:rPr>
          <w:rFonts w:ascii="Book Antiqua" w:hAnsi="Book Antiqua"/>
          <w:bCs/>
          <w:i/>
          <w:sz w:val="24"/>
          <w:szCs w:val="24"/>
        </w:rPr>
        <w:t>T. citrinoviride</w:t>
      </w:r>
      <w:r>
        <w:rPr>
          <w:rFonts w:ascii="Book Antiqua" w:hAnsi="Book Antiqua"/>
          <w:sz w:val="24"/>
          <w:szCs w:val="24"/>
        </w:rPr>
        <w:t xml:space="preserve"> T-CG kao potencijalnog biološkog agensa u održivom upravljanju eska oboljenjem.</w:t>
      </w:r>
    </w:p>
    <w:p w14:paraId="5D1F14CC" w14:textId="77777777" w:rsidR="003801E8" w:rsidRDefault="00E44AAE">
      <w:pPr>
        <w:spacing w:line="360" w:lineRule="auto"/>
        <w:jc w:val="both"/>
        <w:rPr>
          <w:rFonts w:ascii="Book Antiqua" w:hAnsi="Book Antiqua" w:cs="Times New Roman"/>
          <w:bCs/>
          <w:sz w:val="24"/>
          <w:szCs w:val="24"/>
        </w:rPr>
      </w:pPr>
      <w:r>
        <w:rPr>
          <w:rFonts w:ascii="Book Antiqua" w:hAnsi="Book Antiqua" w:cs="Times New Roman"/>
          <w:b/>
          <w:color w:val="00204F"/>
          <w:sz w:val="24"/>
          <w:szCs w:val="24"/>
        </w:rPr>
        <w:t xml:space="preserve">Ključne riječi: </w:t>
      </w:r>
      <w:r>
        <w:rPr>
          <w:rFonts w:ascii="Book Antiqua" w:hAnsi="Book Antiqua" w:cs="Times New Roman"/>
          <w:bCs/>
          <w:sz w:val="24"/>
          <w:szCs w:val="24"/>
        </w:rPr>
        <w:t xml:space="preserve">bolesti stabla vinove loze, </w:t>
      </w:r>
      <w:r>
        <w:rPr>
          <w:rFonts w:ascii="Book Antiqua" w:hAnsi="Book Antiqua" w:cs="Times New Roman"/>
          <w:bCs/>
          <w:i/>
          <w:iCs/>
          <w:sz w:val="24"/>
          <w:szCs w:val="24"/>
        </w:rPr>
        <w:t>Phaeomoniella chlamydospora</w:t>
      </w:r>
      <w:r>
        <w:rPr>
          <w:rFonts w:ascii="Book Antiqua" w:hAnsi="Book Antiqua" w:cs="Times New Roman"/>
          <w:bCs/>
          <w:sz w:val="24"/>
          <w:szCs w:val="24"/>
        </w:rPr>
        <w:t xml:space="preserve">, </w:t>
      </w:r>
      <w:r>
        <w:rPr>
          <w:rFonts w:ascii="Book Antiqua" w:hAnsi="Book Antiqua" w:cs="Times New Roman"/>
          <w:bCs/>
          <w:i/>
          <w:iCs/>
          <w:sz w:val="24"/>
          <w:szCs w:val="24"/>
        </w:rPr>
        <w:t>Phaeoacremonium minimum</w:t>
      </w:r>
      <w:r>
        <w:rPr>
          <w:rFonts w:ascii="Book Antiqua" w:hAnsi="Book Antiqua" w:cs="Times New Roman"/>
          <w:bCs/>
          <w:sz w:val="24"/>
          <w:szCs w:val="24"/>
        </w:rPr>
        <w:t xml:space="preserve">, </w:t>
      </w:r>
      <w:r>
        <w:rPr>
          <w:rFonts w:ascii="Book Antiqua" w:hAnsi="Book Antiqua" w:cs="Times New Roman"/>
          <w:bCs/>
          <w:i/>
          <w:iCs/>
          <w:sz w:val="24"/>
          <w:szCs w:val="24"/>
        </w:rPr>
        <w:t>Fomitiporia mediterranea</w:t>
      </w:r>
      <w:r>
        <w:rPr>
          <w:rFonts w:ascii="Book Antiqua" w:hAnsi="Book Antiqua" w:cs="Times New Roman"/>
          <w:bCs/>
          <w:sz w:val="24"/>
          <w:szCs w:val="24"/>
        </w:rPr>
        <w:t xml:space="preserve">, biološka kontrola, </w:t>
      </w:r>
      <w:r>
        <w:rPr>
          <w:rFonts w:ascii="Book Antiqua" w:hAnsi="Book Antiqua" w:cs="Times New Roman"/>
          <w:bCs/>
          <w:i/>
          <w:iCs/>
          <w:sz w:val="24"/>
          <w:szCs w:val="24"/>
        </w:rPr>
        <w:t>Trichoderma</w:t>
      </w:r>
      <w:r>
        <w:rPr>
          <w:rFonts w:ascii="Book Antiqua" w:hAnsi="Book Antiqua" w:cs="Times New Roman"/>
          <w:bCs/>
          <w:sz w:val="24"/>
          <w:szCs w:val="24"/>
        </w:rPr>
        <w:t xml:space="preserve"> spp. </w:t>
      </w:r>
    </w:p>
    <w:p w14:paraId="0C6DC648" w14:textId="77777777" w:rsidR="003801E8" w:rsidRDefault="003801E8">
      <w:pPr>
        <w:pStyle w:val="teza1"/>
        <w:spacing w:before="0" w:after="200"/>
        <w:jc w:val="left"/>
        <w:rPr>
          <w:rFonts w:ascii="Book Antiqua" w:hAnsi="Book Antiqua" w:cs="Times New Roman"/>
          <w:color w:val="323E4F" w:themeColor="text2" w:themeShade="BF"/>
          <w:sz w:val="24"/>
        </w:rPr>
      </w:pPr>
    </w:p>
    <w:p w14:paraId="6A5C6868" w14:textId="77777777" w:rsidR="003801E8" w:rsidRDefault="003801E8">
      <w:pPr>
        <w:pStyle w:val="teza1"/>
        <w:spacing w:before="0" w:after="200"/>
        <w:jc w:val="left"/>
        <w:rPr>
          <w:rFonts w:ascii="Book Antiqua" w:hAnsi="Book Antiqua" w:cs="Times New Roman"/>
          <w:color w:val="323E4F" w:themeColor="text2" w:themeShade="BF"/>
          <w:sz w:val="24"/>
        </w:rPr>
      </w:pPr>
    </w:p>
    <w:p w14:paraId="761E5D15" w14:textId="77777777" w:rsidR="003801E8" w:rsidRDefault="003801E8">
      <w:pPr>
        <w:pStyle w:val="teza1"/>
        <w:spacing w:before="0" w:after="200"/>
        <w:jc w:val="left"/>
        <w:rPr>
          <w:rFonts w:ascii="Book Antiqua" w:hAnsi="Book Antiqua" w:cs="Times New Roman"/>
          <w:color w:val="323E4F" w:themeColor="text2" w:themeShade="BF"/>
          <w:sz w:val="24"/>
        </w:rPr>
      </w:pPr>
    </w:p>
    <w:p w14:paraId="05E5DFC6" w14:textId="77777777" w:rsidR="003801E8" w:rsidRDefault="003801E8">
      <w:pPr>
        <w:pStyle w:val="teza1"/>
        <w:spacing w:before="0" w:after="200"/>
        <w:jc w:val="left"/>
        <w:rPr>
          <w:rFonts w:ascii="Book Antiqua" w:hAnsi="Book Antiqua" w:cs="Times New Roman"/>
          <w:color w:val="323E4F" w:themeColor="text2" w:themeShade="BF"/>
          <w:sz w:val="24"/>
        </w:rPr>
      </w:pPr>
    </w:p>
    <w:p w14:paraId="5EC66D32" w14:textId="77777777" w:rsidR="003801E8" w:rsidRDefault="003801E8">
      <w:pPr>
        <w:pStyle w:val="teza1"/>
        <w:spacing w:before="0" w:after="200"/>
        <w:jc w:val="left"/>
        <w:rPr>
          <w:rFonts w:ascii="Book Antiqua" w:hAnsi="Book Antiqua" w:cs="Times New Roman"/>
          <w:color w:val="323E4F" w:themeColor="text2" w:themeShade="BF"/>
          <w:sz w:val="24"/>
        </w:rPr>
      </w:pPr>
    </w:p>
    <w:p w14:paraId="7D57EED4" w14:textId="77777777" w:rsidR="003801E8" w:rsidRDefault="003801E8">
      <w:pPr>
        <w:pStyle w:val="teza1"/>
        <w:spacing w:before="0" w:after="200"/>
        <w:jc w:val="left"/>
        <w:rPr>
          <w:rFonts w:ascii="Book Antiqua" w:hAnsi="Book Antiqua" w:cs="Times New Roman"/>
          <w:color w:val="323E4F" w:themeColor="text2" w:themeShade="BF"/>
          <w:sz w:val="24"/>
        </w:rPr>
      </w:pPr>
    </w:p>
    <w:p w14:paraId="317228C9" w14:textId="77777777" w:rsidR="003801E8" w:rsidRDefault="003801E8">
      <w:pPr>
        <w:pStyle w:val="teza1"/>
        <w:spacing w:before="0" w:after="200"/>
        <w:jc w:val="left"/>
        <w:rPr>
          <w:rFonts w:ascii="Book Antiqua" w:hAnsi="Book Antiqua" w:cs="Times New Roman"/>
          <w:color w:val="323E4F" w:themeColor="text2" w:themeShade="BF"/>
          <w:sz w:val="24"/>
        </w:rPr>
      </w:pPr>
    </w:p>
    <w:p w14:paraId="039384E9" w14:textId="77777777" w:rsidR="003801E8" w:rsidRDefault="003801E8">
      <w:pPr>
        <w:pStyle w:val="teza1"/>
        <w:spacing w:before="0" w:after="200"/>
        <w:jc w:val="left"/>
        <w:rPr>
          <w:rFonts w:ascii="Book Antiqua" w:hAnsi="Book Antiqua" w:cs="Times New Roman"/>
          <w:color w:val="323E4F" w:themeColor="text2" w:themeShade="BF"/>
          <w:sz w:val="24"/>
        </w:rPr>
      </w:pPr>
    </w:p>
    <w:p w14:paraId="4D5E829C" w14:textId="77777777" w:rsidR="003801E8" w:rsidRDefault="003801E8">
      <w:pPr>
        <w:pStyle w:val="teza1"/>
        <w:spacing w:before="0" w:after="200"/>
        <w:jc w:val="left"/>
        <w:rPr>
          <w:rFonts w:ascii="Book Antiqua" w:hAnsi="Book Antiqua" w:cs="Times New Roman"/>
          <w:color w:val="323E4F" w:themeColor="text2" w:themeShade="BF"/>
          <w:sz w:val="24"/>
        </w:rPr>
      </w:pPr>
    </w:p>
    <w:p w14:paraId="3DC57BB4" w14:textId="77777777" w:rsidR="00F83C53" w:rsidRDefault="00F83C53">
      <w:pPr>
        <w:pStyle w:val="teza1"/>
        <w:spacing w:before="0" w:after="200"/>
        <w:jc w:val="left"/>
        <w:rPr>
          <w:rFonts w:ascii="Book Antiqua" w:hAnsi="Book Antiqua" w:cs="Times New Roman"/>
          <w:color w:val="323E4F" w:themeColor="text2" w:themeShade="BF"/>
          <w:sz w:val="24"/>
        </w:rPr>
      </w:pPr>
    </w:p>
    <w:p w14:paraId="5C278AD8" w14:textId="77777777" w:rsidR="003801E8" w:rsidRDefault="003801E8">
      <w:pPr>
        <w:pStyle w:val="teza1"/>
        <w:spacing w:before="0" w:after="200"/>
        <w:jc w:val="left"/>
        <w:rPr>
          <w:rFonts w:ascii="Book Antiqua" w:hAnsi="Book Antiqua" w:cs="Times New Roman"/>
          <w:color w:val="323E4F" w:themeColor="text2" w:themeShade="BF"/>
          <w:sz w:val="24"/>
        </w:rPr>
      </w:pPr>
    </w:p>
    <w:p w14:paraId="7406743B" w14:textId="77777777" w:rsidR="003801E8" w:rsidRDefault="003801E8">
      <w:pPr>
        <w:pStyle w:val="teza1"/>
        <w:spacing w:before="0" w:after="200"/>
        <w:jc w:val="left"/>
        <w:rPr>
          <w:rFonts w:ascii="Book Antiqua" w:hAnsi="Book Antiqua" w:cs="Times New Roman"/>
          <w:color w:val="323E4F" w:themeColor="text2" w:themeShade="BF"/>
          <w:sz w:val="24"/>
        </w:rPr>
      </w:pPr>
    </w:p>
    <w:p w14:paraId="36A5EDA0" w14:textId="77777777" w:rsidR="003801E8" w:rsidRDefault="003801E8">
      <w:pPr>
        <w:pStyle w:val="teza1"/>
        <w:spacing w:before="0" w:after="200"/>
        <w:jc w:val="left"/>
        <w:rPr>
          <w:rFonts w:ascii="Book Antiqua" w:hAnsi="Book Antiqua" w:cs="Times New Roman"/>
          <w:color w:val="323E4F" w:themeColor="text2" w:themeShade="BF"/>
          <w:sz w:val="24"/>
        </w:rPr>
      </w:pPr>
    </w:p>
    <w:p w14:paraId="1699E613" w14:textId="77777777" w:rsidR="003801E8" w:rsidRDefault="003801E8">
      <w:pPr>
        <w:pStyle w:val="teza1"/>
        <w:spacing w:before="0" w:after="200"/>
        <w:jc w:val="left"/>
        <w:rPr>
          <w:rFonts w:ascii="Book Antiqua" w:hAnsi="Book Antiqua" w:cs="Times New Roman"/>
          <w:color w:val="auto"/>
          <w:sz w:val="24"/>
        </w:rPr>
      </w:pPr>
    </w:p>
    <w:p w14:paraId="291C1D4D" w14:textId="77777777" w:rsidR="003801E8" w:rsidRDefault="00E44AAE">
      <w:pPr>
        <w:pStyle w:val="teza1"/>
        <w:spacing w:before="0" w:after="200"/>
        <w:jc w:val="left"/>
        <w:rPr>
          <w:rFonts w:ascii="Book Antiqua" w:hAnsi="Book Antiqua" w:cs="Times New Roman"/>
          <w:color w:val="auto"/>
          <w:sz w:val="24"/>
        </w:rPr>
      </w:pPr>
      <w:r>
        <w:rPr>
          <w:rFonts w:ascii="Book Antiqua" w:hAnsi="Book Antiqua" w:cs="Times New Roman"/>
          <w:color w:val="auto"/>
          <w:sz w:val="24"/>
        </w:rPr>
        <w:lastRenderedPageBreak/>
        <w:t>Abstract</w:t>
      </w:r>
    </w:p>
    <w:p w14:paraId="369CE7DE"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The term grapevine trunk diseases (GTDs) encompasses several grapevine diseases associated with different phytopathogenic fungi. They are characterized by wide geographical distribution and represent a problem in all viticultural countries worldwide, with esca being one of the oldest and economically most significant diseases within this group. The etiology of esca disease in Montenegro is difficult to determine; however, as in other European countries, the increased occurrence of pronounced symptoms is associated with the discontinuation of sodium arsenite and creosote use. Disease symptoms occur in vineyards of different ages and cultivars across all grape-growing regions of Montenegro. Viticulture is one of the most important sectors of Montenegrin agriculture; therefore, the results presented in this thesis contribute to improving knowledge of esca disease in Montenegro and the possibilities of its control using biological plant protection measures.</w:t>
      </w:r>
    </w:p>
    <w:p w14:paraId="3C7801C5"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During a four-year study, 30 vineyards were surveyed, 70 grape growers were interviewed across all viticultural regions, and a total of 85 different samples were collected for analysis. Vineyard inspections confirmed the presence of esca disease symptoms in all Montenegrin viticultural regions, manifested as chronic and apoplectic grapevine dieback. Symptom intensity varied depending on cultivar and vineyard age, while foliar symptoms were not observed in vineyards younger than five years. The highest disease incidence was recorded in vineyards aged 30–35 years, where a large number of “empty places” was observed.</w:t>
      </w:r>
    </w:p>
    <w:p w14:paraId="62E8BF67"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 xml:space="preserve">The autochthonous Montenegrin varieties Vranac and Kratošija, as well as certain table grape varieties, Afus Ali and Cardinal, showed a high level of susceptibility, in contrast to introduced varieties Syrah, Merlot, Chardonnay, Cabernet Sauvignon, and Marselan. </w:t>
      </w:r>
    </w:p>
    <w:p w14:paraId="1603AE48"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lastRenderedPageBreak/>
        <w:t>The results of the survey conducted among Montenegrin grape growers regarding esca disease indicated a low level of knowledge concerning disease pathogenesis, control options, and economic impact.</w:t>
      </w:r>
    </w:p>
    <w:p w14:paraId="2641CE29"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 xml:space="preserve">Laboratory processing of the collected samples resulted in the isolation of 236 isolates of various pathogenic and saprophytic microorganisms. Molecular diagnostics and sequencing of different genes (ITS, LSU, TUB2, TEF1a, ACT, RPB2, CAL, HIS) identified the pathogenic microorganisms </w:t>
      </w:r>
      <w:r>
        <w:rPr>
          <w:rFonts w:ascii="Book Antiqua" w:eastAsia="Times New Roman" w:hAnsi="Book Antiqua" w:cs="Times New Roman"/>
          <w:i/>
          <w:iCs/>
          <w:sz w:val="24"/>
          <w:szCs w:val="24"/>
          <w:lang w:val="en-US"/>
        </w:rPr>
        <w:t>Phaeoacremonium minimum</w:t>
      </w:r>
      <w:r>
        <w:rPr>
          <w:rFonts w:ascii="Book Antiqua" w:eastAsia="Times New Roman" w:hAnsi="Book Antiqua" w:cs="Times New Roman"/>
          <w:sz w:val="24"/>
          <w:szCs w:val="24"/>
          <w:lang w:val="en-US"/>
        </w:rPr>
        <w:t xml:space="preserve">, </w:t>
      </w:r>
      <w:r>
        <w:rPr>
          <w:rFonts w:ascii="Book Antiqua" w:eastAsia="Times New Roman" w:hAnsi="Book Antiqua" w:cs="Times New Roman"/>
          <w:i/>
          <w:iCs/>
          <w:sz w:val="24"/>
          <w:szCs w:val="24"/>
          <w:lang w:val="en-US"/>
        </w:rPr>
        <w:t>Phaeomoniella chlamydospora</w:t>
      </w:r>
      <w:r>
        <w:rPr>
          <w:rFonts w:ascii="Book Antiqua" w:eastAsia="Times New Roman" w:hAnsi="Book Antiqua" w:cs="Times New Roman"/>
          <w:sz w:val="24"/>
          <w:szCs w:val="24"/>
          <w:lang w:val="en-US"/>
        </w:rPr>
        <w:t xml:space="preserve">, and </w:t>
      </w:r>
      <w:r>
        <w:rPr>
          <w:rFonts w:ascii="Book Antiqua" w:eastAsia="Times New Roman" w:hAnsi="Book Antiqua" w:cs="Times New Roman"/>
          <w:i/>
          <w:iCs/>
          <w:sz w:val="24"/>
          <w:szCs w:val="24"/>
          <w:lang w:val="en-US"/>
        </w:rPr>
        <w:t>Fomitiporia mediterranea</w:t>
      </w:r>
      <w:r>
        <w:rPr>
          <w:rFonts w:ascii="Book Antiqua" w:eastAsia="Times New Roman" w:hAnsi="Book Antiqua" w:cs="Times New Roman"/>
          <w:sz w:val="24"/>
          <w:szCs w:val="24"/>
          <w:lang w:val="en-US"/>
        </w:rPr>
        <w:t xml:space="preserve"> in grapevine plants showing esca symptoms. In addition to esca-associated pathogens, </w:t>
      </w:r>
      <w:r>
        <w:rPr>
          <w:rFonts w:ascii="Book Antiqua" w:eastAsia="Times New Roman" w:hAnsi="Book Antiqua" w:cs="Times New Roman"/>
          <w:i/>
          <w:iCs/>
          <w:sz w:val="24"/>
          <w:szCs w:val="24"/>
          <w:lang w:val="en-US"/>
        </w:rPr>
        <w:t>Neofusicoccum parvum</w:t>
      </w:r>
      <w:r>
        <w:rPr>
          <w:rFonts w:ascii="Book Antiqua" w:eastAsia="Times New Roman" w:hAnsi="Book Antiqua" w:cs="Times New Roman"/>
          <w:sz w:val="24"/>
          <w:szCs w:val="24"/>
          <w:lang w:val="en-US"/>
        </w:rPr>
        <w:t xml:space="preserve">, </w:t>
      </w:r>
      <w:r>
        <w:rPr>
          <w:rFonts w:ascii="Book Antiqua" w:eastAsia="Times New Roman" w:hAnsi="Book Antiqua" w:cs="Times New Roman"/>
          <w:i/>
          <w:iCs/>
          <w:sz w:val="24"/>
          <w:szCs w:val="24"/>
          <w:lang w:val="en-US"/>
        </w:rPr>
        <w:t>Diplodia seriata</w:t>
      </w:r>
      <w:r>
        <w:rPr>
          <w:rFonts w:ascii="Book Antiqua" w:eastAsia="Times New Roman" w:hAnsi="Book Antiqua" w:cs="Times New Roman"/>
          <w:sz w:val="24"/>
          <w:szCs w:val="24"/>
          <w:lang w:val="en-US"/>
        </w:rPr>
        <w:t xml:space="preserve">, </w:t>
      </w:r>
      <w:r>
        <w:rPr>
          <w:rFonts w:ascii="Book Antiqua" w:eastAsia="Times New Roman" w:hAnsi="Book Antiqua" w:cs="Times New Roman"/>
          <w:i/>
          <w:iCs/>
          <w:sz w:val="24"/>
          <w:szCs w:val="24"/>
          <w:lang w:val="en-US"/>
        </w:rPr>
        <w:t>Diplodia mutila</w:t>
      </w:r>
      <w:r>
        <w:rPr>
          <w:rFonts w:ascii="Book Antiqua" w:eastAsia="Times New Roman" w:hAnsi="Book Antiqua" w:cs="Times New Roman"/>
          <w:sz w:val="24"/>
          <w:szCs w:val="24"/>
          <w:lang w:val="en-US"/>
        </w:rPr>
        <w:t xml:space="preserve">, and </w:t>
      </w:r>
      <w:r>
        <w:rPr>
          <w:rFonts w:ascii="Book Antiqua" w:eastAsia="Times New Roman" w:hAnsi="Book Antiqua" w:cs="Times New Roman"/>
          <w:i/>
          <w:iCs/>
          <w:sz w:val="24"/>
          <w:szCs w:val="24"/>
          <w:lang w:val="en-US"/>
        </w:rPr>
        <w:t>Botryosphaeria dothidea</w:t>
      </w:r>
      <w:r>
        <w:rPr>
          <w:rFonts w:ascii="Book Antiqua" w:eastAsia="Times New Roman" w:hAnsi="Book Antiqua" w:cs="Times New Roman"/>
          <w:sz w:val="24"/>
          <w:szCs w:val="24"/>
          <w:lang w:val="en-US"/>
        </w:rPr>
        <w:t xml:space="preserve">, the causal agents of Botryosphaeria dieback of grapevine, were also identified. The presence of microorganisms </w:t>
      </w:r>
      <w:r>
        <w:rPr>
          <w:rFonts w:ascii="Book Antiqua" w:eastAsia="Times New Roman" w:hAnsi="Book Antiqua" w:cs="Times New Roman"/>
          <w:i/>
          <w:iCs/>
          <w:sz w:val="24"/>
          <w:szCs w:val="24"/>
          <w:lang w:val="en-US"/>
        </w:rPr>
        <w:t>Diaporthe ampelina</w:t>
      </w:r>
      <w:r>
        <w:rPr>
          <w:rFonts w:ascii="Book Antiqua" w:eastAsia="Times New Roman" w:hAnsi="Book Antiqua" w:cs="Times New Roman"/>
          <w:sz w:val="24"/>
          <w:szCs w:val="24"/>
          <w:lang w:val="en-US"/>
        </w:rPr>
        <w:t xml:space="preserve">, </w:t>
      </w:r>
      <w:r>
        <w:rPr>
          <w:rFonts w:ascii="Book Antiqua" w:eastAsia="Times New Roman" w:hAnsi="Book Antiqua" w:cs="Times New Roman"/>
          <w:i/>
          <w:iCs/>
          <w:sz w:val="24"/>
          <w:szCs w:val="24"/>
          <w:lang w:val="en-US"/>
        </w:rPr>
        <w:t>Diaporthe eres</w:t>
      </w:r>
      <w:r>
        <w:rPr>
          <w:rFonts w:ascii="Book Antiqua" w:eastAsia="Times New Roman" w:hAnsi="Book Antiqua" w:cs="Times New Roman"/>
          <w:sz w:val="24"/>
          <w:szCs w:val="24"/>
          <w:lang w:val="en-US"/>
        </w:rPr>
        <w:t xml:space="preserve">, </w:t>
      </w:r>
      <w:r>
        <w:rPr>
          <w:rFonts w:ascii="Book Antiqua" w:eastAsia="Times New Roman" w:hAnsi="Book Antiqua" w:cs="Times New Roman"/>
          <w:i/>
          <w:iCs/>
          <w:sz w:val="24"/>
          <w:szCs w:val="24"/>
          <w:lang w:val="en-US"/>
        </w:rPr>
        <w:t>Cadophora luteo-olivacea</w:t>
      </w:r>
      <w:r>
        <w:rPr>
          <w:rFonts w:ascii="Book Antiqua" w:eastAsia="Times New Roman" w:hAnsi="Book Antiqua" w:cs="Times New Roman"/>
          <w:sz w:val="24"/>
          <w:szCs w:val="24"/>
          <w:lang w:val="en-US"/>
        </w:rPr>
        <w:t xml:space="preserve">, </w:t>
      </w:r>
      <w:r>
        <w:rPr>
          <w:rFonts w:ascii="Book Antiqua" w:eastAsia="Times New Roman" w:hAnsi="Book Antiqua" w:cs="Times New Roman"/>
          <w:i/>
          <w:iCs/>
          <w:sz w:val="24"/>
          <w:szCs w:val="24"/>
          <w:lang w:val="en-US"/>
        </w:rPr>
        <w:t>Seimatosporium vitis</w:t>
      </w:r>
      <w:r>
        <w:rPr>
          <w:rFonts w:ascii="Book Antiqua" w:eastAsia="Times New Roman" w:hAnsi="Book Antiqua" w:cs="Times New Roman"/>
          <w:sz w:val="24"/>
          <w:szCs w:val="24"/>
          <w:lang w:val="en-US"/>
        </w:rPr>
        <w:t xml:space="preserve">, and </w:t>
      </w:r>
      <w:r>
        <w:rPr>
          <w:rFonts w:ascii="Book Antiqua" w:eastAsia="Times New Roman" w:hAnsi="Book Antiqua" w:cs="Times New Roman"/>
          <w:i/>
          <w:iCs/>
          <w:sz w:val="24"/>
          <w:szCs w:val="24"/>
          <w:lang w:val="en-US"/>
        </w:rPr>
        <w:t>Biscogniauxia mediterranea</w:t>
      </w:r>
      <w:r>
        <w:rPr>
          <w:rFonts w:ascii="Book Antiqua" w:eastAsia="Times New Roman" w:hAnsi="Book Antiqua" w:cs="Times New Roman"/>
          <w:sz w:val="24"/>
          <w:szCs w:val="24"/>
          <w:lang w:val="en-US"/>
        </w:rPr>
        <w:t>, which are associated with grapevine trunk diseases, was also determined.</w:t>
      </w:r>
    </w:p>
    <w:p w14:paraId="458EB1BE"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 xml:space="preserve">In grapevine plants younger than five years that did not show disease symptoms, the presence of pathogenic microorganisms </w:t>
      </w:r>
      <w:r>
        <w:rPr>
          <w:rFonts w:ascii="Book Antiqua" w:eastAsia="Times New Roman" w:hAnsi="Book Antiqua" w:cs="Times New Roman"/>
          <w:i/>
          <w:iCs/>
          <w:sz w:val="24"/>
          <w:szCs w:val="24"/>
          <w:lang w:val="en-US"/>
        </w:rPr>
        <w:t>Phaeomoniella chlamydospora</w:t>
      </w:r>
      <w:r>
        <w:rPr>
          <w:rFonts w:ascii="Book Antiqua" w:eastAsia="Times New Roman" w:hAnsi="Book Antiqua" w:cs="Times New Roman"/>
          <w:sz w:val="24"/>
          <w:szCs w:val="24"/>
          <w:lang w:val="en-US"/>
        </w:rPr>
        <w:t xml:space="preserve">, </w:t>
      </w:r>
      <w:r>
        <w:rPr>
          <w:rFonts w:ascii="Book Antiqua" w:eastAsia="Times New Roman" w:hAnsi="Book Antiqua" w:cs="Times New Roman"/>
          <w:i/>
          <w:iCs/>
          <w:sz w:val="24"/>
          <w:szCs w:val="24"/>
          <w:lang w:val="en-US"/>
        </w:rPr>
        <w:t>Diplodia seriata</w:t>
      </w:r>
      <w:r>
        <w:rPr>
          <w:rFonts w:ascii="Book Antiqua" w:eastAsia="Times New Roman" w:hAnsi="Book Antiqua" w:cs="Times New Roman"/>
          <w:sz w:val="24"/>
          <w:szCs w:val="24"/>
          <w:lang w:val="en-US"/>
        </w:rPr>
        <w:t xml:space="preserve">, </w:t>
      </w:r>
      <w:r>
        <w:rPr>
          <w:rFonts w:ascii="Book Antiqua" w:eastAsia="Times New Roman" w:hAnsi="Book Antiqua" w:cs="Times New Roman"/>
          <w:i/>
          <w:iCs/>
          <w:sz w:val="24"/>
          <w:szCs w:val="24"/>
          <w:lang w:val="en-US"/>
        </w:rPr>
        <w:t>Botryosphaeria dothidea</w:t>
      </w:r>
      <w:r>
        <w:rPr>
          <w:rFonts w:ascii="Book Antiqua" w:eastAsia="Times New Roman" w:hAnsi="Book Antiqua" w:cs="Times New Roman"/>
          <w:sz w:val="24"/>
          <w:szCs w:val="24"/>
          <w:lang w:val="en-US"/>
        </w:rPr>
        <w:t xml:space="preserve">, and </w:t>
      </w:r>
      <w:r>
        <w:rPr>
          <w:rFonts w:ascii="Book Antiqua" w:eastAsia="Times New Roman" w:hAnsi="Book Antiqua" w:cs="Times New Roman"/>
          <w:i/>
          <w:iCs/>
          <w:sz w:val="24"/>
          <w:szCs w:val="24"/>
          <w:lang w:val="en-US"/>
        </w:rPr>
        <w:t>Neofusicoccum parvum</w:t>
      </w:r>
      <w:r>
        <w:rPr>
          <w:rFonts w:ascii="Book Antiqua" w:eastAsia="Times New Roman" w:hAnsi="Book Antiqua" w:cs="Times New Roman"/>
          <w:sz w:val="24"/>
          <w:szCs w:val="24"/>
          <w:lang w:val="en-US"/>
        </w:rPr>
        <w:t xml:space="preserve"> was detected.</w:t>
      </w:r>
    </w:p>
    <w:p w14:paraId="0E459E5E"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Analysis of climatic factors during the study period indicated that higher precipitation in the May/June period may cause a stronger intensity of disease symptom development. During the 2024 harvest, a direct yield loss of 43.47% due to esca disease development was determined in the studied vineyard.</w:t>
      </w:r>
    </w:p>
    <w:p w14:paraId="1FD9358C"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 xml:space="preserve">Using a combination of different </w:t>
      </w:r>
      <w:r>
        <w:rPr>
          <w:rFonts w:ascii="Book Antiqua" w:eastAsia="Times New Roman" w:hAnsi="Book Antiqua" w:cs="Times New Roman"/>
          <w:i/>
          <w:iCs/>
          <w:sz w:val="24"/>
          <w:szCs w:val="24"/>
          <w:lang w:val="en-US"/>
        </w:rPr>
        <w:t>in vitro</w:t>
      </w:r>
      <w:r>
        <w:rPr>
          <w:rFonts w:ascii="Book Antiqua" w:eastAsia="Times New Roman" w:hAnsi="Book Antiqua" w:cs="Times New Roman"/>
          <w:sz w:val="24"/>
          <w:szCs w:val="24"/>
          <w:lang w:val="en-US"/>
        </w:rPr>
        <w:t xml:space="preserve"> and </w:t>
      </w:r>
      <w:r>
        <w:rPr>
          <w:rFonts w:ascii="Book Antiqua" w:eastAsia="Times New Roman" w:hAnsi="Book Antiqua" w:cs="Times New Roman"/>
          <w:i/>
          <w:iCs/>
          <w:sz w:val="24"/>
          <w:szCs w:val="24"/>
          <w:lang w:val="en-US"/>
        </w:rPr>
        <w:t>in vivo</w:t>
      </w:r>
      <w:r>
        <w:rPr>
          <w:rFonts w:ascii="Book Antiqua" w:eastAsia="Times New Roman" w:hAnsi="Book Antiqua" w:cs="Times New Roman"/>
          <w:sz w:val="24"/>
          <w:szCs w:val="24"/>
          <w:lang w:val="en-US"/>
        </w:rPr>
        <w:t xml:space="preserve"> tests, the antagonistic potential of the locally isolated strain </w:t>
      </w:r>
      <w:r>
        <w:rPr>
          <w:rFonts w:ascii="Book Antiqua" w:eastAsia="Times New Roman" w:hAnsi="Book Antiqua" w:cs="Times New Roman"/>
          <w:i/>
          <w:iCs/>
          <w:sz w:val="24"/>
          <w:szCs w:val="24"/>
          <w:lang w:val="en-US"/>
        </w:rPr>
        <w:t>Trichoderma citrinoviride</w:t>
      </w:r>
      <w:r>
        <w:rPr>
          <w:rFonts w:ascii="Book Antiqua" w:eastAsia="Times New Roman" w:hAnsi="Book Antiqua" w:cs="Times New Roman"/>
          <w:sz w:val="24"/>
          <w:szCs w:val="24"/>
          <w:lang w:val="en-US"/>
        </w:rPr>
        <w:t xml:space="preserve"> T-CG against isolates of pathogens causing esca disease of grapevine in Montenegro was evaluated and compared with the commercial biofungicide Vintec® (</w:t>
      </w:r>
      <w:r>
        <w:rPr>
          <w:rFonts w:ascii="Book Antiqua" w:eastAsia="Times New Roman" w:hAnsi="Book Antiqua" w:cs="Times New Roman"/>
          <w:i/>
          <w:iCs/>
          <w:sz w:val="24"/>
          <w:szCs w:val="24"/>
          <w:lang w:val="en-US"/>
        </w:rPr>
        <w:t>Trichoderma atroviride</w:t>
      </w:r>
      <w:r>
        <w:rPr>
          <w:rFonts w:ascii="Book Antiqua" w:eastAsia="Times New Roman" w:hAnsi="Book Antiqua" w:cs="Times New Roman"/>
          <w:sz w:val="24"/>
          <w:szCs w:val="24"/>
          <w:lang w:val="en-US"/>
        </w:rPr>
        <w:t xml:space="preserve"> SC1). For comparison of results, the antagonistic potential of the copper-based product Nordox® was tested using indirect </w:t>
      </w:r>
      <w:r>
        <w:rPr>
          <w:rFonts w:ascii="Book Antiqua" w:eastAsia="Times New Roman" w:hAnsi="Book Antiqua" w:cs="Times New Roman"/>
          <w:i/>
          <w:iCs/>
          <w:sz w:val="24"/>
          <w:szCs w:val="24"/>
          <w:lang w:val="en-US"/>
        </w:rPr>
        <w:t>in vitro</w:t>
      </w:r>
      <w:r>
        <w:rPr>
          <w:rFonts w:ascii="Book Antiqua" w:eastAsia="Times New Roman" w:hAnsi="Book Antiqua" w:cs="Times New Roman"/>
          <w:sz w:val="24"/>
          <w:szCs w:val="24"/>
          <w:lang w:val="en-US"/>
        </w:rPr>
        <w:t xml:space="preserve"> and </w:t>
      </w:r>
      <w:r>
        <w:rPr>
          <w:rFonts w:ascii="Book Antiqua" w:eastAsia="Times New Roman" w:hAnsi="Book Antiqua" w:cs="Times New Roman"/>
          <w:i/>
          <w:iCs/>
          <w:sz w:val="24"/>
          <w:szCs w:val="24"/>
          <w:lang w:val="en-US"/>
        </w:rPr>
        <w:t>in vivo</w:t>
      </w:r>
      <w:r>
        <w:rPr>
          <w:rFonts w:ascii="Book Antiqua" w:eastAsia="Times New Roman" w:hAnsi="Book Antiqua" w:cs="Times New Roman"/>
          <w:sz w:val="24"/>
          <w:szCs w:val="24"/>
          <w:lang w:val="en-US"/>
        </w:rPr>
        <w:t xml:space="preserve"> </w:t>
      </w:r>
      <w:r>
        <w:rPr>
          <w:rFonts w:ascii="Book Antiqua" w:eastAsia="Times New Roman" w:hAnsi="Book Antiqua" w:cs="Times New Roman"/>
          <w:sz w:val="24"/>
          <w:szCs w:val="24"/>
          <w:lang w:val="en-US"/>
        </w:rPr>
        <w:lastRenderedPageBreak/>
        <w:t xml:space="preserve">assays against the isolate </w:t>
      </w:r>
      <w:r>
        <w:rPr>
          <w:rFonts w:ascii="Book Antiqua" w:eastAsia="Times New Roman" w:hAnsi="Book Antiqua" w:cs="Times New Roman"/>
          <w:i/>
          <w:iCs/>
          <w:sz w:val="24"/>
          <w:szCs w:val="24"/>
          <w:lang w:val="en-US"/>
        </w:rPr>
        <w:t>Fomitiporia mediterranea</w:t>
      </w:r>
      <w:r>
        <w:rPr>
          <w:rFonts w:ascii="Book Antiqua" w:eastAsia="Times New Roman" w:hAnsi="Book Antiqua" w:cs="Times New Roman"/>
          <w:sz w:val="24"/>
          <w:szCs w:val="24"/>
          <w:lang w:val="en-US"/>
        </w:rPr>
        <w:t xml:space="preserve"> MN008. In all conducted tests, the locally isolated strain </w:t>
      </w:r>
      <w:r>
        <w:rPr>
          <w:rFonts w:ascii="Book Antiqua" w:eastAsia="Times New Roman" w:hAnsi="Book Antiqua" w:cs="Times New Roman"/>
          <w:i/>
          <w:iCs/>
          <w:sz w:val="24"/>
          <w:szCs w:val="24"/>
          <w:lang w:val="en-US"/>
        </w:rPr>
        <w:t>T. citrinoviride</w:t>
      </w:r>
      <w:r>
        <w:rPr>
          <w:rFonts w:ascii="Book Antiqua" w:eastAsia="Times New Roman" w:hAnsi="Book Antiqua" w:cs="Times New Roman"/>
          <w:sz w:val="24"/>
          <w:szCs w:val="24"/>
          <w:lang w:val="en-US"/>
        </w:rPr>
        <w:t xml:space="preserve"> T-CG showed a statistically significant antagonistic effect compared to the control against all tested pathogen isolates. A particularly pronounced antagonism was recorded in the indirect </w:t>
      </w:r>
      <w:r>
        <w:rPr>
          <w:rFonts w:ascii="Book Antiqua" w:eastAsia="Times New Roman" w:hAnsi="Book Antiqua" w:cs="Times New Roman"/>
          <w:i/>
          <w:iCs/>
          <w:sz w:val="24"/>
          <w:szCs w:val="24"/>
          <w:lang w:val="en-US"/>
        </w:rPr>
        <w:t>in vitro</w:t>
      </w:r>
      <w:r>
        <w:rPr>
          <w:rFonts w:ascii="Book Antiqua" w:eastAsia="Times New Roman" w:hAnsi="Book Antiqua" w:cs="Times New Roman"/>
          <w:sz w:val="24"/>
          <w:szCs w:val="24"/>
          <w:lang w:val="en-US"/>
        </w:rPr>
        <w:t xml:space="preserve"> test against </w:t>
      </w:r>
      <w:r>
        <w:rPr>
          <w:rFonts w:ascii="Book Antiqua" w:eastAsia="Times New Roman" w:hAnsi="Book Antiqua" w:cs="Times New Roman"/>
          <w:i/>
          <w:iCs/>
          <w:sz w:val="24"/>
          <w:szCs w:val="24"/>
          <w:lang w:val="en-US"/>
        </w:rPr>
        <w:t>P. minimum</w:t>
      </w:r>
      <w:r>
        <w:rPr>
          <w:rFonts w:ascii="Book Antiqua" w:eastAsia="Times New Roman" w:hAnsi="Book Antiqua" w:cs="Times New Roman"/>
          <w:sz w:val="24"/>
          <w:szCs w:val="24"/>
          <w:lang w:val="en-US"/>
        </w:rPr>
        <w:t xml:space="preserve"> MN002 and </w:t>
      </w:r>
      <w:r>
        <w:rPr>
          <w:rFonts w:ascii="Book Antiqua" w:eastAsia="Times New Roman" w:hAnsi="Book Antiqua" w:cs="Times New Roman"/>
          <w:i/>
          <w:iCs/>
          <w:sz w:val="24"/>
          <w:szCs w:val="24"/>
          <w:lang w:val="en-US"/>
        </w:rPr>
        <w:t>F. mediterranea</w:t>
      </w:r>
      <w:r>
        <w:rPr>
          <w:rFonts w:ascii="Book Antiqua" w:eastAsia="Times New Roman" w:hAnsi="Book Antiqua" w:cs="Times New Roman"/>
          <w:sz w:val="24"/>
          <w:szCs w:val="24"/>
          <w:lang w:val="en-US"/>
        </w:rPr>
        <w:t xml:space="preserve"> MN008. The obtained results indicate the need for stricter phytosanitary monitoring in the production and import of grapevine planting material, as well as the necessity to develop integrated strategies for controlling esca disease based on the application of biofungicides combined with appropriate agrotechnical and mechanical measures. Additionally, the results provide a basis for further research on local strains of different microorganism species with biocontrol potential, as well as a basis for further evaluation of the species </w:t>
      </w:r>
      <w:r>
        <w:rPr>
          <w:rFonts w:ascii="Book Antiqua" w:eastAsia="Times New Roman" w:hAnsi="Book Antiqua" w:cs="Times New Roman"/>
          <w:i/>
          <w:iCs/>
          <w:sz w:val="24"/>
          <w:szCs w:val="24"/>
          <w:lang w:val="en-US"/>
        </w:rPr>
        <w:t>T. citrinoviride</w:t>
      </w:r>
      <w:r>
        <w:rPr>
          <w:rFonts w:ascii="Book Antiqua" w:eastAsia="Times New Roman" w:hAnsi="Book Antiqua" w:cs="Times New Roman"/>
          <w:sz w:val="24"/>
          <w:szCs w:val="24"/>
          <w:lang w:val="en-US"/>
        </w:rPr>
        <w:t xml:space="preserve"> T-CG as a potential biological agent in the sustainable management of esca disease.</w:t>
      </w:r>
    </w:p>
    <w:p w14:paraId="6AE7F494"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b/>
          <w:bCs/>
          <w:color w:val="002060"/>
          <w:sz w:val="24"/>
          <w:szCs w:val="24"/>
          <w:lang w:val="en-US"/>
        </w:rPr>
        <w:t>Key words</w:t>
      </w:r>
      <w:r>
        <w:rPr>
          <w:rFonts w:ascii="Book Antiqua" w:eastAsia="Times New Roman" w:hAnsi="Book Antiqua" w:cs="Times New Roman"/>
          <w:b/>
          <w:bCs/>
          <w:sz w:val="24"/>
          <w:szCs w:val="24"/>
          <w:lang w:val="en-US"/>
        </w:rPr>
        <w:t>:</w:t>
      </w:r>
      <w:r>
        <w:rPr>
          <w:rFonts w:ascii="Book Antiqua" w:eastAsia="Times New Roman" w:hAnsi="Book Antiqua" w:cs="Times New Roman"/>
          <w:sz w:val="24"/>
          <w:szCs w:val="24"/>
          <w:lang w:val="en-US"/>
        </w:rPr>
        <w:t xml:space="preserve"> grapevine trunk diseases, </w:t>
      </w:r>
      <w:r>
        <w:rPr>
          <w:rFonts w:ascii="Book Antiqua" w:eastAsia="Times New Roman" w:hAnsi="Book Antiqua" w:cs="Times New Roman"/>
          <w:i/>
          <w:iCs/>
          <w:sz w:val="24"/>
          <w:szCs w:val="24"/>
          <w:lang w:val="en-US"/>
        </w:rPr>
        <w:t>Phaeomoniella chlamydospora</w:t>
      </w:r>
      <w:r>
        <w:rPr>
          <w:rFonts w:ascii="Book Antiqua" w:eastAsia="Times New Roman" w:hAnsi="Book Antiqua" w:cs="Times New Roman"/>
          <w:sz w:val="24"/>
          <w:szCs w:val="24"/>
          <w:lang w:val="en-US"/>
        </w:rPr>
        <w:t xml:space="preserve">, </w:t>
      </w:r>
      <w:r>
        <w:rPr>
          <w:rFonts w:ascii="Book Antiqua" w:eastAsia="Times New Roman" w:hAnsi="Book Antiqua" w:cs="Times New Roman"/>
          <w:i/>
          <w:iCs/>
          <w:sz w:val="24"/>
          <w:szCs w:val="24"/>
          <w:lang w:val="en-US"/>
        </w:rPr>
        <w:t>Phaeoacremonium minimum</w:t>
      </w:r>
      <w:r>
        <w:rPr>
          <w:rFonts w:ascii="Book Antiqua" w:eastAsia="Times New Roman" w:hAnsi="Book Antiqua" w:cs="Times New Roman"/>
          <w:sz w:val="24"/>
          <w:szCs w:val="24"/>
          <w:lang w:val="en-US"/>
        </w:rPr>
        <w:t xml:space="preserve">, </w:t>
      </w:r>
      <w:r>
        <w:rPr>
          <w:rFonts w:ascii="Book Antiqua" w:eastAsia="Times New Roman" w:hAnsi="Book Antiqua" w:cs="Times New Roman"/>
          <w:i/>
          <w:iCs/>
          <w:sz w:val="24"/>
          <w:szCs w:val="24"/>
          <w:lang w:val="en-US"/>
        </w:rPr>
        <w:t>Fomitiporia mediterranea</w:t>
      </w:r>
      <w:r>
        <w:rPr>
          <w:rFonts w:ascii="Book Antiqua" w:eastAsia="Times New Roman" w:hAnsi="Book Antiqua" w:cs="Times New Roman"/>
          <w:sz w:val="24"/>
          <w:szCs w:val="24"/>
          <w:lang w:val="en-US"/>
        </w:rPr>
        <w:t xml:space="preserve">, biological control, </w:t>
      </w:r>
      <w:r>
        <w:rPr>
          <w:rFonts w:ascii="Book Antiqua" w:eastAsia="Times New Roman" w:hAnsi="Book Antiqua" w:cs="Times New Roman"/>
          <w:i/>
          <w:iCs/>
          <w:sz w:val="24"/>
          <w:szCs w:val="24"/>
          <w:lang w:val="en-US"/>
        </w:rPr>
        <w:t>Trichoderma</w:t>
      </w:r>
      <w:r>
        <w:rPr>
          <w:rFonts w:ascii="Book Antiqua" w:eastAsia="Times New Roman" w:hAnsi="Book Antiqua" w:cs="Times New Roman"/>
          <w:sz w:val="24"/>
          <w:szCs w:val="24"/>
          <w:lang w:val="en-US"/>
        </w:rPr>
        <w:t xml:space="preserve"> spp.</w:t>
      </w:r>
    </w:p>
    <w:p w14:paraId="5F9EBEDC" w14:textId="77777777" w:rsidR="003801E8" w:rsidRDefault="003801E8">
      <w:pPr>
        <w:pStyle w:val="teza1"/>
        <w:spacing w:before="0" w:after="200"/>
        <w:jc w:val="both"/>
        <w:rPr>
          <w:rFonts w:ascii="Book Antiqua" w:hAnsi="Book Antiqua" w:cs="Times New Roman"/>
          <w:color w:val="323E4F" w:themeColor="text2" w:themeShade="BF"/>
          <w:sz w:val="24"/>
        </w:rPr>
      </w:pPr>
    </w:p>
    <w:p w14:paraId="680CE9BE" w14:textId="77777777" w:rsidR="003801E8" w:rsidRDefault="003801E8">
      <w:pPr>
        <w:pStyle w:val="teza1"/>
        <w:spacing w:before="0" w:after="200"/>
        <w:jc w:val="both"/>
        <w:rPr>
          <w:rFonts w:ascii="Book Antiqua" w:hAnsi="Book Antiqua" w:cs="Times New Roman"/>
          <w:color w:val="323E4F" w:themeColor="text2" w:themeShade="BF"/>
          <w:sz w:val="24"/>
        </w:rPr>
      </w:pPr>
    </w:p>
    <w:p w14:paraId="52700679" w14:textId="77777777" w:rsidR="003801E8" w:rsidRDefault="003801E8">
      <w:pPr>
        <w:pStyle w:val="teza1"/>
        <w:spacing w:before="0" w:after="200"/>
        <w:jc w:val="both"/>
        <w:rPr>
          <w:rFonts w:ascii="Book Antiqua" w:hAnsi="Book Antiqua" w:cs="Times New Roman"/>
          <w:color w:val="323E4F" w:themeColor="text2" w:themeShade="BF"/>
          <w:sz w:val="24"/>
        </w:rPr>
      </w:pPr>
    </w:p>
    <w:p w14:paraId="2EB531BD" w14:textId="77777777" w:rsidR="003801E8" w:rsidRDefault="003801E8">
      <w:pPr>
        <w:pStyle w:val="teza1"/>
        <w:spacing w:before="0" w:after="200"/>
        <w:jc w:val="both"/>
        <w:rPr>
          <w:rFonts w:ascii="Book Antiqua" w:hAnsi="Book Antiqua" w:cs="Times New Roman"/>
          <w:color w:val="323E4F" w:themeColor="text2" w:themeShade="BF"/>
          <w:sz w:val="24"/>
        </w:rPr>
      </w:pPr>
    </w:p>
    <w:p w14:paraId="7841FB12" w14:textId="77777777" w:rsidR="003801E8" w:rsidRDefault="003801E8">
      <w:pPr>
        <w:pStyle w:val="teza1"/>
        <w:spacing w:before="0" w:after="200"/>
        <w:jc w:val="both"/>
        <w:rPr>
          <w:rFonts w:ascii="Book Antiqua" w:hAnsi="Book Antiqua" w:cs="Times New Roman"/>
          <w:color w:val="323E4F" w:themeColor="text2" w:themeShade="BF"/>
          <w:sz w:val="24"/>
        </w:rPr>
      </w:pPr>
    </w:p>
    <w:p w14:paraId="1649D275" w14:textId="77777777" w:rsidR="00F83C53" w:rsidRDefault="00F83C53">
      <w:pPr>
        <w:pStyle w:val="teza1"/>
        <w:spacing w:before="0" w:after="200"/>
        <w:jc w:val="both"/>
        <w:rPr>
          <w:rFonts w:ascii="Book Antiqua" w:hAnsi="Book Antiqua" w:cs="Times New Roman"/>
          <w:color w:val="323E4F" w:themeColor="text2" w:themeShade="BF"/>
          <w:sz w:val="24"/>
        </w:rPr>
      </w:pPr>
    </w:p>
    <w:p w14:paraId="291BA228" w14:textId="77777777" w:rsidR="003801E8" w:rsidRDefault="003801E8">
      <w:pPr>
        <w:pStyle w:val="teza1"/>
        <w:spacing w:before="0" w:after="200"/>
        <w:jc w:val="both"/>
        <w:rPr>
          <w:rFonts w:ascii="Book Antiqua" w:hAnsi="Book Antiqua" w:cs="Times New Roman"/>
          <w:color w:val="323E4F" w:themeColor="text2" w:themeShade="BF"/>
          <w:sz w:val="24"/>
        </w:rPr>
      </w:pPr>
    </w:p>
    <w:p w14:paraId="24288F3B" w14:textId="77777777" w:rsidR="003801E8" w:rsidRDefault="003801E8">
      <w:pPr>
        <w:pStyle w:val="teza1"/>
        <w:spacing w:before="0" w:after="200"/>
        <w:jc w:val="both"/>
        <w:rPr>
          <w:rFonts w:ascii="Book Antiqua" w:hAnsi="Book Antiqua" w:cs="Times New Roman"/>
          <w:color w:val="323E4F" w:themeColor="text2" w:themeShade="BF"/>
          <w:sz w:val="24"/>
        </w:rPr>
      </w:pPr>
    </w:p>
    <w:p w14:paraId="430B94D6" w14:textId="77777777" w:rsidR="003801E8" w:rsidRDefault="003801E8">
      <w:pPr>
        <w:pStyle w:val="teza1"/>
        <w:spacing w:before="0" w:after="200"/>
        <w:jc w:val="both"/>
        <w:rPr>
          <w:rFonts w:ascii="Book Antiqua" w:hAnsi="Book Antiqua" w:cs="Times New Roman"/>
          <w:color w:val="323E4F" w:themeColor="text2" w:themeShade="BF"/>
          <w:sz w:val="24"/>
        </w:rPr>
      </w:pPr>
    </w:p>
    <w:p w14:paraId="2E59BDBE" w14:textId="77777777" w:rsidR="003801E8" w:rsidRDefault="00E44AAE">
      <w:pPr>
        <w:pStyle w:val="teza1"/>
        <w:spacing w:before="0" w:after="200"/>
        <w:jc w:val="both"/>
        <w:rPr>
          <w:rFonts w:ascii="Book Antiqua" w:hAnsi="Book Antiqua" w:cs="Times New Roman"/>
          <w:color w:val="323E4F" w:themeColor="text2" w:themeShade="BF"/>
          <w:sz w:val="24"/>
        </w:rPr>
      </w:pPr>
      <w:r>
        <w:rPr>
          <w:rFonts w:ascii="Book Antiqua" w:hAnsi="Book Antiqua" w:cs="Times New Roman"/>
          <w:color w:val="323E4F" w:themeColor="text2" w:themeShade="BF"/>
          <w:sz w:val="24"/>
        </w:rPr>
        <w:lastRenderedPageBreak/>
        <w:t>Skraćenice</w:t>
      </w:r>
    </w:p>
    <w:tbl>
      <w:tblPr>
        <w:tblStyle w:val="TableGrid"/>
        <w:tblW w:w="0" w:type="auto"/>
        <w:tblLook w:val="04A0" w:firstRow="1" w:lastRow="0" w:firstColumn="1" w:lastColumn="0" w:noHBand="0" w:noVBand="1"/>
      </w:tblPr>
      <w:tblGrid>
        <w:gridCol w:w="1522"/>
        <w:gridCol w:w="6972"/>
      </w:tblGrid>
      <w:tr w:rsidR="003801E8" w14:paraId="724047D5" w14:textId="77777777">
        <w:tc>
          <w:tcPr>
            <w:tcW w:w="988" w:type="dxa"/>
          </w:tcPr>
          <w:p w14:paraId="43D1005C"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GTD</w:t>
            </w:r>
          </w:p>
        </w:tc>
        <w:tc>
          <w:tcPr>
            <w:tcW w:w="7506" w:type="dxa"/>
          </w:tcPr>
          <w:p w14:paraId="44079733"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 xml:space="preserve">Grapevine trunk diseases </w:t>
            </w:r>
          </w:p>
        </w:tc>
      </w:tr>
      <w:tr w:rsidR="003801E8" w14:paraId="63F91AFD" w14:textId="77777777">
        <w:tc>
          <w:tcPr>
            <w:tcW w:w="988" w:type="dxa"/>
          </w:tcPr>
          <w:p w14:paraId="27109B16"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GLSD</w:t>
            </w:r>
          </w:p>
        </w:tc>
        <w:tc>
          <w:tcPr>
            <w:tcW w:w="7506" w:type="dxa"/>
          </w:tcPr>
          <w:p w14:paraId="431A5343"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 xml:space="preserve">Grapevine leaf stripe disease </w:t>
            </w:r>
          </w:p>
        </w:tc>
      </w:tr>
      <w:tr w:rsidR="003801E8" w14:paraId="71967E48" w14:textId="77777777">
        <w:tc>
          <w:tcPr>
            <w:tcW w:w="988" w:type="dxa"/>
          </w:tcPr>
          <w:p w14:paraId="668D3A18"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HDM</w:t>
            </w:r>
          </w:p>
        </w:tc>
        <w:tc>
          <w:tcPr>
            <w:tcW w:w="7506" w:type="dxa"/>
          </w:tcPr>
          <w:p w14:paraId="52FA90EC"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Hoja de malvón</w:t>
            </w:r>
          </w:p>
        </w:tc>
      </w:tr>
      <w:tr w:rsidR="003801E8" w14:paraId="3140A012" w14:textId="77777777">
        <w:tc>
          <w:tcPr>
            <w:tcW w:w="988" w:type="dxa"/>
          </w:tcPr>
          <w:p w14:paraId="3577741D"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BSVL</w:t>
            </w:r>
          </w:p>
        </w:tc>
        <w:tc>
          <w:tcPr>
            <w:tcW w:w="7506" w:type="dxa"/>
          </w:tcPr>
          <w:p w14:paraId="42AE3C00"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Bolesti stabla vinove loze</w:t>
            </w:r>
          </w:p>
        </w:tc>
      </w:tr>
      <w:tr w:rsidR="003801E8" w14:paraId="14415130" w14:textId="77777777">
        <w:tc>
          <w:tcPr>
            <w:tcW w:w="988" w:type="dxa"/>
          </w:tcPr>
          <w:p w14:paraId="1749A4BD"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ICGTD</w:t>
            </w:r>
          </w:p>
        </w:tc>
        <w:tc>
          <w:tcPr>
            <w:tcW w:w="7506" w:type="dxa"/>
          </w:tcPr>
          <w:p w14:paraId="7F41A419"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International Council on Grapevine Trunk Disease</w:t>
            </w:r>
          </w:p>
        </w:tc>
      </w:tr>
      <w:tr w:rsidR="003801E8" w14:paraId="679D883D" w14:textId="77777777">
        <w:tc>
          <w:tcPr>
            <w:tcW w:w="988" w:type="dxa"/>
          </w:tcPr>
          <w:p w14:paraId="28D46CE4"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rPr>
              <w:t>HWT</w:t>
            </w:r>
          </w:p>
        </w:tc>
        <w:tc>
          <w:tcPr>
            <w:tcW w:w="7506" w:type="dxa"/>
          </w:tcPr>
          <w:p w14:paraId="7862211F"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High wather temperature</w:t>
            </w:r>
          </w:p>
        </w:tc>
      </w:tr>
      <w:tr w:rsidR="003801E8" w14:paraId="6B3422D8" w14:textId="77777777">
        <w:tc>
          <w:tcPr>
            <w:tcW w:w="988" w:type="dxa"/>
          </w:tcPr>
          <w:p w14:paraId="21806E3E"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C10H12O2</w:t>
            </w:r>
          </w:p>
        </w:tc>
        <w:tc>
          <w:tcPr>
            <w:tcW w:w="7506" w:type="dxa"/>
          </w:tcPr>
          <w:p w14:paraId="57121172"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2-methoxy-4-(2-propenyl) phenol</w:t>
            </w:r>
          </w:p>
        </w:tc>
      </w:tr>
      <w:tr w:rsidR="003801E8" w14:paraId="1C18E275" w14:textId="77777777">
        <w:tc>
          <w:tcPr>
            <w:tcW w:w="988" w:type="dxa"/>
          </w:tcPr>
          <w:p w14:paraId="4A29AFE7"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C10H14O</w:t>
            </w:r>
          </w:p>
        </w:tc>
        <w:tc>
          <w:tcPr>
            <w:tcW w:w="7506" w:type="dxa"/>
          </w:tcPr>
          <w:p w14:paraId="3C4E1F70"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2-isopropyl-5-methylphenol</w:t>
            </w:r>
          </w:p>
        </w:tc>
      </w:tr>
      <w:tr w:rsidR="003801E8" w14:paraId="510756ED" w14:textId="77777777">
        <w:tc>
          <w:tcPr>
            <w:tcW w:w="988" w:type="dxa"/>
          </w:tcPr>
          <w:p w14:paraId="01B46305"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EGCG</w:t>
            </w:r>
          </w:p>
        </w:tc>
        <w:tc>
          <w:tcPr>
            <w:tcW w:w="7506" w:type="dxa"/>
          </w:tcPr>
          <w:p w14:paraId="0047795B"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epigallocatechin- 3-O-gallate</w:t>
            </w:r>
          </w:p>
        </w:tc>
      </w:tr>
      <w:tr w:rsidR="003801E8" w14:paraId="77D0D6CE" w14:textId="77777777">
        <w:tc>
          <w:tcPr>
            <w:tcW w:w="988" w:type="dxa"/>
          </w:tcPr>
          <w:p w14:paraId="219E9BC9"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KDA</w:t>
            </w:r>
          </w:p>
        </w:tc>
        <w:tc>
          <w:tcPr>
            <w:tcW w:w="7506" w:type="dxa"/>
          </w:tcPr>
          <w:p w14:paraId="5CCB217E"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Krompir dekstrozni agar</w:t>
            </w:r>
          </w:p>
        </w:tc>
      </w:tr>
      <w:tr w:rsidR="003801E8" w14:paraId="7407A040" w14:textId="77777777">
        <w:tc>
          <w:tcPr>
            <w:tcW w:w="988" w:type="dxa"/>
          </w:tcPr>
          <w:p w14:paraId="21CD9C97"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DNK</w:t>
            </w:r>
          </w:p>
        </w:tc>
        <w:tc>
          <w:tcPr>
            <w:tcW w:w="7506" w:type="dxa"/>
          </w:tcPr>
          <w:p w14:paraId="67FD1B27"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Dezoksiribonukleinska kisjelina</w:t>
            </w:r>
          </w:p>
        </w:tc>
      </w:tr>
      <w:tr w:rsidR="003801E8" w14:paraId="4313D510" w14:textId="77777777">
        <w:tc>
          <w:tcPr>
            <w:tcW w:w="988" w:type="dxa"/>
          </w:tcPr>
          <w:p w14:paraId="639BA578"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ITS</w:t>
            </w:r>
          </w:p>
        </w:tc>
        <w:tc>
          <w:tcPr>
            <w:tcW w:w="7506" w:type="dxa"/>
          </w:tcPr>
          <w:p w14:paraId="6527CDEC"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Internal transcribed spacer</w:t>
            </w:r>
          </w:p>
        </w:tc>
      </w:tr>
      <w:tr w:rsidR="003801E8" w14:paraId="3AD81938" w14:textId="77777777">
        <w:tc>
          <w:tcPr>
            <w:tcW w:w="988" w:type="dxa"/>
          </w:tcPr>
          <w:p w14:paraId="6AE1AA17"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RNK</w:t>
            </w:r>
          </w:p>
        </w:tc>
        <w:tc>
          <w:tcPr>
            <w:tcW w:w="7506" w:type="dxa"/>
          </w:tcPr>
          <w:p w14:paraId="6E47280B"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Ribonukleinska kisjelina</w:t>
            </w:r>
          </w:p>
        </w:tc>
      </w:tr>
      <w:tr w:rsidR="003801E8" w14:paraId="2B55ABB7" w14:textId="77777777">
        <w:tc>
          <w:tcPr>
            <w:tcW w:w="988" w:type="dxa"/>
          </w:tcPr>
          <w:p w14:paraId="0F4C507D"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PCR</w:t>
            </w:r>
          </w:p>
        </w:tc>
        <w:tc>
          <w:tcPr>
            <w:tcW w:w="7506" w:type="dxa"/>
          </w:tcPr>
          <w:p w14:paraId="7DB88866"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Polymerase chain reaction</w:t>
            </w:r>
          </w:p>
        </w:tc>
      </w:tr>
      <w:tr w:rsidR="003801E8" w14:paraId="4CF27CC6" w14:textId="77777777">
        <w:tc>
          <w:tcPr>
            <w:tcW w:w="988" w:type="dxa"/>
          </w:tcPr>
          <w:p w14:paraId="10A94C4C"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EDTA</w:t>
            </w:r>
          </w:p>
        </w:tc>
        <w:tc>
          <w:tcPr>
            <w:tcW w:w="7506" w:type="dxa"/>
          </w:tcPr>
          <w:p w14:paraId="49E0B7A8"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Ethylenediaminetetraacetic acid</w:t>
            </w:r>
          </w:p>
        </w:tc>
      </w:tr>
      <w:tr w:rsidR="003801E8" w14:paraId="6AE7AF2A" w14:textId="77777777">
        <w:tc>
          <w:tcPr>
            <w:tcW w:w="988" w:type="dxa"/>
          </w:tcPr>
          <w:p w14:paraId="0DA9A27B"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BLAST</w:t>
            </w:r>
          </w:p>
        </w:tc>
        <w:tc>
          <w:tcPr>
            <w:tcW w:w="7506" w:type="dxa"/>
          </w:tcPr>
          <w:p w14:paraId="3FCB0766"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Basic Local Alignment Search Tool</w:t>
            </w:r>
          </w:p>
        </w:tc>
      </w:tr>
      <w:tr w:rsidR="003801E8" w14:paraId="3461BC64" w14:textId="77777777">
        <w:tc>
          <w:tcPr>
            <w:tcW w:w="988" w:type="dxa"/>
          </w:tcPr>
          <w:p w14:paraId="5537D9AA"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NCBI</w:t>
            </w:r>
          </w:p>
        </w:tc>
        <w:tc>
          <w:tcPr>
            <w:tcW w:w="7506" w:type="dxa"/>
          </w:tcPr>
          <w:p w14:paraId="5AA62EE4"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National Center for Biotechnology Information</w:t>
            </w:r>
          </w:p>
        </w:tc>
      </w:tr>
      <w:tr w:rsidR="003801E8" w14:paraId="60B7AD9A" w14:textId="77777777">
        <w:tc>
          <w:tcPr>
            <w:tcW w:w="988" w:type="dxa"/>
          </w:tcPr>
          <w:p w14:paraId="248520D2"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TEF</w:t>
            </w:r>
          </w:p>
        </w:tc>
        <w:tc>
          <w:tcPr>
            <w:tcW w:w="7506" w:type="dxa"/>
          </w:tcPr>
          <w:p w14:paraId="2248DF9F"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 xml:space="preserve">Translacioni faktor elongacije </w:t>
            </w:r>
          </w:p>
        </w:tc>
      </w:tr>
      <w:tr w:rsidR="003801E8" w14:paraId="7EBD767F" w14:textId="77777777">
        <w:tc>
          <w:tcPr>
            <w:tcW w:w="988" w:type="dxa"/>
          </w:tcPr>
          <w:p w14:paraId="018BDACB"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CeMIA</w:t>
            </w:r>
          </w:p>
        </w:tc>
        <w:tc>
          <w:tcPr>
            <w:tcW w:w="7506" w:type="dxa"/>
          </w:tcPr>
          <w:p w14:paraId="6D555C29"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Cellular and molecular immunological applications</w:t>
            </w:r>
          </w:p>
        </w:tc>
      </w:tr>
      <w:tr w:rsidR="003801E8" w14:paraId="7062F423" w14:textId="77777777">
        <w:tc>
          <w:tcPr>
            <w:tcW w:w="988" w:type="dxa"/>
          </w:tcPr>
          <w:p w14:paraId="4577D734" w14:textId="77777777" w:rsidR="003801E8" w:rsidRDefault="00E44AAE">
            <w:pPr>
              <w:pStyle w:val="teza1"/>
              <w:spacing w:before="0" w:after="200" w:line="240" w:lineRule="auto"/>
              <w:jc w:val="center"/>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SAT</w:t>
            </w:r>
          </w:p>
        </w:tc>
        <w:tc>
          <w:tcPr>
            <w:tcW w:w="7506" w:type="dxa"/>
          </w:tcPr>
          <w:p w14:paraId="2187C37A" w14:textId="77777777" w:rsidR="003801E8" w:rsidRDefault="00E44AAE">
            <w:pPr>
              <w:pStyle w:val="teza1"/>
              <w:spacing w:before="0" w:after="200" w:line="240" w:lineRule="auto"/>
              <w:jc w:val="left"/>
              <w:rPr>
                <w:rFonts w:ascii="Book Antiqua" w:hAnsi="Book Antiqua" w:cs="Times New Roman"/>
                <w:b w:val="0"/>
                <w:bCs w:val="0"/>
                <w:color w:val="auto"/>
                <w:sz w:val="24"/>
                <w:lang w:val="en-US"/>
              </w:rPr>
            </w:pPr>
            <w:r>
              <w:rPr>
                <w:rFonts w:ascii="Book Antiqua" w:hAnsi="Book Antiqua" w:cs="Times New Roman"/>
                <w:b w:val="0"/>
                <w:bCs w:val="0"/>
                <w:color w:val="auto"/>
                <w:sz w:val="24"/>
                <w:lang w:val="en-US"/>
              </w:rPr>
              <w:t>Suma aktivnih temperatura</w:t>
            </w:r>
          </w:p>
        </w:tc>
      </w:tr>
    </w:tbl>
    <w:p w14:paraId="1F3CD43C" w14:textId="77777777" w:rsidR="003801E8" w:rsidRDefault="003801E8">
      <w:pPr>
        <w:pStyle w:val="teza1"/>
        <w:spacing w:before="0" w:after="200"/>
        <w:jc w:val="left"/>
        <w:rPr>
          <w:rFonts w:ascii="Book Antiqua" w:hAnsi="Book Antiqua" w:cs="Times New Roman"/>
          <w:color w:val="323E4F" w:themeColor="text2" w:themeShade="BF"/>
          <w:sz w:val="24"/>
        </w:rPr>
      </w:pPr>
    </w:p>
    <w:p w14:paraId="7BA6BC76" w14:textId="77777777" w:rsidR="003801E8" w:rsidRDefault="003801E8">
      <w:pPr>
        <w:pStyle w:val="teza1"/>
        <w:spacing w:before="0" w:after="200"/>
        <w:jc w:val="left"/>
        <w:rPr>
          <w:rFonts w:ascii="Book Antiqua" w:hAnsi="Book Antiqua" w:cs="Times New Roman"/>
          <w:color w:val="323E4F" w:themeColor="text2" w:themeShade="BF"/>
          <w:sz w:val="24"/>
        </w:rPr>
      </w:pPr>
    </w:p>
    <w:p w14:paraId="469903B0" w14:textId="77777777" w:rsidR="003801E8" w:rsidRDefault="003801E8">
      <w:pPr>
        <w:pStyle w:val="teza1"/>
        <w:spacing w:before="0" w:after="200"/>
        <w:jc w:val="left"/>
        <w:rPr>
          <w:rFonts w:ascii="Book Antiqua" w:hAnsi="Book Antiqua" w:cs="Times New Roman"/>
          <w:color w:val="323E4F" w:themeColor="text2" w:themeShade="BF"/>
          <w:sz w:val="24"/>
        </w:rPr>
      </w:pPr>
    </w:p>
    <w:p w14:paraId="772F447C" w14:textId="77777777" w:rsidR="003801E8" w:rsidRDefault="003801E8">
      <w:pPr>
        <w:pStyle w:val="teza1"/>
        <w:spacing w:before="0" w:after="200"/>
        <w:jc w:val="left"/>
        <w:rPr>
          <w:rFonts w:ascii="Book Antiqua" w:hAnsi="Book Antiqua" w:cs="Times New Roman"/>
          <w:color w:val="323E4F" w:themeColor="text2" w:themeShade="BF"/>
          <w:sz w:val="24"/>
        </w:rPr>
      </w:pPr>
    </w:p>
    <w:p w14:paraId="6B63492C" w14:textId="77777777" w:rsidR="003801E8" w:rsidRDefault="00E44AAE">
      <w:pPr>
        <w:pStyle w:val="teza1"/>
        <w:spacing w:before="0" w:after="200"/>
        <w:jc w:val="both"/>
        <w:rPr>
          <w:rFonts w:ascii="Book Antiqua" w:hAnsi="Book Antiqua" w:cs="Times New Roman"/>
          <w:color w:val="000000" w:themeColor="text1"/>
          <w:sz w:val="24"/>
        </w:rPr>
      </w:pPr>
      <w:r>
        <w:rPr>
          <w:rFonts w:ascii="Book Antiqua" w:hAnsi="Book Antiqua" w:cs="Times New Roman"/>
          <w:color w:val="000000" w:themeColor="text1"/>
          <w:sz w:val="24"/>
        </w:rPr>
        <w:lastRenderedPageBreak/>
        <w:t>Sadržaj</w:t>
      </w:r>
    </w:p>
    <w:p w14:paraId="5AFB0E33" w14:textId="77777777" w:rsidR="003801E8" w:rsidRDefault="00E44AAE">
      <w:pPr>
        <w:pStyle w:val="teza1"/>
        <w:tabs>
          <w:tab w:val="right" w:leader="dot" w:pos="23040"/>
        </w:tabs>
        <w:spacing w:before="0" w:after="200"/>
        <w:ind w:right="144"/>
        <w:jc w:val="both"/>
        <w:rPr>
          <w:rFonts w:ascii="Book Antiqua" w:hAnsi="Book Antiqua" w:cs="Times New Roman"/>
          <w:color w:val="000000" w:themeColor="text1"/>
          <w:sz w:val="24"/>
        </w:rPr>
      </w:pPr>
      <w:r>
        <w:rPr>
          <w:rFonts w:ascii="Book Antiqua" w:hAnsi="Book Antiqua" w:cs="Times New Roman"/>
          <w:color w:val="000000" w:themeColor="text1"/>
          <w:sz w:val="24"/>
        </w:rPr>
        <w:t>I UVOD</w:t>
      </w:r>
      <w:r>
        <w:rPr>
          <w:rFonts w:ascii="Book Antiqua" w:hAnsi="Book Antiqua" w:cs="Times New Roman"/>
          <w:color w:val="000000" w:themeColor="text1"/>
          <w:sz w:val="24"/>
        </w:rPr>
        <w:tab/>
        <w:t>1</w:t>
      </w:r>
    </w:p>
    <w:p w14:paraId="6C5CA60C" w14:textId="77777777" w:rsidR="003801E8" w:rsidRDefault="00E44AAE">
      <w:pPr>
        <w:pStyle w:val="teza1"/>
        <w:tabs>
          <w:tab w:val="right" w:leader="dot" w:pos="23040"/>
        </w:tabs>
        <w:spacing w:before="0" w:after="200"/>
        <w:ind w:right="144"/>
        <w:jc w:val="both"/>
        <w:rPr>
          <w:rFonts w:ascii="Book Antiqua" w:hAnsi="Book Antiqua" w:cs="Times New Roman"/>
          <w:color w:val="000000" w:themeColor="text1"/>
          <w:sz w:val="24"/>
        </w:rPr>
      </w:pPr>
      <w:r>
        <w:rPr>
          <w:rFonts w:ascii="Book Antiqua" w:hAnsi="Book Antiqua" w:cs="Times New Roman"/>
          <w:color w:val="000000" w:themeColor="text1"/>
          <w:sz w:val="24"/>
        </w:rPr>
        <w:t>II CILJ I HIPOTEZA</w:t>
      </w:r>
      <w:r>
        <w:rPr>
          <w:rFonts w:ascii="Book Antiqua" w:hAnsi="Book Antiqua" w:cs="Times New Roman"/>
          <w:color w:val="000000" w:themeColor="text1"/>
          <w:sz w:val="24"/>
        </w:rPr>
        <w:tab/>
        <w:t>5</w:t>
      </w:r>
    </w:p>
    <w:p w14:paraId="395B0D4D" w14:textId="77777777" w:rsidR="003801E8" w:rsidRDefault="00E44AAE">
      <w:pPr>
        <w:pStyle w:val="teza1"/>
        <w:tabs>
          <w:tab w:val="right" w:leader="dot" w:pos="23040"/>
        </w:tabs>
        <w:spacing w:before="0" w:after="200"/>
        <w:ind w:right="144"/>
        <w:jc w:val="both"/>
        <w:rPr>
          <w:rFonts w:ascii="Book Antiqua" w:hAnsi="Book Antiqua" w:cs="Times New Roman"/>
          <w:color w:val="000000" w:themeColor="text1"/>
          <w:sz w:val="24"/>
        </w:rPr>
      </w:pPr>
      <w:r>
        <w:rPr>
          <w:rFonts w:ascii="Book Antiqua" w:hAnsi="Book Antiqua" w:cs="Times New Roman"/>
          <w:color w:val="000000" w:themeColor="text1"/>
          <w:sz w:val="24"/>
        </w:rPr>
        <w:t>III PREGLED LITERATURE</w:t>
      </w:r>
    </w:p>
    <w:p w14:paraId="751A0F06"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3.1 Porijeklo vinove loze</w:t>
      </w:r>
      <w:r>
        <w:rPr>
          <w:rFonts w:ascii="Book Antiqua" w:hAnsi="Book Antiqua" w:cs="Times New Roman"/>
          <w:b w:val="0"/>
          <w:bCs w:val="0"/>
          <w:color w:val="000000" w:themeColor="text1"/>
          <w:sz w:val="24"/>
        </w:rPr>
        <w:tab/>
        <w:t>7</w:t>
      </w:r>
    </w:p>
    <w:p w14:paraId="03BF4109"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3.2 Sistematika vinove loze</w:t>
      </w:r>
      <w:r>
        <w:rPr>
          <w:rFonts w:ascii="Book Antiqua" w:hAnsi="Book Antiqua" w:cs="Times New Roman"/>
          <w:b w:val="0"/>
          <w:bCs w:val="0"/>
          <w:color w:val="000000" w:themeColor="text1"/>
          <w:sz w:val="24"/>
        </w:rPr>
        <w:tab/>
        <w:t>8</w:t>
      </w:r>
    </w:p>
    <w:p w14:paraId="5B2EA074"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3.3 Proizvodnja vinove loze u svijetu</w:t>
      </w:r>
      <w:r>
        <w:rPr>
          <w:rFonts w:ascii="Book Antiqua" w:hAnsi="Book Antiqua" w:cs="Times New Roman"/>
          <w:b w:val="0"/>
          <w:bCs w:val="0"/>
          <w:color w:val="000000" w:themeColor="text1"/>
          <w:sz w:val="24"/>
        </w:rPr>
        <w:tab/>
        <w:t>10</w:t>
      </w:r>
    </w:p>
    <w:p w14:paraId="26CE6619"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3.4 Proizvodnja i značaj vinove loze u Crnoj Gori</w:t>
      </w:r>
      <w:r>
        <w:rPr>
          <w:rFonts w:ascii="Book Antiqua" w:hAnsi="Book Antiqua" w:cs="Times New Roman"/>
          <w:b w:val="0"/>
          <w:bCs w:val="0"/>
          <w:color w:val="000000" w:themeColor="text1"/>
          <w:sz w:val="24"/>
        </w:rPr>
        <w:tab/>
        <w:t>11</w:t>
      </w:r>
    </w:p>
    <w:p w14:paraId="572F8C65"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3.5 Najznačajnije bolesti vinove loze</w:t>
      </w:r>
      <w:r>
        <w:rPr>
          <w:rFonts w:ascii="Book Antiqua" w:hAnsi="Book Antiqua" w:cs="Times New Roman"/>
          <w:b w:val="0"/>
          <w:bCs w:val="0"/>
          <w:color w:val="000000" w:themeColor="text1"/>
          <w:sz w:val="24"/>
        </w:rPr>
        <w:tab/>
        <w:t>13</w:t>
      </w:r>
    </w:p>
    <w:p w14:paraId="5629EB30"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3.6 Bolesti stabla vinove loze</w:t>
      </w:r>
      <w:r>
        <w:rPr>
          <w:rFonts w:ascii="Book Antiqua" w:hAnsi="Book Antiqua" w:cs="Times New Roman"/>
          <w:b w:val="0"/>
          <w:bCs w:val="0"/>
          <w:color w:val="000000" w:themeColor="text1"/>
          <w:sz w:val="24"/>
        </w:rPr>
        <w:tab/>
        <w:t>14</w:t>
      </w:r>
    </w:p>
    <w:p w14:paraId="21306AE1"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3.7 Petrijeva bolest vinove loze</w:t>
      </w:r>
      <w:r>
        <w:rPr>
          <w:rFonts w:ascii="Book Antiqua" w:hAnsi="Book Antiqua" w:cs="Times New Roman"/>
          <w:b w:val="0"/>
          <w:bCs w:val="0"/>
          <w:color w:val="000000" w:themeColor="text1"/>
          <w:sz w:val="24"/>
        </w:rPr>
        <w:tab/>
        <w:t>17</w:t>
      </w:r>
    </w:p>
    <w:p w14:paraId="5980F66E"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3.8 Porijeklo, rasprostranjenost i ekonomski značaj eska oboljenja</w:t>
      </w:r>
      <w:r>
        <w:rPr>
          <w:rFonts w:ascii="Book Antiqua" w:hAnsi="Book Antiqua" w:cs="Times New Roman"/>
          <w:b w:val="0"/>
          <w:bCs w:val="0"/>
          <w:color w:val="000000" w:themeColor="text1"/>
          <w:sz w:val="24"/>
        </w:rPr>
        <w:tab/>
        <w:t>18</w:t>
      </w:r>
    </w:p>
    <w:p w14:paraId="437AB8BF"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3.9 Simptomi eska oboljenja</w:t>
      </w:r>
      <w:r>
        <w:rPr>
          <w:rFonts w:ascii="Book Antiqua" w:hAnsi="Book Antiqua" w:cs="Times New Roman"/>
          <w:b w:val="0"/>
          <w:bCs w:val="0"/>
          <w:color w:val="000000" w:themeColor="text1"/>
          <w:sz w:val="24"/>
        </w:rPr>
        <w:tab/>
        <w:t>20</w:t>
      </w:r>
    </w:p>
    <w:p w14:paraId="560E489C"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3.10 Patogeni prouzrokovači eska oboljenja</w:t>
      </w:r>
      <w:r>
        <w:rPr>
          <w:rFonts w:ascii="Book Antiqua" w:hAnsi="Book Antiqua" w:cs="Times New Roman"/>
          <w:b w:val="0"/>
          <w:bCs w:val="0"/>
          <w:color w:val="000000" w:themeColor="text1"/>
          <w:sz w:val="24"/>
        </w:rPr>
        <w:tab/>
        <w:t>23</w:t>
      </w:r>
    </w:p>
    <w:p w14:paraId="7D045E9C"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3.11 Epidemiologija i ciklus razvoja patogena</w:t>
      </w:r>
      <w:r>
        <w:rPr>
          <w:rFonts w:ascii="Book Antiqua" w:hAnsi="Book Antiqua" w:cs="Times New Roman"/>
          <w:b w:val="0"/>
          <w:bCs w:val="0"/>
          <w:color w:val="000000" w:themeColor="text1"/>
          <w:sz w:val="24"/>
        </w:rPr>
        <w:tab/>
        <w:t>26</w:t>
      </w:r>
    </w:p>
    <w:p w14:paraId="2BAE93FD"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3.12 Preventivne mjere zaštite</w:t>
      </w:r>
      <w:r>
        <w:rPr>
          <w:rFonts w:ascii="Book Antiqua" w:hAnsi="Book Antiqua" w:cs="Times New Roman"/>
          <w:b w:val="0"/>
          <w:bCs w:val="0"/>
          <w:color w:val="000000" w:themeColor="text1"/>
          <w:sz w:val="24"/>
        </w:rPr>
        <w:tab/>
        <w:t>29</w:t>
      </w:r>
    </w:p>
    <w:p w14:paraId="63701A90"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3.13 Hemijske mjere zaštite</w:t>
      </w:r>
      <w:r>
        <w:rPr>
          <w:rFonts w:ascii="Book Antiqua" w:hAnsi="Book Antiqua" w:cs="Times New Roman"/>
          <w:b w:val="0"/>
          <w:bCs w:val="0"/>
          <w:color w:val="000000" w:themeColor="text1"/>
          <w:sz w:val="24"/>
        </w:rPr>
        <w:tab/>
        <w:t>34</w:t>
      </w:r>
    </w:p>
    <w:p w14:paraId="5EB7F55B"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3.14 Biološke mjere zaštite</w:t>
      </w:r>
      <w:r>
        <w:rPr>
          <w:rFonts w:ascii="Book Antiqua" w:hAnsi="Book Antiqua" w:cs="Times New Roman"/>
          <w:b w:val="0"/>
          <w:bCs w:val="0"/>
          <w:color w:val="000000" w:themeColor="text1"/>
          <w:sz w:val="24"/>
        </w:rPr>
        <w:tab/>
        <w:t>36</w:t>
      </w:r>
    </w:p>
    <w:p w14:paraId="524C853D"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3.15 Suzbijanje eska oboljenja u rasadnicima</w:t>
      </w:r>
      <w:r>
        <w:rPr>
          <w:rFonts w:ascii="Book Antiqua" w:hAnsi="Book Antiqua" w:cs="Times New Roman"/>
          <w:b w:val="0"/>
          <w:bCs w:val="0"/>
          <w:color w:val="000000" w:themeColor="text1"/>
          <w:sz w:val="24"/>
        </w:rPr>
        <w:tab/>
        <w:t>43</w:t>
      </w:r>
    </w:p>
    <w:p w14:paraId="5CA0658D" w14:textId="77777777" w:rsidR="003801E8" w:rsidRDefault="003801E8">
      <w:pPr>
        <w:pStyle w:val="teza1"/>
        <w:tabs>
          <w:tab w:val="right" w:leader="dot" w:pos="23040"/>
        </w:tabs>
        <w:spacing w:before="0" w:after="200"/>
        <w:ind w:right="144"/>
        <w:jc w:val="both"/>
        <w:rPr>
          <w:rFonts w:ascii="Book Antiqua" w:hAnsi="Book Antiqua" w:cs="Times New Roman"/>
          <w:b w:val="0"/>
          <w:bCs w:val="0"/>
          <w:color w:val="000000" w:themeColor="text1"/>
          <w:sz w:val="24"/>
        </w:rPr>
      </w:pPr>
    </w:p>
    <w:p w14:paraId="1064BDBF" w14:textId="77777777" w:rsidR="003801E8" w:rsidRDefault="003801E8">
      <w:pPr>
        <w:pStyle w:val="teza1"/>
        <w:tabs>
          <w:tab w:val="right" w:leader="dot" w:pos="23040"/>
        </w:tabs>
        <w:spacing w:before="0" w:after="200"/>
        <w:ind w:right="144"/>
        <w:jc w:val="both"/>
        <w:rPr>
          <w:rFonts w:ascii="Book Antiqua" w:hAnsi="Book Antiqua" w:cs="Times New Roman"/>
          <w:b w:val="0"/>
          <w:bCs w:val="0"/>
          <w:color w:val="000000" w:themeColor="text1"/>
          <w:sz w:val="24"/>
        </w:rPr>
      </w:pPr>
    </w:p>
    <w:p w14:paraId="03D014F8"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color w:val="000000" w:themeColor="text1"/>
          <w:sz w:val="24"/>
        </w:rPr>
        <w:lastRenderedPageBreak/>
        <w:t>IV MATERIJAL I METODE</w:t>
      </w:r>
    </w:p>
    <w:p w14:paraId="60C113A2"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4.1 Monitoring</w:t>
      </w:r>
      <w:r>
        <w:rPr>
          <w:rFonts w:ascii="Book Antiqua" w:hAnsi="Book Antiqua" w:cs="Times New Roman"/>
          <w:b w:val="0"/>
          <w:bCs w:val="0"/>
          <w:color w:val="000000" w:themeColor="text1"/>
          <w:sz w:val="24"/>
        </w:rPr>
        <w:tab/>
        <w:t>47</w:t>
      </w:r>
    </w:p>
    <w:p w14:paraId="6A1B07C3"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4.2 Izolacija fitopatogena iz čokota vinove loze</w:t>
      </w:r>
      <w:r>
        <w:rPr>
          <w:rFonts w:ascii="Book Antiqua" w:hAnsi="Book Antiqua" w:cs="Times New Roman"/>
          <w:b w:val="0"/>
          <w:bCs w:val="0"/>
          <w:color w:val="000000" w:themeColor="text1"/>
          <w:sz w:val="24"/>
        </w:rPr>
        <w:tab/>
        <w:t>51</w:t>
      </w:r>
    </w:p>
    <w:p w14:paraId="2A05C2D8"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4.3 Molekularna identifikacija</w:t>
      </w:r>
      <w:r>
        <w:rPr>
          <w:rFonts w:ascii="Book Antiqua" w:hAnsi="Book Antiqua" w:cs="Times New Roman"/>
          <w:b w:val="0"/>
          <w:bCs w:val="0"/>
          <w:color w:val="000000" w:themeColor="text1"/>
          <w:sz w:val="24"/>
        </w:rPr>
        <w:tab/>
        <w:t>52</w:t>
      </w:r>
    </w:p>
    <w:p w14:paraId="3A10ADBD" w14:textId="77777777" w:rsidR="003801E8" w:rsidRDefault="00E44AAE">
      <w:pPr>
        <w:pStyle w:val="teza1"/>
        <w:tabs>
          <w:tab w:val="right" w:leader="dot" w:pos="23040"/>
        </w:tabs>
        <w:spacing w:before="0" w:after="200"/>
        <w:ind w:right="144"/>
        <w:jc w:val="both"/>
        <w:rPr>
          <w:rFonts w:ascii="Book Antiqua" w:hAnsi="Book Antiqua" w:cs="Times New Roman"/>
          <w:b w:val="0"/>
          <w:bCs w:val="0"/>
          <w:iCs/>
          <w:color w:val="auto"/>
          <w:kern w:val="2"/>
          <w:sz w:val="24"/>
          <w:lang w:val="en-US" w:eastAsia="sr-Latn-ME"/>
        </w:rPr>
      </w:pPr>
      <w:r>
        <w:rPr>
          <w:rFonts w:ascii="Book Antiqua" w:hAnsi="Book Antiqua" w:cs="Times New Roman"/>
          <w:b w:val="0"/>
          <w:bCs w:val="0"/>
          <w:color w:val="000000" w:themeColor="text1"/>
          <w:sz w:val="24"/>
        </w:rPr>
        <w:t xml:space="preserve">4.4 </w:t>
      </w:r>
      <w:r>
        <w:rPr>
          <w:rFonts w:ascii="Book Antiqua" w:hAnsi="Book Antiqua" w:cs="Times New Roman"/>
          <w:b w:val="0"/>
          <w:bCs w:val="0"/>
          <w:iCs/>
          <w:color w:val="auto"/>
          <w:kern w:val="2"/>
          <w:sz w:val="24"/>
          <w:lang w:val="en-US" w:eastAsia="sr-Latn-ME"/>
        </w:rPr>
        <w:t>Nukleotidne i filogenetske analize genomskih sekvenci identifikovanih mikroorganizama</w:t>
      </w:r>
      <w:r>
        <w:rPr>
          <w:rFonts w:ascii="Book Antiqua" w:hAnsi="Book Antiqua" w:cs="Times New Roman"/>
          <w:b w:val="0"/>
          <w:bCs w:val="0"/>
          <w:iCs/>
          <w:color w:val="auto"/>
          <w:kern w:val="2"/>
          <w:sz w:val="24"/>
          <w:lang w:val="en-US" w:eastAsia="sr-Latn-ME"/>
        </w:rPr>
        <w:tab/>
        <w:t>53</w:t>
      </w:r>
    </w:p>
    <w:p w14:paraId="2CE5FA43" w14:textId="77777777" w:rsidR="003801E8" w:rsidRDefault="00E44AAE">
      <w:pPr>
        <w:pStyle w:val="teza1"/>
        <w:tabs>
          <w:tab w:val="right" w:leader="dot" w:pos="23040"/>
        </w:tabs>
        <w:spacing w:before="0" w:after="200"/>
        <w:ind w:right="144"/>
        <w:jc w:val="both"/>
        <w:rPr>
          <w:rFonts w:ascii="Book Antiqua" w:hAnsi="Book Antiqua" w:cs="Times New Roman"/>
          <w:b w:val="0"/>
          <w:bCs w:val="0"/>
          <w:iCs/>
          <w:color w:val="auto"/>
          <w:sz w:val="24"/>
        </w:rPr>
      </w:pPr>
      <w:r>
        <w:rPr>
          <w:rFonts w:ascii="Book Antiqua" w:hAnsi="Book Antiqua" w:cs="Times New Roman"/>
          <w:b w:val="0"/>
          <w:bCs w:val="0"/>
          <w:color w:val="000000" w:themeColor="text1"/>
          <w:sz w:val="24"/>
        </w:rPr>
        <w:t xml:space="preserve">4.5. </w:t>
      </w:r>
      <w:r>
        <w:rPr>
          <w:rFonts w:ascii="Book Antiqua" w:hAnsi="Book Antiqua" w:cs="Times New Roman"/>
          <w:b w:val="0"/>
          <w:bCs w:val="0"/>
          <w:iCs/>
          <w:color w:val="auto"/>
          <w:sz w:val="24"/>
        </w:rPr>
        <w:t>Razvoj i morfološke karakteristike izolovanih mikroorganizama</w:t>
      </w:r>
      <w:r>
        <w:rPr>
          <w:rFonts w:ascii="Book Antiqua" w:hAnsi="Book Antiqua" w:cs="Times New Roman"/>
          <w:b w:val="0"/>
          <w:bCs w:val="0"/>
          <w:iCs/>
          <w:color w:val="auto"/>
          <w:sz w:val="24"/>
        </w:rPr>
        <w:tab/>
        <w:t>63</w:t>
      </w:r>
    </w:p>
    <w:p w14:paraId="0DBEA493"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000000" w:themeColor="text1"/>
          <w:sz w:val="24"/>
        </w:rPr>
      </w:pPr>
      <w:r>
        <w:rPr>
          <w:rFonts w:ascii="Book Antiqua" w:hAnsi="Book Antiqua" w:cs="Times New Roman"/>
          <w:b w:val="0"/>
          <w:bCs w:val="0"/>
          <w:color w:val="000000" w:themeColor="text1"/>
          <w:sz w:val="24"/>
        </w:rPr>
        <w:t>4.6 Test patogenosti</w:t>
      </w:r>
      <w:r>
        <w:rPr>
          <w:rFonts w:ascii="Book Antiqua" w:hAnsi="Book Antiqua" w:cs="Times New Roman"/>
          <w:b w:val="0"/>
          <w:bCs w:val="0"/>
          <w:color w:val="000000" w:themeColor="text1"/>
          <w:sz w:val="24"/>
        </w:rPr>
        <w:tab/>
        <w:t>64</w:t>
      </w:r>
    </w:p>
    <w:p w14:paraId="65BC52C6" w14:textId="77777777" w:rsidR="003801E8" w:rsidRDefault="00E44AAE">
      <w:pPr>
        <w:pStyle w:val="teza1"/>
        <w:tabs>
          <w:tab w:val="right" w:leader="dot" w:pos="23040"/>
        </w:tabs>
        <w:spacing w:before="0" w:after="200"/>
        <w:ind w:right="144"/>
        <w:jc w:val="both"/>
        <w:rPr>
          <w:rFonts w:ascii="Book Antiqua" w:hAnsi="Book Antiqua" w:cs="Times New Roman"/>
          <w:b w:val="0"/>
          <w:bCs w:val="0"/>
          <w:iCs/>
          <w:color w:val="auto"/>
          <w:kern w:val="2"/>
          <w:sz w:val="24"/>
          <w:lang w:val="en-US" w:eastAsia="sr-Latn-ME"/>
        </w:rPr>
      </w:pPr>
      <w:r>
        <w:rPr>
          <w:rFonts w:ascii="Book Antiqua" w:hAnsi="Book Antiqua" w:cs="Times New Roman"/>
          <w:b w:val="0"/>
          <w:bCs w:val="0"/>
          <w:color w:val="000000" w:themeColor="text1"/>
          <w:sz w:val="24"/>
        </w:rPr>
        <w:t xml:space="preserve">4.7 </w:t>
      </w:r>
      <w:r>
        <w:rPr>
          <w:rFonts w:ascii="Book Antiqua" w:hAnsi="Book Antiqua" w:cs="Times New Roman"/>
          <w:b w:val="0"/>
          <w:bCs w:val="0"/>
          <w:iCs/>
          <w:color w:val="auto"/>
          <w:kern w:val="2"/>
          <w:sz w:val="24"/>
          <w:lang w:val="en-US" w:eastAsia="sr-Latn-ME"/>
        </w:rPr>
        <w:t xml:space="preserve">Direktni </w:t>
      </w:r>
      <w:r>
        <w:rPr>
          <w:rFonts w:ascii="Book Antiqua" w:hAnsi="Book Antiqua" w:cs="Times New Roman"/>
          <w:b w:val="0"/>
          <w:bCs w:val="0"/>
          <w:i/>
          <w:iCs/>
          <w:color w:val="auto"/>
          <w:kern w:val="2"/>
          <w:sz w:val="24"/>
          <w:lang w:val="en-US" w:eastAsia="sr-Latn-ME"/>
        </w:rPr>
        <w:t>in vitro</w:t>
      </w:r>
      <w:r>
        <w:rPr>
          <w:rFonts w:ascii="Book Antiqua" w:hAnsi="Book Antiqua" w:cs="Times New Roman"/>
          <w:b w:val="0"/>
          <w:bCs w:val="0"/>
          <w:iCs/>
          <w:color w:val="auto"/>
          <w:kern w:val="2"/>
          <w:sz w:val="24"/>
          <w:lang w:val="en-US" w:eastAsia="sr-Latn-ME"/>
        </w:rPr>
        <w:t xml:space="preserve"> test</w:t>
      </w:r>
      <w:r>
        <w:rPr>
          <w:rFonts w:ascii="Book Antiqua" w:hAnsi="Book Antiqua" w:cs="Times New Roman"/>
          <w:b w:val="0"/>
          <w:bCs w:val="0"/>
          <w:i/>
          <w:iCs/>
          <w:color w:val="auto"/>
          <w:kern w:val="2"/>
          <w:sz w:val="24"/>
          <w:lang w:val="en-US" w:eastAsia="sr-Latn-ME"/>
        </w:rPr>
        <w:t xml:space="preserve"> T. citrinoviride</w:t>
      </w:r>
      <w:r>
        <w:rPr>
          <w:rFonts w:ascii="Book Antiqua" w:hAnsi="Book Antiqua" w:cs="Times New Roman"/>
          <w:b w:val="0"/>
          <w:bCs w:val="0"/>
          <w:iCs/>
          <w:color w:val="auto"/>
          <w:kern w:val="2"/>
          <w:sz w:val="24"/>
          <w:lang w:val="en-US" w:eastAsia="sr-Latn-ME"/>
        </w:rPr>
        <w:t xml:space="preserve"> T-CG i</w:t>
      </w:r>
      <w:r>
        <w:rPr>
          <w:rFonts w:ascii="Book Antiqua" w:hAnsi="Book Antiqua" w:cs="Times New Roman"/>
          <w:b w:val="0"/>
          <w:bCs w:val="0"/>
          <w:i/>
          <w:iCs/>
          <w:color w:val="auto"/>
          <w:kern w:val="2"/>
          <w:sz w:val="24"/>
          <w:lang w:val="en-US" w:eastAsia="sr-Latn-ME"/>
        </w:rPr>
        <w:t xml:space="preserve"> T. atroviride </w:t>
      </w:r>
      <w:r>
        <w:rPr>
          <w:rFonts w:ascii="Book Antiqua" w:hAnsi="Book Antiqua" w:cs="Times New Roman"/>
          <w:b w:val="0"/>
          <w:bCs w:val="0"/>
          <w:iCs/>
          <w:color w:val="auto"/>
          <w:kern w:val="2"/>
          <w:sz w:val="24"/>
          <w:lang w:val="en-US" w:eastAsia="sr-Latn-ME"/>
        </w:rPr>
        <w:t>SC1 prema patogenima prouzrokovačima eska oboljenja i drugim identifikovanim patogenima stabla vinove loze</w:t>
      </w:r>
      <w:r>
        <w:rPr>
          <w:rFonts w:ascii="Book Antiqua" w:hAnsi="Book Antiqua" w:cs="Times New Roman"/>
          <w:b w:val="0"/>
          <w:bCs w:val="0"/>
          <w:iCs/>
          <w:color w:val="auto"/>
          <w:kern w:val="2"/>
          <w:sz w:val="24"/>
          <w:lang w:val="en-US" w:eastAsia="sr-Latn-ME"/>
        </w:rPr>
        <w:tab/>
        <w:t>65</w:t>
      </w:r>
    </w:p>
    <w:p w14:paraId="04C058B0"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kern w:val="2"/>
          <w:sz w:val="24"/>
          <w:lang w:val="en-US" w:eastAsia="sr-Latn-ME"/>
        </w:rPr>
      </w:pPr>
      <w:r>
        <w:rPr>
          <w:rFonts w:ascii="Book Antiqua" w:hAnsi="Book Antiqua" w:cs="Times New Roman"/>
          <w:b w:val="0"/>
          <w:bCs w:val="0"/>
          <w:color w:val="000000" w:themeColor="text1"/>
          <w:sz w:val="24"/>
        </w:rPr>
        <w:t xml:space="preserve">4.8 </w:t>
      </w:r>
      <w:r>
        <w:rPr>
          <w:rFonts w:ascii="Book Antiqua" w:hAnsi="Book Antiqua" w:cs="Times New Roman"/>
          <w:b w:val="0"/>
          <w:bCs w:val="0"/>
          <w:iCs/>
          <w:color w:val="auto"/>
          <w:kern w:val="2"/>
          <w:sz w:val="24"/>
          <w:lang w:val="en-US" w:eastAsia="sr-Latn-ME"/>
        </w:rPr>
        <w:t xml:space="preserve">Indirektni </w:t>
      </w:r>
      <w:r>
        <w:rPr>
          <w:rFonts w:ascii="Book Antiqua" w:hAnsi="Book Antiqua" w:cs="Times New Roman"/>
          <w:b w:val="0"/>
          <w:bCs w:val="0"/>
          <w:i/>
          <w:iCs/>
          <w:color w:val="auto"/>
          <w:kern w:val="2"/>
          <w:sz w:val="24"/>
          <w:lang w:val="en-US" w:eastAsia="sr-Latn-ME"/>
        </w:rPr>
        <w:t>in vitro</w:t>
      </w:r>
      <w:r>
        <w:rPr>
          <w:rFonts w:ascii="Book Antiqua" w:hAnsi="Book Antiqua" w:cs="Times New Roman"/>
          <w:b w:val="0"/>
          <w:bCs w:val="0"/>
          <w:iCs/>
          <w:color w:val="auto"/>
          <w:kern w:val="2"/>
          <w:sz w:val="24"/>
          <w:lang w:val="en-US" w:eastAsia="sr-Latn-ME"/>
        </w:rPr>
        <w:t xml:space="preserve"> test</w:t>
      </w:r>
      <w:r>
        <w:rPr>
          <w:rFonts w:ascii="Book Antiqua" w:hAnsi="Book Antiqua" w:cs="Times New Roman"/>
          <w:b w:val="0"/>
          <w:bCs w:val="0"/>
          <w:i/>
          <w:iCs/>
          <w:color w:val="auto"/>
          <w:kern w:val="2"/>
          <w:sz w:val="24"/>
          <w:lang w:val="en-US" w:eastAsia="sr-Latn-ME"/>
        </w:rPr>
        <w:t xml:space="preserve"> T. citrinoviride</w:t>
      </w:r>
      <w:r>
        <w:rPr>
          <w:rFonts w:ascii="Book Antiqua" w:hAnsi="Book Antiqua" w:cs="Times New Roman"/>
          <w:b w:val="0"/>
          <w:bCs w:val="0"/>
          <w:iCs/>
          <w:color w:val="auto"/>
          <w:kern w:val="2"/>
          <w:sz w:val="24"/>
          <w:lang w:val="en-US" w:eastAsia="sr-Latn-ME"/>
        </w:rPr>
        <w:t xml:space="preserve"> T-CG,</w:t>
      </w:r>
      <w:r>
        <w:rPr>
          <w:rFonts w:ascii="Book Antiqua" w:hAnsi="Book Antiqua" w:cs="Times New Roman"/>
          <w:b w:val="0"/>
          <w:bCs w:val="0"/>
          <w:i/>
          <w:iCs/>
          <w:color w:val="auto"/>
          <w:kern w:val="2"/>
          <w:sz w:val="24"/>
          <w:lang w:val="en-US" w:eastAsia="sr-Latn-ME"/>
        </w:rPr>
        <w:t xml:space="preserve"> T. atroviride </w:t>
      </w:r>
      <w:r>
        <w:rPr>
          <w:rFonts w:ascii="Book Antiqua" w:hAnsi="Book Antiqua" w:cs="Times New Roman"/>
          <w:b w:val="0"/>
          <w:bCs w:val="0"/>
          <w:iCs/>
          <w:color w:val="auto"/>
          <w:kern w:val="2"/>
          <w:sz w:val="24"/>
          <w:lang w:val="en-US" w:eastAsia="sr-Latn-ME"/>
        </w:rPr>
        <w:t>SC1 i bakra prema</w:t>
      </w:r>
      <w:r>
        <w:rPr>
          <w:rFonts w:ascii="Book Antiqua" w:hAnsi="Book Antiqua" w:cs="Times New Roman"/>
          <w:b w:val="0"/>
          <w:bCs w:val="0"/>
          <w:i/>
          <w:iCs/>
          <w:color w:val="auto"/>
          <w:kern w:val="2"/>
          <w:sz w:val="24"/>
          <w:lang w:val="en-US" w:eastAsia="sr-Latn-ME"/>
        </w:rPr>
        <w:t xml:space="preserve"> </w:t>
      </w:r>
      <w:r>
        <w:rPr>
          <w:rFonts w:ascii="Book Antiqua" w:hAnsi="Book Antiqua" w:cs="Times New Roman"/>
          <w:b w:val="0"/>
          <w:bCs w:val="0"/>
          <w:color w:val="auto"/>
          <w:kern w:val="2"/>
          <w:sz w:val="24"/>
          <w:lang w:val="en-US" w:eastAsia="sr-Latn-ME"/>
        </w:rPr>
        <w:t>patogenima prouzrokovačima eska oboljenja</w:t>
      </w:r>
      <w:r>
        <w:rPr>
          <w:rFonts w:ascii="Book Antiqua" w:hAnsi="Book Antiqua" w:cs="Times New Roman"/>
          <w:b w:val="0"/>
          <w:bCs w:val="0"/>
          <w:color w:val="auto"/>
          <w:kern w:val="2"/>
          <w:sz w:val="24"/>
          <w:lang w:val="en-US" w:eastAsia="sr-Latn-ME"/>
        </w:rPr>
        <w:tab/>
        <w:t>66</w:t>
      </w:r>
    </w:p>
    <w:p w14:paraId="62171AD9"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kern w:val="2"/>
          <w:sz w:val="24"/>
          <w:lang w:val="en-US" w:eastAsia="sr-Latn-ME"/>
        </w:rPr>
      </w:pPr>
      <w:r>
        <w:rPr>
          <w:rFonts w:ascii="Book Antiqua" w:hAnsi="Book Antiqua" w:cs="Times New Roman"/>
          <w:b w:val="0"/>
          <w:bCs w:val="0"/>
          <w:color w:val="000000" w:themeColor="text1"/>
          <w:sz w:val="24"/>
        </w:rPr>
        <w:t xml:space="preserve">4.9 </w:t>
      </w:r>
      <w:r>
        <w:rPr>
          <w:rFonts w:ascii="Book Antiqua" w:hAnsi="Book Antiqua" w:cs="Times New Roman"/>
          <w:b w:val="0"/>
          <w:bCs w:val="0"/>
          <w:i/>
          <w:iCs/>
          <w:color w:val="auto"/>
          <w:kern w:val="2"/>
          <w:sz w:val="24"/>
          <w:lang w:eastAsia="sr-Latn-ME"/>
        </w:rPr>
        <w:t xml:space="preserve">In vivo </w:t>
      </w:r>
      <w:r>
        <w:rPr>
          <w:rFonts w:ascii="Book Antiqua" w:hAnsi="Book Antiqua" w:cs="Times New Roman"/>
          <w:b w:val="0"/>
          <w:bCs w:val="0"/>
          <w:iCs/>
          <w:color w:val="auto"/>
          <w:kern w:val="2"/>
          <w:sz w:val="24"/>
          <w:lang w:eastAsia="sr-Latn-ME"/>
        </w:rPr>
        <w:t>test</w:t>
      </w:r>
      <w:r>
        <w:rPr>
          <w:rFonts w:ascii="Book Antiqua" w:hAnsi="Book Antiqua" w:cs="Times New Roman"/>
          <w:b w:val="0"/>
          <w:bCs w:val="0"/>
          <w:i/>
          <w:iCs/>
          <w:color w:val="auto"/>
          <w:kern w:val="2"/>
          <w:sz w:val="24"/>
          <w:lang w:eastAsia="sr-Latn-ME"/>
        </w:rPr>
        <w:t xml:space="preserve"> </w:t>
      </w:r>
      <w:r>
        <w:rPr>
          <w:rFonts w:ascii="Book Antiqua" w:hAnsi="Book Antiqua" w:cs="Times New Roman"/>
          <w:b w:val="0"/>
          <w:bCs w:val="0"/>
          <w:i/>
          <w:iCs/>
          <w:color w:val="auto"/>
          <w:kern w:val="2"/>
          <w:sz w:val="24"/>
          <w:lang w:val="en-US" w:eastAsia="sr-Latn-ME"/>
        </w:rPr>
        <w:t xml:space="preserve">T. citrinoviride </w:t>
      </w:r>
      <w:r>
        <w:rPr>
          <w:rFonts w:ascii="Book Antiqua" w:hAnsi="Book Antiqua" w:cs="Times New Roman"/>
          <w:b w:val="0"/>
          <w:bCs w:val="0"/>
          <w:color w:val="auto"/>
          <w:kern w:val="2"/>
          <w:sz w:val="24"/>
          <w:lang w:val="en-US" w:eastAsia="sr-Latn-ME"/>
        </w:rPr>
        <w:t>T-CG</w:t>
      </w:r>
      <w:r>
        <w:rPr>
          <w:rFonts w:ascii="Book Antiqua" w:hAnsi="Book Antiqua" w:cs="Times New Roman"/>
          <w:b w:val="0"/>
          <w:bCs w:val="0"/>
          <w:i/>
          <w:iCs/>
          <w:color w:val="auto"/>
          <w:kern w:val="2"/>
          <w:sz w:val="24"/>
          <w:lang w:val="en-US" w:eastAsia="sr-Latn-ME"/>
        </w:rPr>
        <w:t xml:space="preserve"> i T. atroviride </w:t>
      </w:r>
      <w:r>
        <w:rPr>
          <w:rFonts w:ascii="Book Antiqua" w:hAnsi="Book Antiqua" w:cs="Times New Roman"/>
          <w:b w:val="0"/>
          <w:bCs w:val="0"/>
          <w:iCs/>
          <w:color w:val="auto"/>
          <w:kern w:val="2"/>
          <w:sz w:val="24"/>
          <w:lang w:val="en-US" w:eastAsia="sr-Latn-ME"/>
        </w:rPr>
        <w:t>SC1</w:t>
      </w:r>
      <w:r>
        <w:rPr>
          <w:rFonts w:ascii="Book Antiqua" w:hAnsi="Book Antiqua" w:cs="Times New Roman"/>
          <w:b w:val="0"/>
          <w:bCs w:val="0"/>
          <w:i/>
          <w:iCs/>
          <w:color w:val="auto"/>
          <w:kern w:val="2"/>
          <w:sz w:val="24"/>
          <w:lang w:val="en-US" w:eastAsia="sr-Latn-ME"/>
        </w:rPr>
        <w:t xml:space="preserve"> </w:t>
      </w:r>
      <w:r>
        <w:rPr>
          <w:rFonts w:ascii="Book Antiqua" w:hAnsi="Book Antiqua" w:cs="Times New Roman"/>
          <w:b w:val="0"/>
          <w:bCs w:val="0"/>
          <w:iCs/>
          <w:color w:val="auto"/>
          <w:kern w:val="2"/>
          <w:sz w:val="24"/>
          <w:lang w:val="en-US" w:eastAsia="sr-Latn-ME"/>
        </w:rPr>
        <w:t>prema</w:t>
      </w:r>
      <w:r>
        <w:rPr>
          <w:rFonts w:ascii="Book Antiqua" w:hAnsi="Book Antiqua" w:cs="Times New Roman"/>
          <w:b w:val="0"/>
          <w:bCs w:val="0"/>
          <w:i/>
          <w:iCs/>
          <w:color w:val="auto"/>
          <w:kern w:val="2"/>
          <w:sz w:val="24"/>
          <w:lang w:val="en-US" w:eastAsia="sr-Latn-ME"/>
        </w:rPr>
        <w:t xml:space="preserve"> P. minimum, P. chlamydospora, N. parvum</w:t>
      </w:r>
      <w:r>
        <w:rPr>
          <w:rFonts w:ascii="Book Antiqua" w:hAnsi="Book Antiqua" w:cs="Times New Roman"/>
          <w:b w:val="0"/>
          <w:bCs w:val="0"/>
          <w:color w:val="auto"/>
          <w:kern w:val="2"/>
          <w:sz w:val="24"/>
          <w:lang w:val="en-US" w:eastAsia="sr-Latn-ME"/>
        </w:rPr>
        <w:tab/>
        <w:t>67</w:t>
      </w:r>
    </w:p>
    <w:p w14:paraId="2B6DD88A"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kern w:val="2"/>
          <w:sz w:val="24"/>
          <w:lang w:val="en-US" w:eastAsia="sr-Latn-ME"/>
        </w:rPr>
      </w:pPr>
      <w:r>
        <w:rPr>
          <w:rFonts w:ascii="Book Antiqua" w:hAnsi="Book Antiqua" w:cs="Times New Roman"/>
          <w:b w:val="0"/>
          <w:bCs w:val="0"/>
          <w:color w:val="000000" w:themeColor="text1"/>
          <w:sz w:val="24"/>
        </w:rPr>
        <w:t xml:space="preserve">4.10 </w:t>
      </w:r>
      <w:r>
        <w:rPr>
          <w:rFonts w:ascii="Book Antiqua" w:hAnsi="Book Antiqua" w:cs="Times New Roman"/>
          <w:b w:val="0"/>
          <w:bCs w:val="0"/>
          <w:i/>
          <w:iCs/>
          <w:color w:val="auto"/>
          <w:kern w:val="2"/>
          <w:sz w:val="24"/>
          <w:lang w:val="en-US" w:eastAsia="sr-Latn-ME"/>
        </w:rPr>
        <w:t xml:space="preserve">In vivo </w:t>
      </w:r>
      <w:r>
        <w:rPr>
          <w:rFonts w:ascii="Book Antiqua" w:hAnsi="Book Antiqua" w:cs="Times New Roman"/>
          <w:b w:val="0"/>
          <w:bCs w:val="0"/>
          <w:iCs/>
          <w:color w:val="auto"/>
          <w:kern w:val="2"/>
          <w:sz w:val="24"/>
          <w:lang w:val="en-US" w:eastAsia="sr-Latn-ME"/>
        </w:rPr>
        <w:t>test</w:t>
      </w:r>
      <w:r>
        <w:rPr>
          <w:rFonts w:ascii="Book Antiqua" w:hAnsi="Book Antiqua" w:cs="Times New Roman"/>
          <w:b w:val="0"/>
          <w:bCs w:val="0"/>
          <w:i/>
          <w:iCs/>
          <w:color w:val="auto"/>
          <w:kern w:val="2"/>
          <w:sz w:val="24"/>
          <w:lang w:val="en-US" w:eastAsia="sr-Latn-ME"/>
        </w:rPr>
        <w:t xml:space="preserve"> T. citrinoviride </w:t>
      </w:r>
      <w:r>
        <w:rPr>
          <w:rFonts w:ascii="Book Antiqua" w:hAnsi="Book Antiqua" w:cs="Times New Roman"/>
          <w:b w:val="0"/>
          <w:bCs w:val="0"/>
          <w:color w:val="auto"/>
          <w:kern w:val="2"/>
          <w:sz w:val="24"/>
          <w:lang w:val="en-US" w:eastAsia="sr-Latn-ME"/>
        </w:rPr>
        <w:t>T-CG</w:t>
      </w:r>
      <w:r>
        <w:rPr>
          <w:rFonts w:ascii="Book Antiqua" w:hAnsi="Book Antiqua" w:cs="Times New Roman"/>
          <w:b w:val="0"/>
          <w:bCs w:val="0"/>
          <w:i/>
          <w:iCs/>
          <w:color w:val="auto"/>
          <w:kern w:val="2"/>
          <w:sz w:val="24"/>
          <w:lang w:val="en-US" w:eastAsia="sr-Latn-ME"/>
        </w:rPr>
        <w:t xml:space="preserve">, T. atroviride </w:t>
      </w:r>
      <w:r>
        <w:rPr>
          <w:rFonts w:ascii="Book Antiqua" w:hAnsi="Book Antiqua" w:cs="Times New Roman"/>
          <w:b w:val="0"/>
          <w:bCs w:val="0"/>
          <w:iCs/>
          <w:color w:val="auto"/>
          <w:kern w:val="2"/>
          <w:sz w:val="24"/>
          <w:lang w:val="en-US" w:eastAsia="sr-Latn-ME"/>
        </w:rPr>
        <w:t>SC1 i bakra prema</w:t>
      </w:r>
      <w:r>
        <w:rPr>
          <w:rFonts w:ascii="Book Antiqua" w:hAnsi="Book Antiqua" w:cs="Times New Roman"/>
          <w:b w:val="0"/>
          <w:bCs w:val="0"/>
          <w:i/>
          <w:iCs/>
          <w:color w:val="auto"/>
          <w:kern w:val="2"/>
          <w:sz w:val="24"/>
          <w:lang w:val="en-US" w:eastAsia="sr-Latn-ME"/>
        </w:rPr>
        <w:t xml:space="preserve"> F. mediterranea</w:t>
      </w:r>
      <w:r>
        <w:rPr>
          <w:rFonts w:ascii="Book Antiqua" w:hAnsi="Book Antiqua" w:cs="Times New Roman"/>
          <w:b w:val="0"/>
          <w:bCs w:val="0"/>
          <w:color w:val="auto"/>
          <w:kern w:val="2"/>
          <w:sz w:val="24"/>
          <w:lang w:val="en-US" w:eastAsia="sr-Latn-ME"/>
        </w:rPr>
        <w:tab/>
        <w:t>69</w:t>
      </w:r>
    </w:p>
    <w:p w14:paraId="3018FA94"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sz w:val="24"/>
        </w:rPr>
      </w:pPr>
      <w:r>
        <w:rPr>
          <w:rFonts w:ascii="Book Antiqua" w:hAnsi="Book Antiqua" w:cs="Times New Roman"/>
          <w:b w:val="0"/>
          <w:bCs w:val="0"/>
          <w:color w:val="auto"/>
          <w:sz w:val="24"/>
        </w:rPr>
        <w:t>4.11 Analiza pojave simptoma i širenja eska oboljenja</w:t>
      </w:r>
      <w:r>
        <w:rPr>
          <w:rFonts w:ascii="Book Antiqua" w:hAnsi="Book Antiqua" w:cs="Times New Roman"/>
          <w:b w:val="0"/>
          <w:bCs w:val="0"/>
          <w:color w:val="auto"/>
          <w:sz w:val="24"/>
        </w:rPr>
        <w:tab/>
        <w:t>71</w:t>
      </w:r>
    </w:p>
    <w:p w14:paraId="4951CE71" w14:textId="77777777" w:rsidR="003801E8" w:rsidRDefault="00E44AAE">
      <w:pPr>
        <w:pStyle w:val="teza1"/>
        <w:tabs>
          <w:tab w:val="right" w:leader="dot" w:pos="23040"/>
        </w:tabs>
        <w:spacing w:before="0" w:after="200"/>
        <w:ind w:right="144"/>
        <w:jc w:val="both"/>
        <w:rPr>
          <w:rFonts w:ascii="Book Antiqua" w:hAnsi="Book Antiqua" w:cs="Times New Roman"/>
          <w:b w:val="0"/>
          <w:bCs w:val="0"/>
          <w:iCs/>
          <w:color w:val="auto"/>
          <w:sz w:val="24"/>
        </w:rPr>
      </w:pPr>
      <w:r>
        <w:rPr>
          <w:rFonts w:ascii="Book Antiqua" w:hAnsi="Book Antiqua" w:cs="Times New Roman"/>
          <w:b w:val="0"/>
          <w:bCs w:val="0"/>
          <w:color w:val="auto"/>
          <w:sz w:val="24"/>
        </w:rPr>
        <w:t xml:space="preserve">4.12 </w:t>
      </w:r>
      <w:r>
        <w:rPr>
          <w:rFonts w:ascii="Book Antiqua" w:hAnsi="Book Antiqua" w:cs="Times New Roman"/>
          <w:b w:val="0"/>
          <w:bCs w:val="0"/>
          <w:iCs/>
          <w:color w:val="auto"/>
          <w:sz w:val="24"/>
        </w:rPr>
        <w:t>Uticaj meteoroloških faktora na širenje eska oboljenja u Crnoj Gori</w:t>
      </w:r>
      <w:r>
        <w:rPr>
          <w:rFonts w:ascii="Book Antiqua" w:hAnsi="Book Antiqua" w:cs="Times New Roman"/>
          <w:b w:val="0"/>
          <w:bCs w:val="0"/>
          <w:iCs/>
          <w:color w:val="auto"/>
          <w:sz w:val="24"/>
        </w:rPr>
        <w:tab/>
        <w:t>72</w:t>
      </w:r>
    </w:p>
    <w:p w14:paraId="62699440" w14:textId="77777777" w:rsidR="003801E8" w:rsidRDefault="00E44AAE">
      <w:pPr>
        <w:pStyle w:val="teza1"/>
        <w:tabs>
          <w:tab w:val="right" w:leader="dot" w:pos="23040"/>
        </w:tabs>
        <w:spacing w:before="0" w:after="200"/>
        <w:ind w:right="144"/>
        <w:jc w:val="both"/>
        <w:rPr>
          <w:rFonts w:ascii="Book Antiqua" w:hAnsi="Book Antiqua" w:cs="Times New Roman"/>
          <w:b w:val="0"/>
          <w:bCs w:val="0"/>
          <w:iCs/>
          <w:color w:val="auto"/>
          <w:sz w:val="24"/>
        </w:rPr>
      </w:pPr>
      <w:r>
        <w:rPr>
          <w:rFonts w:ascii="Book Antiqua" w:hAnsi="Book Antiqua" w:cs="Times New Roman"/>
          <w:b w:val="0"/>
          <w:bCs w:val="0"/>
          <w:color w:val="auto"/>
          <w:sz w:val="24"/>
        </w:rPr>
        <w:t xml:space="preserve">4.13 </w:t>
      </w:r>
      <w:r>
        <w:rPr>
          <w:rFonts w:ascii="Book Antiqua" w:hAnsi="Book Antiqua" w:cs="Times New Roman"/>
          <w:b w:val="0"/>
          <w:bCs w:val="0"/>
          <w:iCs/>
          <w:color w:val="auto"/>
          <w:sz w:val="24"/>
        </w:rPr>
        <w:t>Uticaj eska oboljenja na prinos i kvalitet grožđa</w:t>
      </w:r>
      <w:r>
        <w:rPr>
          <w:rFonts w:ascii="Book Antiqua" w:hAnsi="Book Antiqua" w:cs="Times New Roman"/>
          <w:b w:val="0"/>
          <w:bCs w:val="0"/>
          <w:iCs/>
          <w:color w:val="auto"/>
          <w:sz w:val="24"/>
        </w:rPr>
        <w:tab/>
        <w:t>73</w:t>
      </w:r>
    </w:p>
    <w:p w14:paraId="076934DE" w14:textId="77777777" w:rsidR="003801E8" w:rsidRDefault="003801E8">
      <w:pPr>
        <w:pStyle w:val="teza1"/>
        <w:tabs>
          <w:tab w:val="right" w:leader="dot" w:pos="23040"/>
        </w:tabs>
        <w:spacing w:before="0" w:after="200"/>
        <w:ind w:right="144"/>
        <w:jc w:val="both"/>
        <w:rPr>
          <w:rFonts w:ascii="Book Antiqua" w:hAnsi="Book Antiqua" w:cs="Times New Roman"/>
          <w:b w:val="0"/>
          <w:bCs w:val="0"/>
          <w:iCs/>
          <w:color w:val="auto"/>
          <w:sz w:val="24"/>
        </w:rPr>
      </w:pPr>
    </w:p>
    <w:p w14:paraId="6A1DE56A" w14:textId="77777777" w:rsidR="003801E8" w:rsidRDefault="003801E8">
      <w:pPr>
        <w:pStyle w:val="teza1"/>
        <w:tabs>
          <w:tab w:val="right" w:leader="dot" w:pos="23040"/>
        </w:tabs>
        <w:spacing w:before="0" w:after="200"/>
        <w:ind w:right="144"/>
        <w:jc w:val="both"/>
        <w:rPr>
          <w:rFonts w:ascii="Book Antiqua" w:hAnsi="Book Antiqua" w:cs="Times New Roman"/>
          <w:b w:val="0"/>
          <w:bCs w:val="0"/>
          <w:sz w:val="24"/>
        </w:rPr>
      </w:pPr>
    </w:p>
    <w:p w14:paraId="17F6F943" w14:textId="77777777" w:rsidR="003801E8" w:rsidRDefault="003801E8">
      <w:pPr>
        <w:pStyle w:val="teza1"/>
        <w:tabs>
          <w:tab w:val="right" w:leader="dot" w:pos="23040"/>
        </w:tabs>
        <w:spacing w:before="0" w:after="200"/>
        <w:ind w:right="144"/>
        <w:jc w:val="both"/>
        <w:rPr>
          <w:rFonts w:ascii="Book Antiqua" w:hAnsi="Book Antiqua" w:cs="Times New Roman"/>
          <w:b w:val="0"/>
          <w:bCs w:val="0"/>
          <w:sz w:val="24"/>
        </w:rPr>
      </w:pPr>
    </w:p>
    <w:p w14:paraId="78C54C70" w14:textId="77777777" w:rsidR="003801E8" w:rsidRDefault="00E44AAE">
      <w:pPr>
        <w:pStyle w:val="teza1"/>
        <w:tabs>
          <w:tab w:val="right" w:leader="dot" w:pos="23040"/>
        </w:tabs>
        <w:spacing w:before="0" w:after="200"/>
        <w:ind w:right="144"/>
        <w:jc w:val="both"/>
        <w:rPr>
          <w:rFonts w:ascii="Book Antiqua" w:hAnsi="Book Antiqua" w:cs="Times New Roman"/>
          <w:color w:val="auto"/>
          <w:sz w:val="24"/>
        </w:rPr>
      </w:pPr>
      <w:r>
        <w:rPr>
          <w:rFonts w:ascii="Book Antiqua" w:hAnsi="Book Antiqua" w:cs="Times New Roman"/>
          <w:color w:val="auto"/>
          <w:sz w:val="24"/>
        </w:rPr>
        <w:lastRenderedPageBreak/>
        <w:t>V REZULTATI</w:t>
      </w:r>
    </w:p>
    <w:p w14:paraId="4412615E"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sz w:val="24"/>
        </w:rPr>
      </w:pPr>
      <w:r>
        <w:rPr>
          <w:rFonts w:ascii="Book Antiqua" w:hAnsi="Book Antiqua" w:cs="Times New Roman"/>
          <w:b w:val="0"/>
          <w:bCs w:val="0"/>
          <w:color w:val="auto"/>
          <w:sz w:val="24"/>
        </w:rPr>
        <w:t>5.1 Monitoring vinograda u Crnoj Gori</w:t>
      </w:r>
      <w:r>
        <w:rPr>
          <w:rFonts w:ascii="Book Antiqua" w:hAnsi="Book Antiqua" w:cs="Times New Roman"/>
          <w:b w:val="0"/>
          <w:bCs w:val="0"/>
          <w:color w:val="auto"/>
          <w:sz w:val="24"/>
        </w:rPr>
        <w:tab/>
        <w:t>74</w:t>
      </w:r>
    </w:p>
    <w:p w14:paraId="102E3695" w14:textId="77777777" w:rsidR="003801E8" w:rsidRDefault="00E44AAE">
      <w:pPr>
        <w:pStyle w:val="teza1"/>
        <w:tabs>
          <w:tab w:val="right" w:leader="dot" w:pos="23040"/>
        </w:tabs>
        <w:spacing w:before="0" w:after="200"/>
        <w:ind w:right="144"/>
        <w:jc w:val="both"/>
        <w:rPr>
          <w:rFonts w:ascii="Book Antiqua" w:hAnsi="Book Antiqua" w:cs="Times New Roman"/>
          <w:b w:val="0"/>
          <w:bCs w:val="0"/>
          <w:iCs/>
          <w:color w:val="auto"/>
          <w:kern w:val="2"/>
          <w:sz w:val="24"/>
          <w:lang w:val="en-US" w:eastAsia="sr-Latn-ME"/>
        </w:rPr>
      </w:pPr>
      <w:r>
        <w:rPr>
          <w:rFonts w:ascii="Book Antiqua" w:hAnsi="Book Antiqua" w:cs="Times New Roman"/>
          <w:b w:val="0"/>
          <w:bCs w:val="0"/>
          <w:iCs/>
          <w:color w:val="auto"/>
          <w:kern w:val="2"/>
          <w:sz w:val="24"/>
          <w:lang w:val="en-US" w:eastAsia="sr-Latn-ME"/>
        </w:rPr>
        <w:t>5.2 Izolacija patogena iz čokota i sadnog materijala vinove loze</w:t>
      </w:r>
      <w:r>
        <w:rPr>
          <w:rFonts w:ascii="Book Antiqua" w:hAnsi="Book Antiqua" w:cs="Times New Roman"/>
          <w:b w:val="0"/>
          <w:bCs w:val="0"/>
          <w:iCs/>
          <w:color w:val="auto"/>
          <w:kern w:val="2"/>
          <w:sz w:val="24"/>
          <w:lang w:val="en-US" w:eastAsia="sr-Latn-ME"/>
        </w:rPr>
        <w:tab/>
        <w:t>83</w:t>
      </w:r>
    </w:p>
    <w:p w14:paraId="57F0A707"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sz w:val="24"/>
          <w:lang w:val="sr-Latn-RS"/>
        </w:rPr>
      </w:pPr>
      <w:r>
        <w:rPr>
          <w:rFonts w:ascii="Book Antiqua" w:hAnsi="Book Antiqua" w:cs="Times New Roman"/>
          <w:b w:val="0"/>
          <w:bCs w:val="0"/>
          <w:color w:val="auto"/>
          <w:sz w:val="24"/>
          <w:lang w:val="sr-Latn-RS"/>
        </w:rPr>
        <w:t>5.3 Molekularna  identifikacija</w:t>
      </w:r>
      <w:r>
        <w:rPr>
          <w:rFonts w:ascii="Book Antiqua" w:hAnsi="Book Antiqua" w:cs="Times New Roman"/>
          <w:b w:val="0"/>
          <w:bCs w:val="0"/>
          <w:color w:val="auto"/>
          <w:sz w:val="24"/>
          <w:lang w:val="sr-Latn-RS"/>
        </w:rPr>
        <w:tab/>
        <w:t>83</w:t>
      </w:r>
    </w:p>
    <w:p w14:paraId="46449A86"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sz w:val="24"/>
          <w:lang w:val="sr-Latn-RS"/>
        </w:rPr>
      </w:pPr>
      <w:r>
        <w:rPr>
          <w:rFonts w:ascii="Book Antiqua" w:hAnsi="Book Antiqua" w:cs="Times New Roman"/>
          <w:b w:val="0"/>
          <w:bCs w:val="0"/>
          <w:color w:val="auto"/>
          <w:sz w:val="24"/>
          <w:lang w:val="sr-Latn-RS"/>
        </w:rPr>
        <w:t>5.4 Nukleotidne i filogenetske analize sekvenci identifikovanih mikroorganizama</w:t>
      </w:r>
      <w:r>
        <w:rPr>
          <w:rFonts w:ascii="Book Antiqua" w:hAnsi="Book Antiqua" w:cs="Times New Roman"/>
          <w:b w:val="0"/>
          <w:bCs w:val="0"/>
          <w:color w:val="auto"/>
          <w:sz w:val="24"/>
          <w:lang w:val="sr-Latn-RS"/>
        </w:rPr>
        <w:tab/>
        <w:t>87</w:t>
      </w:r>
    </w:p>
    <w:p w14:paraId="50E8DE7F"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sz w:val="24"/>
          <w:lang w:val="sr-Latn-RS"/>
        </w:rPr>
      </w:pPr>
      <w:r>
        <w:rPr>
          <w:rFonts w:ascii="Book Antiqua" w:hAnsi="Book Antiqua" w:cs="Times New Roman"/>
          <w:b w:val="0"/>
          <w:bCs w:val="0"/>
          <w:color w:val="auto"/>
          <w:sz w:val="24"/>
          <w:lang w:val="sr-Latn-RS"/>
        </w:rPr>
        <w:t>5.5 Morfološke karakteristike patogena prouzrokovača eska oboljenja</w:t>
      </w:r>
      <w:r>
        <w:rPr>
          <w:rFonts w:ascii="Book Antiqua" w:hAnsi="Book Antiqua" w:cs="Times New Roman"/>
          <w:b w:val="0"/>
          <w:bCs w:val="0"/>
          <w:color w:val="auto"/>
          <w:sz w:val="24"/>
          <w:lang w:val="sr-Latn-RS"/>
        </w:rPr>
        <w:tab/>
        <w:t>93</w:t>
      </w:r>
    </w:p>
    <w:p w14:paraId="10AC837C"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sz w:val="24"/>
        </w:rPr>
      </w:pPr>
      <w:r>
        <w:rPr>
          <w:rFonts w:ascii="Book Antiqua" w:hAnsi="Book Antiqua" w:cs="Times New Roman"/>
          <w:b w:val="0"/>
          <w:bCs w:val="0"/>
          <w:color w:val="auto"/>
          <w:sz w:val="24"/>
        </w:rPr>
        <w:t>5.6 Morfološke karakteristike ostalih patogena prouzrokovača bolesti drveta vinove loze identifikovanih u Crnoj Gori</w:t>
      </w:r>
      <w:r>
        <w:rPr>
          <w:rFonts w:ascii="Book Antiqua" w:hAnsi="Book Antiqua" w:cs="Times New Roman"/>
          <w:b w:val="0"/>
          <w:bCs w:val="0"/>
          <w:color w:val="auto"/>
          <w:sz w:val="24"/>
        </w:rPr>
        <w:tab/>
        <w:t>96</w:t>
      </w:r>
    </w:p>
    <w:p w14:paraId="453CDB40"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sz w:val="24"/>
        </w:rPr>
      </w:pPr>
      <w:r>
        <w:rPr>
          <w:rFonts w:ascii="Book Antiqua" w:hAnsi="Book Antiqua" w:cs="Times New Roman"/>
          <w:b w:val="0"/>
          <w:bCs w:val="0"/>
          <w:color w:val="auto"/>
          <w:sz w:val="24"/>
        </w:rPr>
        <w:t xml:space="preserve">5.7 Morfološke karakteristike </w:t>
      </w:r>
      <w:r>
        <w:rPr>
          <w:rFonts w:ascii="Book Antiqua" w:hAnsi="Book Antiqua" w:cs="Times New Roman"/>
          <w:b w:val="0"/>
          <w:bCs w:val="0"/>
          <w:i/>
          <w:iCs/>
          <w:color w:val="auto"/>
          <w:sz w:val="24"/>
        </w:rPr>
        <w:t>T. citrinoviride</w:t>
      </w:r>
      <w:r>
        <w:rPr>
          <w:rFonts w:ascii="Book Antiqua" w:hAnsi="Book Antiqua" w:cs="Times New Roman"/>
          <w:b w:val="0"/>
          <w:bCs w:val="0"/>
          <w:color w:val="auto"/>
          <w:sz w:val="24"/>
        </w:rPr>
        <w:t xml:space="preserve"> T-CG izolovane u Crnoj Gori</w:t>
      </w:r>
      <w:r>
        <w:rPr>
          <w:rFonts w:ascii="Book Antiqua" w:hAnsi="Book Antiqua" w:cs="Times New Roman"/>
          <w:b w:val="0"/>
          <w:bCs w:val="0"/>
          <w:color w:val="auto"/>
          <w:sz w:val="24"/>
        </w:rPr>
        <w:tab/>
        <w:t>103</w:t>
      </w:r>
    </w:p>
    <w:p w14:paraId="4AB410B9" w14:textId="77777777" w:rsidR="003801E8" w:rsidRDefault="00E44AAE">
      <w:pPr>
        <w:pStyle w:val="teza1"/>
        <w:tabs>
          <w:tab w:val="right" w:leader="dot" w:pos="23040"/>
        </w:tabs>
        <w:spacing w:before="0" w:after="200"/>
        <w:ind w:right="144"/>
        <w:jc w:val="both"/>
        <w:rPr>
          <w:rFonts w:ascii="Book Antiqua" w:hAnsi="Book Antiqua" w:cs="Times New Roman"/>
          <w:b w:val="0"/>
          <w:bCs w:val="0"/>
          <w:iCs/>
          <w:color w:val="auto"/>
          <w:kern w:val="2"/>
          <w:sz w:val="24"/>
          <w:lang w:val="en-US" w:eastAsia="sr-Latn-ME"/>
        </w:rPr>
      </w:pPr>
      <w:r>
        <w:rPr>
          <w:rFonts w:ascii="Book Antiqua" w:hAnsi="Book Antiqua" w:cs="Times New Roman"/>
          <w:b w:val="0"/>
          <w:bCs w:val="0"/>
          <w:color w:val="auto"/>
          <w:kern w:val="2"/>
          <w:sz w:val="24"/>
          <w:lang w:val="en-US" w:eastAsia="sr-Latn-ME"/>
        </w:rPr>
        <w:t xml:space="preserve">5.8 </w:t>
      </w:r>
      <w:r>
        <w:rPr>
          <w:rFonts w:ascii="Book Antiqua" w:hAnsi="Book Antiqua" w:cs="Times New Roman"/>
          <w:b w:val="0"/>
          <w:bCs w:val="0"/>
          <w:iCs/>
          <w:color w:val="auto"/>
          <w:kern w:val="2"/>
          <w:sz w:val="24"/>
          <w:lang w:val="en-US" w:eastAsia="sr-Latn-ME"/>
        </w:rPr>
        <w:t>Test patogenosti</w:t>
      </w:r>
      <w:r>
        <w:rPr>
          <w:rFonts w:ascii="Book Antiqua" w:hAnsi="Book Antiqua" w:cs="Times New Roman"/>
          <w:b w:val="0"/>
          <w:bCs w:val="0"/>
          <w:iCs/>
          <w:color w:val="auto"/>
          <w:kern w:val="2"/>
          <w:sz w:val="24"/>
          <w:lang w:val="en-US" w:eastAsia="sr-Latn-ME"/>
        </w:rPr>
        <w:tab/>
        <w:t>104</w:t>
      </w:r>
    </w:p>
    <w:p w14:paraId="78F26750"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sz w:val="24"/>
          <w:lang w:val="sr-Latn-RS"/>
        </w:rPr>
      </w:pPr>
      <w:r>
        <w:rPr>
          <w:rFonts w:ascii="Book Antiqua" w:hAnsi="Book Antiqua" w:cs="Times New Roman"/>
          <w:b w:val="0"/>
          <w:bCs w:val="0"/>
          <w:color w:val="auto"/>
          <w:sz w:val="24"/>
          <w:lang w:val="sr-Latn-RS"/>
        </w:rPr>
        <w:t xml:space="preserve">5.9 Direktan </w:t>
      </w:r>
      <w:r>
        <w:rPr>
          <w:rFonts w:ascii="Book Antiqua" w:hAnsi="Book Antiqua" w:cs="Times New Roman"/>
          <w:b w:val="0"/>
          <w:bCs w:val="0"/>
          <w:i/>
          <w:iCs/>
          <w:color w:val="auto"/>
          <w:sz w:val="24"/>
          <w:lang w:val="sr-Latn-RS"/>
        </w:rPr>
        <w:t>in vitro</w:t>
      </w:r>
      <w:r>
        <w:rPr>
          <w:rFonts w:ascii="Book Antiqua" w:hAnsi="Book Antiqua" w:cs="Times New Roman"/>
          <w:b w:val="0"/>
          <w:bCs w:val="0"/>
          <w:color w:val="auto"/>
          <w:sz w:val="24"/>
          <w:lang w:val="sr-Latn-RS"/>
        </w:rPr>
        <w:t xml:space="preserve"> test antagonističkog potencijala </w:t>
      </w:r>
      <w:r>
        <w:rPr>
          <w:rFonts w:ascii="Book Antiqua" w:hAnsi="Book Antiqua" w:cs="Times New Roman"/>
          <w:b w:val="0"/>
          <w:bCs w:val="0"/>
          <w:i/>
          <w:iCs/>
          <w:color w:val="auto"/>
          <w:sz w:val="24"/>
          <w:lang w:val="sr-Latn-RS"/>
        </w:rPr>
        <w:t>T. citrinoviride</w:t>
      </w:r>
      <w:r>
        <w:rPr>
          <w:rFonts w:ascii="Book Antiqua" w:hAnsi="Book Antiqua" w:cs="Times New Roman"/>
          <w:b w:val="0"/>
          <w:bCs w:val="0"/>
          <w:color w:val="auto"/>
          <w:sz w:val="24"/>
          <w:lang w:val="sr-Latn-RS"/>
        </w:rPr>
        <w:t xml:space="preserve"> T-CG i </w:t>
      </w:r>
      <w:r>
        <w:rPr>
          <w:rFonts w:ascii="Book Antiqua" w:hAnsi="Book Antiqua" w:cs="Times New Roman"/>
          <w:b w:val="0"/>
          <w:bCs w:val="0"/>
          <w:i/>
          <w:iCs/>
          <w:color w:val="auto"/>
          <w:sz w:val="24"/>
          <w:lang w:val="sr-Latn-RS"/>
        </w:rPr>
        <w:t>T</w:t>
      </w:r>
      <w:r>
        <w:rPr>
          <w:rFonts w:ascii="Book Antiqua" w:hAnsi="Book Antiqua" w:cs="Times New Roman"/>
          <w:b w:val="0"/>
          <w:bCs w:val="0"/>
          <w:color w:val="auto"/>
          <w:sz w:val="24"/>
          <w:lang w:val="sr-Latn-RS"/>
        </w:rPr>
        <w:t>.</w:t>
      </w:r>
      <w:r>
        <w:rPr>
          <w:rFonts w:ascii="Book Antiqua" w:hAnsi="Book Antiqua" w:cs="Times New Roman"/>
          <w:b w:val="0"/>
          <w:bCs w:val="0"/>
          <w:i/>
          <w:iCs/>
          <w:color w:val="auto"/>
          <w:sz w:val="24"/>
          <w:lang w:val="sr-Latn-RS"/>
        </w:rPr>
        <w:t xml:space="preserve"> atroviride</w:t>
      </w:r>
      <w:r>
        <w:rPr>
          <w:rFonts w:ascii="Book Antiqua" w:hAnsi="Book Antiqua" w:cs="Times New Roman"/>
          <w:b w:val="0"/>
          <w:bCs w:val="0"/>
          <w:color w:val="auto"/>
          <w:sz w:val="24"/>
          <w:lang w:val="sr-Latn-RS"/>
        </w:rPr>
        <w:t xml:space="preserve"> SC1 prema patogenima prouzrokovačima eska oboljenja</w:t>
      </w:r>
      <w:r>
        <w:rPr>
          <w:rFonts w:ascii="Book Antiqua" w:hAnsi="Book Antiqua" w:cs="Times New Roman"/>
          <w:b w:val="0"/>
          <w:bCs w:val="0"/>
          <w:color w:val="auto"/>
          <w:sz w:val="24"/>
          <w:lang w:val="sr-Latn-RS"/>
        </w:rPr>
        <w:tab/>
        <w:t>105</w:t>
      </w:r>
    </w:p>
    <w:p w14:paraId="06726DAA"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sz w:val="24"/>
          <w:lang w:val="sr-Latn-RS"/>
        </w:rPr>
      </w:pPr>
      <w:r>
        <w:rPr>
          <w:rFonts w:ascii="Book Antiqua" w:hAnsi="Book Antiqua" w:cs="Times New Roman"/>
          <w:b w:val="0"/>
          <w:bCs w:val="0"/>
          <w:color w:val="auto"/>
          <w:sz w:val="24"/>
          <w:lang w:val="sr-Latn-RS"/>
        </w:rPr>
        <w:t xml:space="preserve">5.10 Indirektan </w:t>
      </w:r>
      <w:r>
        <w:rPr>
          <w:rFonts w:ascii="Book Antiqua" w:hAnsi="Book Antiqua" w:cs="Times New Roman"/>
          <w:b w:val="0"/>
          <w:bCs w:val="0"/>
          <w:i/>
          <w:iCs/>
          <w:color w:val="auto"/>
          <w:sz w:val="24"/>
          <w:lang w:val="sr-Latn-RS"/>
        </w:rPr>
        <w:t>in vitro</w:t>
      </w:r>
      <w:r>
        <w:rPr>
          <w:rFonts w:ascii="Book Antiqua" w:hAnsi="Book Antiqua" w:cs="Times New Roman"/>
          <w:b w:val="0"/>
          <w:bCs w:val="0"/>
          <w:color w:val="auto"/>
          <w:sz w:val="24"/>
          <w:lang w:val="sr-Latn-RS"/>
        </w:rPr>
        <w:t xml:space="preserve"> test </w:t>
      </w:r>
      <w:r>
        <w:rPr>
          <w:rFonts w:ascii="Book Antiqua" w:hAnsi="Book Antiqua" w:cs="Times New Roman"/>
          <w:b w:val="0"/>
          <w:bCs w:val="0"/>
          <w:i/>
          <w:iCs/>
          <w:color w:val="auto"/>
          <w:sz w:val="24"/>
          <w:lang w:val="sr-Latn-RS"/>
        </w:rPr>
        <w:t>T. citrinoviride</w:t>
      </w:r>
      <w:r>
        <w:rPr>
          <w:rFonts w:ascii="Book Antiqua" w:hAnsi="Book Antiqua" w:cs="Times New Roman"/>
          <w:b w:val="0"/>
          <w:bCs w:val="0"/>
          <w:color w:val="auto"/>
          <w:sz w:val="24"/>
          <w:lang w:val="sr-Latn-RS"/>
        </w:rPr>
        <w:t xml:space="preserve"> T-CG, </w:t>
      </w:r>
      <w:r>
        <w:rPr>
          <w:rFonts w:ascii="Book Antiqua" w:hAnsi="Book Antiqua" w:cs="Times New Roman"/>
          <w:b w:val="0"/>
          <w:bCs w:val="0"/>
          <w:i/>
          <w:iCs/>
          <w:color w:val="auto"/>
          <w:sz w:val="24"/>
          <w:lang w:val="sr-Latn-RS"/>
        </w:rPr>
        <w:t>T. atroviride</w:t>
      </w:r>
      <w:r>
        <w:rPr>
          <w:rFonts w:ascii="Book Antiqua" w:hAnsi="Book Antiqua" w:cs="Times New Roman"/>
          <w:b w:val="0"/>
          <w:bCs w:val="0"/>
          <w:color w:val="auto"/>
          <w:sz w:val="24"/>
          <w:lang w:val="sr-Latn-RS"/>
        </w:rPr>
        <w:t xml:space="preserve"> SC1 i bakra prema patogenima prouzrokovačima eska oboljenja</w:t>
      </w:r>
      <w:r>
        <w:rPr>
          <w:rFonts w:ascii="Book Antiqua" w:hAnsi="Book Antiqua" w:cs="Times New Roman"/>
          <w:b w:val="0"/>
          <w:bCs w:val="0"/>
          <w:color w:val="auto"/>
          <w:sz w:val="24"/>
          <w:lang w:val="sr-Latn-RS"/>
        </w:rPr>
        <w:tab/>
        <w:t>107</w:t>
      </w:r>
    </w:p>
    <w:p w14:paraId="6EE5C123"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sz w:val="24"/>
          <w:lang w:val="sr-Latn-RS"/>
        </w:rPr>
      </w:pPr>
      <w:r>
        <w:rPr>
          <w:rFonts w:ascii="Book Antiqua" w:hAnsi="Book Antiqua" w:cs="Times New Roman"/>
          <w:b w:val="0"/>
          <w:bCs w:val="0"/>
          <w:color w:val="auto"/>
          <w:sz w:val="24"/>
          <w:lang w:val="sr-Latn-RS"/>
        </w:rPr>
        <w:t xml:space="preserve">5.11 Direktan </w:t>
      </w:r>
      <w:r>
        <w:rPr>
          <w:rFonts w:ascii="Book Antiqua" w:hAnsi="Book Antiqua" w:cs="Times New Roman"/>
          <w:b w:val="0"/>
          <w:bCs w:val="0"/>
          <w:i/>
          <w:iCs/>
          <w:color w:val="auto"/>
          <w:sz w:val="24"/>
          <w:lang w:val="sr-Latn-RS"/>
        </w:rPr>
        <w:t>in vitro</w:t>
      </w:r>
      <w:r>
        <w:rPr>
          <w:rFonts w:ascii="Book Antiqua" w:hAnsi="Book Antiqua" w:cs="Times New Roman"/>
          <w:b w:val="0"/>
          <w:bCs w:val="0"/>
          <w:color w:val="auto"/>
          <w:sz w:val="24"/>
          <w:lang w:val="sr-Latn-RS"/>
        </w:rPr>
        <w:t xml:space="preserve"> test </w:t>
      </w:r>
      <w:r>
        <w:rPr>
          <w:rFonts w:ascii="Book Antiqua" w:hAnsi="Book Antiqua" w:cs="Times New Roman"/>
          <w:b w:val="0"/>
          <w:bCs w:val="0"/>
          <w:i/>
          <w:iCs/>
          <w:color w:val="auto"/>
          <w:sz w:val="24"/>
          <w:lang w:val="sr-Latn-RS"/>
        </w:rPr>
        <w:t>T. citrinoviride</w:t>
      </w:r>
      <w:r>
        <w:rPr>
          <w:rFonts w:ascii="Book Antiqua" w:hAnsi="Book Antiqua" w:cs="Times New Roman"/>
          <w:b w:val="0"/>
          <w:bCs w:val="0"/>
          <w:color w:val="auto"/>
          <w:sz w:val="24"/>
          <w:lang w:val="sr-Latn-RS"/>
        </w:rPr>
        <w:t xml:space="preserve"> T-CG i </w:t>
      </w:r>
      <w:r>
        <w:rPr>
          <w:rFonts w:ascii="Book Antiqua" w:hAnsi="Book Antiqua" w:cs="Times New Roman"/>
          <w:b w:val="0"/>
          <w:bCs w:val="0"/>
          <w:i/>
          <w:iCs/>
          <w:color w:val="auto"/>
          <w:sz w:val="24"/>
          <w:lang w:val="sr-Latn-RS"/>
        </w:rPr>
        <w:t>T. atroviride</w:t>
      </w:r>
      <w:r>
        <w:rPr>
          <w:rFonts w:ascii="Book Antiqua" w:hAnsi="Book Antiqua" w:cs="Times New Roman"/>
          <w:b w:val="0"/>
          <w:bCs w:val="0"/>
          <w:color w:val="auto"/>
          <w:sz w:val="24"/>
          <w:lang w:val="sr-Latn-RS"/>
        </w:rPr>
        <w:t xml:space="preserve"> SC1 prema ostalim patogenima prouzrokovačima bolesti drveta vinove loze u Crnoj Gori</w:t>
      </w:r>
      <w:r>
        <w:rPr>
          <w:rFonts w:ascii="Book Antiqua" w:hAnsi="Book Antiqua" w:cs="Times New Roman"/>
          <w:b w:val="0"/>
          <w:bCs w:val="0"/>
          <w:color w:val="auto"/>
          <w:sz w:val="24"/>
          <w:lang w:val="sr-Latn-RS"/>
        </w:rPr>
        <w:tab/>
        <w:t>111</w:t>
      </w:r>
    </w:p>
    <w:p w14:paraId="7F2F4642"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sz w:val="24"/>
          <w:lang w:val="sr-Latn-RS"/>
        </w:rPr>
      </w:pPr>
      <w:r>
        <w:rPr>
          <w:rFonts w:ascii="Book Antiqua" w:hAnsi="Book Antiqua" w:cs="Times New Roman"/>
          <w:b w:val="0"/>
          <w:bCs w:val="0"/>
          <w:color w:val="auto"/>
          <w:sz w:val="24"/>
          <w:lang w:val="sr-Latn-RS"/>
        </w:rPr>
        <w:t xml:space="preserve">5.12 </w:t>
      </w:r>
      <w:r>
        <w:rPr>
          <w:rFonts w:ascii="Book Antiqua" w:hAnsi="Book Antiqua" w:cs="Times New Roman"/>
          <w:b w:val="0"/>
          <w:bCs w:val="0"/>
          <w:i/>
          <w:iCs/>
          <w:color w:val="auto"/>
          <w:sz w:val="24"/>
          <w:lang w:val="sr-Latn-RS"/>
        </w:rPr>
        <w:t>In vivo</w:t>
      </w:r>
      <w:r>
        <w:rPr>
          <w:rFonts w:ascii="Book Antiqua" w:hAnsi="Book Antiqua" w:cs="Times New Roman"/>
          <w:b w:val="0"/>
          <w:bCs w:val="0"/>
          <w:color w:val="auto"/>
          <w:sz w:val="24"/>
          <w:lang w:val="sr-Latn-RS"/>
        </w:rPr>
        <w:t xml:space="preserve"> test </w:t>
      </w:r>
      <w:r>
        <w:rPr>
          <w:rFonts w:ascii="Book Antiqua" w:hAnsi="Book Antiqua" w:cs="Times New Roman"/>
          <w:b w:val="0"/>
          <w:bCs w:val="0"/>
          <w:i/>
          <w:iCs/>
          <w:color w:val="auto"/>
          <w:sz w:val="24"/>
          <w:lang w:val="sr-Latn-RS"/>
        </w:rPr>
        <w:t>T. citrinoviride</w:t>
      </w:r>
      <w:r>
        <w:rPr>
          <w:rFonts w:ascii="Book Antiqua" w:hAnsi="Book Antiqua" w:cs="Times New Roman"/>
          <w:b w:val="0"/>
          <w:bCs w:val="0"/>
          <w:color w:val="auto"/>
          <w:sz w:val="24"/>
          <w:lang w:val="sr-Latn-RS"/>
        </w:rPr>
        <w:t xml:space="preserve"> T-CG i </w:t>
      </w:r>
      <w:r>
        <w:rPr>
          <w:rFonts w:ascii="Book Antiqua" w:hAnsi="Book Antiqua" w:cs="Times New Roman"/>
          <w:b w:val="0"/>
          <w:bCs w:val="0"/>
          <w:i/>
          <w:iCs/>
          <w:color w:val="auto"/>
          <w:sz w:val="24"/>
          <w:lang w:val="sr-Latn-RS"/>
        </w:rPr>
        <w:t>T. atroviride</w:t>
      </w:r>
      <w:r>
        <w:rPr>
          <w:rFonts w:ascii="Book Antiqua" w:hAnsi="Book Antiqua" w:cs="Times New Roman"/>
          <w:b w:val="0"/>
          <w:bCs w:val="0"/>
          <w:color w:val="auto"/>
          <w:sz w:val="24"/>
          <w:lang w:val="sr-Latn-RS"/>
        </w:rPr>
        <w:t xml:space="preserve"> SC1 prema </w:t>
      </w:r>
      <w:r>
        <w:rPr>
          <w:rFonts w:ascii="Book Antiqua" w:hAnsi="Book Antiqua" w:cs="Times New Roman"/>
          <w:b w:val="0"/>
          <w:bCs w:val="0"/>
          <w:i/>
          <w:iCs/>
          <w:color w:val="auto"/>
          <w:sz w:val="24"/>
          <w:lang w:val="sr-Latn-RS"/>
        </w:rPr>
        <w:t>P. minimum</w:t>
      </w:r>
      <w:r>
        <w:rPr>
          <w:rFonts w:ascii="Book Antiqua" w:hAnsi="Book Antiqua" w:cs="Times New Roman"/>
          <w:b w:val="0"/>
          <w:bCs w:val="0"/>
          <w:color w:val="auto"/>
          <w:sz w:val="24"/>
          <w:lang w:val="sr-Latn-RS"/>
        </w:rPr>
        <w:t xml:space="preserve">, </w:t>
      </w:r>
      <w:r>
        <w:rPr>
          <w:rFonts w:ascii="Book Antiqua" w:hAnsi="Book Antiqua" w:cs="Times New Roman"/>
          <w:b w:val="0"/>
          <w:bCs w:val="0"/>
          <w:i/>
          <w:iCs/>
          <w:color w:val="auto"/>
          <w:sz w:val="24"/>
          <w:lang w:val="sr-Latn-RS"/>
        </w:rPr>
        <w:t>P. chlamydospora</w:t>
      </w:r>
      <w:r>
        <w:rPr>
          <w:rFonts w:ascii="Book Antiqua" w:hAnsi="Book Antiqua" w:cs="Times New Roman"/>
          <w:b w:val="0"/>
          <w:bCs w:val="0"/>
          <w:color w:val="auto"/>
          <w:sz w:val="24"/>
          <w:lang w:val="sr-Latn-RS"/>
        </w:rPr>
        <w:t xml:space="preserve">, </w:t>
      </w:r>
      <w:r>
        <w:rPr>
          <w:rFonts w:ascii="Book Antiqua" w:hAnsi="Book Antiqua" w:cs="Times New Roman"/>
          <w:b w:val="0"/>
          <w:bCs w:val="0"/>
          <w:i/>
          <w:iCs/>
          <w:color w:val="auto"/>
          <w:sz w:val="24"/>
          <w:lang w:val="sr-Latn-RS"/>
        </w:rPr>
        <w:t>N. parvum</w:t>
      </w:r>
      <w:r>
        <w:rPr>
          <w:rFonts w:ascii="Book Antiqua" w:hAnsi="Book Antiqua" w:cs="Times New Roman"/>
          <w:b w:val="0"/>
          <w:bCs w:val="0"/>
          <w:color w:val="auto"/>
          <w:sz w:val="24"/>
          <w:lang w:val="sr-Latn-RS"/>
        </w:rPr>
        <w:tab/>
        <w:t>115</w:t>
      </w:r>
    </w:p>
    <w:p w14:paraId="53A75D91"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kern w:val="2"/>
          <w:sz w:val="24"/>
          <w:lang w:val="en-US" w:eastAsia="sr-Latn-ME"/>
        </w:rPr>
      </w:pPr>
      <w:r>
        <w:rPr>
          <w:rFonts w:ascii="Book Antiqua" w:hAnsi="Book Antiqua" w:cs="Times New Roman"/>
          <w:b w:val="0"/>
          <w:bCs w:val="0"/>
          <w:color w:val="auto"/>
          <w:kern w:val="2"/>
          <w:sz w:val="24"/>
          <w:lang w:val="en-US" w:eastAsia="sr-Latn-ME"/>
        </w:rPr>
        <w:t xml:space="preserve">5.13 </w:t>
      </w:r>
      <w:r>
        <w:rPr>
          <w:rFonts w:ascii="Book Antiqua" w:hAnsi="Book Antiqua" w:cs="Times New Roman"/>
          <w:b w:val="0"/>
          <w:bCs w:val="0"/>
          <w:i/>
          <w:iCs/>
          <w:color w:val="auto"/>
          <w:kern w:val="2"/>
          <w:sz w:val="24"/>
          <w:lang w:val="en-US" w:eastAsia="sr-Latn-ME"/>
        </w:rPr>
        <w:t>In vivo</w:t>
      </w:r>
      <w:r>
        <w:rPr>
          <w:rFonts w:ascii="Book Antiqua" w:hAnsi="Book Antiqua" w:cs="Times New Roman"/>
          <w:b w:val="0"/>
          <w:bCs w:val="0"/>
          <w:color w:val="auto"/>
          <w:kern w:val="2"/>
          <w:sz w:val="24"/>
          <w:lang w:val="en-US" w:eastAsia="sr-Latn-ME"/>
        </w:rPr>
        <w:t xml:space="preserve"> test </w:t>
      </w:r>
      <w:r>
        <w:rPr>
          <w:rFonts w:ascii="Book Antiqua" w:hAnsi="Book Antiqua" w:cs="Times New Roman"/>
          <w:b w:val="0"/>
          <w:bCs w:val="0"/>
          <w:i/>
          <w:iCs/>
          <w:color w:val="auto"/>
          <w:kern w:val="2"/>
          <w:sz w:val="24"/>
          <w:lang w:val="en-US" w:eastAsia="sr-Latn-ME"/>
        </w:rPr>
        <w:t>T. citrinoviride</w:t>
      </w:r>
      <w:r>
        <w:rPr>
          <w:rFonts w:ascii="Book Antiqua" w:hAnsi="Book Antiqua" w:cs="Times New Roman"/>
          <w:b w:val="0"/>
          <w:bCs w:val="0"/>
          <w:color w:val="auto"/>
          <w:kern w:val="2"/>
          <w:sz w:val="24"/>
          <w:lang w:val="en-US" w:eastAsia="sr-Latn-ME"/>
        </w:rPr>
        <w:t xml:space="preserve"> T-CG, </w:t>
      </w:r>
      <w:r>
        <w:rPr>
          <w:rFonts w:ascii="Book Antiqua" w:hAnsi="Book Antiqua" w:cs="Times New Roman"/>
          <w:b w:val="0"/>
          <w:bCs w:val="0"/>
          <w:i/>
          <w:iCs/>
          <w:color w:val="auto"/>
          <w:kern w:val="2"/>
          <w:sz w:val="24"/>
          <w:lang w:val="en-US" w:eastAsia="sr-Latn-ME"/>
        </w:rPr>
        <w:t>T. atroviride</w:t>
      </w:r>
      <w:r>
        <w:rPr>
          <w:rFonts w:ascii="Book Antiqua" w:hAnsi="Book Antiqua" w:cs="Times New Roman"/>
          <w:b w:val="0"/>
          <w:bCs w:val="0"/>
          <w:color w:val="auto"/>
          <w:kern w:val="2"/>
          <w:sz w:val="24"/>
          <w:lang w:val="en-US" w:eastAsia="sr-Latn-ME"/>
        </w:rPr>
        <w:t xml:space="preserve"> SC1 i bakra prema </w:t>
      </w:r>
      <w:r>
        <w:rPr>
          <w:rFonts w:ascii="Book Antiqua" w:hAnsi="Book Antiqua" w:cs="Times New Roman"/>
          <w:b w:val="0"/>
          <w:bCs w:val="0"/>
          <w:i/>
          <w:iCs/>
          <w:color w:val="auto"/>
          <w:kern w:val="2"/>
          <w:sz w:val="24"/>
          <w:lang w:val="en-US" w:eastAsia="sr-Latn-ME"/>
        </w:rPr>
        <w:t>Fomitiporia mediterranea</w:t>
      </w:r>
      <w:r>
        <w:rPr>
          <w:rFonts w:ascii="Book Antiqua" w:hAnsi="Book Antiqua" w:cs="Times New Roman"/>
          <w:b w:val="0"/>
          <w:bCs w:val="0"/>
          <w:color w:val="auto"/>
          <w:kern w:val="2"/>
          <w:sz w:val="24"/>
          <w:lang w:val="en-US" w:eastAsia="sr-Latn-ME"/>
        </w:rPr>
        <w:tab/>
        <w:t>118</w:t>
      </w:r>
    </w:p>
    <w:p w14:paraId="56BD6CCD"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kern w:val="2"/>
          <w:sz w:val="24"/>
          <w:lang w:val="en-US" w:eastAsia="sr-Latn-ME"/>
        </w:rPr>
      </w:pPr>
      <w:r>
        <w:rPr>
          <w:rFonts w:ascii="Book Antiqua" w:hAnsi="Book Antiqua" w:cs="Times New Roman"/>
          <w:b w:val="0"/>
          <w:bCs w:val="0"/>
          <w:color w:val="auto"/>
          <w:kern w:val="2"/>
          <w:sz w:val="24"/>
          <w:lang w:val="en-US" w:eastAsia="sr-Latn-ME"/>
        </w:rPr>
        <w:t>5.14 Analiza pojave simptoma i širenja eska oboljenja u vinogradu</w:t>
      </w:r>
      <w:r>
        <w:rPr>
          <w:rFonts w:ascii="Book Antiqua" w:hAnsi="Book Antiqua" w:cs="Times New Roman"/>
          <w:b w:val="0"/>
          <w:bCs w:val="0"/>
          <w:color w:val="auto"/>
          <w:kern w:val="2"/>
          <w:sz w:val="24"/>
          <w:lang w:val="en-US" w:eastAsia="sr-Latn-ME"/>
        </w:rPr>
        <w:tab/>
        <w:t>120</w:t>
      </w:r>
    </w:p>
    <w:p w14:paraId="3C03C83E"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kern w:val="2"/>
          <w:sz w:val="24"/>
          <w:lang w:val="en-US" w:eastAsia="sr-Latn-ME"/>
        </w:rPr>
      </w:pPr>
      <w:r>
        <w:rPr>
          <w:rFonts w:ascii="Book Antiqua" w:hAnsi="Book Antiqua" w:cs="Times New Roman"/>
          <w:b w:val="0"/>
          <w:bCs w:val="0"/>
          <w:color w:val="auto"/>
          <w:kern w:val="2"/>
          <w:sz w:val="24"/>
          <w:lang w:val="en-US" w:eastAsia="sr-Latn-ME"/>
        </w:rPr>
        <w:t>5.15 Uticaj klimatskih faktora na širenje eska oboljenja u Crnoj Gori</w:t>
      </w:r>
      <w:r>
        <w:rPr>
          <w:rFonts w:ascii="Book Antiqua" w:hAnsi="Book Antiqua" w:cs="Times New Roman"/>
          <w:b w:val="0"/>
          <w:bCs w:val="0"/>
          <w:color w:val="auto"/>
          <w:kern w:val="2"/>
          <w:sz w:val="24"/>
          <w:lang w:val="en-US" w:eastAsia="sr-Latn-ME"/>
        </w:rPr>
        <w:tab/>
        <w:t>123</w:t>
      </w:r>
    </w:p>
    <w:p w14:paraId="7825CF35" w14:textId="77777777" w:rsidR="003801E8" w:rsidRDefault="00E44AAE">
      <w:pPr>
        <w:pStyle w:val="teza1"/>
        <w:tabs>
          <w:tab w:val="right" w:leader="dot" w:pos="23040"/>
        </w:tabs>
        <w:spacing w:before="0" w:after="200"/>
        <w:ind w:right="144"/>
        <w:jc w:val="both"/>
        <w:rPr>
          <w:rFonts w:ascii="Book Antiqua" w:hAnsi="Book Antiqua" w:cs="Times New Roman"/>
          <w:b w:val="0"/>
          <w:bCs w:val="0"/>
          <w:iCs/>
          <w:color w:val="auto"/>
          <w:sz w:val="24"/>
        </w:rPr>
      </w:pPr>
      <w:r>
        <w:rPr>
          <w:rFonts w:ascii="Book Antiqua" w:hAnsi="Book Antiqua" w:cs="Times New Roman"/>
          <w:b w:val="0"/>
          <w:bCs w:val="0"/>
          <w:color w:val="auto"/>
          <w:sz w:val="24"/>
        </w:rPr>
        <w:lastRenderedPageBreak/>
        <w:t xml:space="preserve">5.16 </w:t>
      </w:r>
      <w:r>
        <w:rPr>
          <w:rFonts w:ascii="Book Antiqua" w:hAnsi="Book Antiqua" w:cs="Times New Roman"/>
          <w:b w:val="0"/>
          <w:bCs w:val="0"/>
          <w:iCs/>
          <w:color w:val="auto"/>
          <w:sz w:val="24"/>
        </w:rPr>
        <w:t>Uticaj eska oboljenja na kvantitet i kvalitet prinosa</w:t>
      </w:r>
      <w:r>
        <w:rPr>
          <w:rFonts w:ascii="Book Antiqua" w:hAnsi="Book Antiqua" w:cs="Times New Roman"/>
          <w:b w:val="0"/>
          <w:bCs w:val="0"/>
          <w:iCs/>
          <w:color w:val="auto"/>
          <w:sz w:val="24"/>
        </w:rPr>
        <w:tab/>
        <w:t>127</w:t>
      </w:r>
    </w:p>
    <w:p w14:paraId="5D8B188B" w14:textId="77777777" w:rsidR="003801E8" w:rsidRDefault="00E44AAE">
      <w:pPr>
        <w:pStyle w:val="teza1"/>
        <w:tabs>
          <w:tab w:val="right" w:leader="dot" w:pos="23040"/>
        </w:tabs>
        <w:spacing w:before="0" w:after="200"/>
        <w:ind w:right="144"/>
        <w:jc w:val="both"/>
        <w:rPr>
          <w:rFonts w:ascii="Book Antiqua" w:hAnsi="Book Antiqua" w:cs="Times New Roman"/>
          <w:b w:val="0"/>
          <w:bCs w:val="0"/>
          <w:iCs/>
          <w:color w:val="auto"/>
          <w:sz w:val="24"/>
        </w:rPr>
      </w:pPr>
      <w:r>
        <w:rPr>
          <w:rFonts w:ascii="Book Antiqua" w:hAnsi="Book Antiqua" w:cs="Times New Roman"/>
          <w:iCs/>
          <w:color w:val="auto"/>
          <w:sz w:val="24"/>
        </w:rPr>
        <w:t>VI DISKUSIJA</w:t>
      </w:r>
      <w:r>
        <w:rPr>
          <w:rFonts w:ascii="Book Antiqua" w:hAnsi="Book Antiqua" w:cs="Times New Roman"/>
          <w:b w:val="0"/>
          <w:bCs w:val="0"/>
          <w:iCs/>
          <w:color w:val="auto"/>
          <w:sz w:val="24"/>
        </w:rPr>
        <w:tab/>
        <w:t>129</w:t>
      </w:r>
    </w:p>
    <w:p w14:paraId="3C3962BD" w14:textId="77777777" w:rsidR="003801E8" w:rsidRDefault="00E44AAE">
      <w:pPr>
        <w:pStyle w:val="teza1"/>
        <w:tabs>
          <w:tab w:val="right" w:leader="dot" w:pos="23040"/>
        </w:tabs>
        <w:spacing w:before="0" w:after="200"/>
        <w:ind w:right="144"/>
        <w:jc w:val="both"/>
        <w:rPr>
          <w:rFonts w:ascii="Book Antiqua" w:hAnsi="Book Antiqua" w:cs="Times New Roman"/>
          <w:b w:val="0"/>
          <w:bCs w:val="0"/>
          <w:iCs/>
          <w:color w:val="auto"/>
          <w:sz w:val="24"/>
        </w:rPr>
      </w:pPr>
      <w:r>
        <w:rPr>
          <w:rFonts w:ascii="Book Antiqua" w:hAnsi="Book Antiqua" w:cs="Times New Roman"/>
          <w:iCs/>
          <w:color w:val="auto"/>
          <w:sz w:val="24"/>
        </w:rPr>
        <w:t>VII ZAKLJUČCI</w:t>
      </w:r>
      <w:r>
        <w:rPr>
          <w:rFonts w:ascii="Book Antiqua" w:hAnsi="Book Antiqua" w:cs="Times New Roman"/>
          <w:b w:val="0"/>
          <w:bCs w:val="0"/>
          <w:iCs/>
          <w:color w:val="auto"/>
          <w:sz w:val="24"/>
        </w:rPr>
        <w:tab/>
        <w:t>139</w:t>
      </w:r>
    </w:p>
    <w:p w14:paraId="008DC920" w14:textId="77777777" w:rsidR="003801E8" w:rsidRDefault="00E44AAE">
      <w:pPr>
        <w:pStyle w:val="teza1"/>
        <w:tabs>
          <w:tab w:val="right" w:leader="dot" w:pos="23040"/>
        </w:tabs>
        <w:spacing w:before="0" w:after="200"/>
        <w:ind w:right="144"/>
        <w:jc w:val="both"/>
        <w:rPr>
          <w:rFonts w:ascii="Book Antiqua" w:hAnsi="Book Antiqua" w:cs="Times New Roman"/>
          <w:b w:val="0"/>
          <w:bCs w:val="0"/>
          <w:color w:val="auto"/>
          <w:kern w:val="2"/>
          <w:sz w:val="24"/>
          <w:lang w:val="en-US" w:eastAsia="sr-Latn-ME"/>
        </w:rPr>
      </w:pPr>
      <w:r>
        <w:rPr>
          <w:rFonts w:ascii="Book Antiqua" w:hAnsi="Book Antiqua" w:cs="Times New Roman"/>
          <w:color w:val="auto"/>
          <w:sz w:val="24"/>
        </w:rPr>
        <w:t>VII LITERATURA</w:t>
      </w:r>
      <w:r>
        <w:rPr>
          <w:rFonts w:ascii="Book Antiqua" w:hAnsi="Book Antiqua" w:cs="Times New Roman"/>
          <w:b w:val="0"/>
          <w:bCs w:val="0"/>
          <w:color w:val="auto"/>
          <w:sz w:val="24"/>
        </w:rPr>
        <w:tab/>
        <w:t>141</w:t>
      </w:r>
    </w:p>
    <w:p w14:paraId="5A6989A5" w14:textId="77777777" w:rsidR="003801E8" w:rsidRDefault="003801E8">
      <w:pPr>
        <w:pStyle w:val="teza1"/>
        <w:tabs>
          <w:tab w:val="right" w:leader="dot" w:pos="23040"/>
        </w:tabs>
        <w:spacing w:before="0" w:after="200"/>
        <w:ind w:right="144"/>
        <w:jc w:val="both"/>
        <w:rPr>
          <w:rFonts w:ascii="Book Antiqua" w:hAnsi="Book Antiqua" w:cs="Times New Roman"/>
          <w:b w:val="0"/>
          <w:bCs w:val="0"/>
          <w:color w:val="000000" w:themeColor="text1"/>
          <w:kern w:val="2"/>
          <w:sz w:val="24"/>
          <w:lang w:val="en-US" w:eastAsia="sr-Latn-ME"/>
        </w:rPr>
      </w:pPr>
    </w:p>
    <w:p w14:paraId="1DD2618D" w14:textId="77777777" w:rsidR="003801E8" w:rsidRDefault="003801E8">
      <w:pPr>
        <w:pStyle w:val="teza1"/>
        <w:tabs>
          <w:tab w:val="right" w:leader="dot" w:pos="23040"/>
        </w:tabs>
        <w:spacing w:before="0" w:after="200"/>
        <w:ind w:right="144"/>
        <w:jc w:val="both"/>
        <w:rPr>
          <w:rFonts w:ascii="Book Antiqua" w:hAnsi="Book Antiqua" w:cs="Times New Roman"/>
          <w:b w:val="0"/>
          <w:bCs w:val="0"/>
          <w:color w:val="000000" w:themeColor="text1"/>
          <w:kern w:val="2"/>
          <w:sz w:val="24"/>
          <w:lang w:val="en-US" w:eastAsia="sr-Latn-ME"/>
        </w:rPr>
      </w:pPr>
    </w:p>
    <w:p w14:paraId="2AF51EAA" w14:textId="77777777" w:rsidR="003801E8" w:rsidRDefault="003801E8">
      <w:pPr>
        <w:pStyle w:val="teza1"/>
        <w:tabs>
          <w:tab w:val="right" w:leader="dot" w:pos="23040"/>
        </w:tabs>
        <w:spacing w:before="0" w:after="200"/>
        <w:ind w:right="144"/>
        <w:jc w:val="both"/>
        <w:rPr>
          <w:rFonts w:ascii="Book Antiqua" w:hAnsi="Book Antiqua" w:cs="Times New Roman"/>
          <w:b w:val="0"/>
          <w:bCs w:val="0"/>
          <w:i/>
          <w:iCs/>
          <w:color w:val="000000" w:themeColor="text1"/>
          <w:kern w:val="2"/>
          <w:sz w:val="24"/>
          <w:lang w:val="en-US" w:eastAsia="sr-Latn-ME"/>
        </w:rPr>
      </w:pPr>
    </w:p>
    <w:p w14:paraId="18A61B54" w14:textId="77777777" w:rsidR="003801E8" w:rsidRDefault="003801E8">
      <w:pPr>
        <w:pStyle w:val="teza1"/>
        <w:tabs>
          <w:tab w:val="right" w:leader="dot" w:pos="23040"/>
        </w:tabs>
        <w:spacing w:before="0" w:after="200"/>
        <w:ind w:right="144"/>
        <w:jc w:val="both"/>
        <w:rPr>
          <w:rFonts w:ascii="Book Antiqua" w:hAnsi="Book Antiqua" w:cs="Times New Roman"/>
          <w:b w:val="0"/>
          <w:bCs w:val="0"/>
          <w:color w:val="000000" w:themeColor="text1"/>
          <w:sz w:val="24"/>
          <w:lang w:val="sr-Latn-RS"/>
        </w:rPr>
      </w:pPr>
    </w:p>
    <w:p w14:paraId="37732881" w14:textId="77777777" w:rsidR="003801E8" w:rsidRDefault="003801E8">
      <w:pPr>
        <w:pStyle w:val="teza1"/>
        <w:tabs>
          <w:tab w:val="right" w:leader="dot" w:pos="23040"/>
        </w:tabs>
        <w:spacing w:before="0" w:after="200"/>
        <w:ind w:right="144"/>
        <w:jc w:val="both"/>
        <w:rPr>
          <w:rFonts w:ascii="Book Antiqua" w:hAnsi="Book Antiqua" w:cs="Times New Roman"/>
          <w:b w:val="0"/>
          <w:bCs w:val="0"/>
          <w:sz w:val="24"/>
          <w:lang w:val="sr-Latn-RS"/>
        </w:rPr>
      </w:pPr>
    </w:p>
    <w:p w14:paraId="57E59F2C" w14:textId="77777777" w:rsidR="003801E8" w:rsidRDefault="003801E8">
      <w:pPr>
        <w:pStyle w:val="teza1"/>
        <w:tabs>
          <w:tab w:val="right" w:leader="dot" w:pos="23040"/>
        </w:tabs>
        <w:spacing w:before="0" w:after="200"/>
        <w:ind w:right="144"/>
        <w:jc w:val="both"/>
        <w:rPr>
          <w:rFonts w:ascii="Book Antiqua" w:hAnsi="Book Antiqua" w:cs="Times New Roman"/>
          <w:b w:val="0"/>
          <w:bCs w:val="0"/>
          <w:color w:val="000000" w:themeColor="text1"/>
          <w:sz w:val="24"/>
          <w:lang w:val="sr-Latn-RS"/>
        </w:rPr>
      </w:pPr>
    </w:p>
    <w:p w14:paraId="1F1851AC" w14:textId="77777777" w:rsidR="003801E8" w:rsidRDefault="003801E8">
      <w:pPr>
        <w:pStyle w:val="teza1"/>
        <w:tabs>
          <w:tab w:val="right" w:leader="dot" w:pos="23040"/>
        </w:tabs>
        <w:spacing w:before="0" w:after="200"/>
        <w:ind w:right="144"/>
        <w:jc w:val="both"/>
        <w:rPr>
          <w:rFonts w:ascii="Book Antiqua" w:hAnsi="Book Antiqua" w:cs="Times New Roman"/>
          <w:b w:val="0"/>
          <w:bCs w:val="0"/>
          <w:iCs/>
          <w:color w:val="000000" w:themeColor="text1"/>
          <w:kern w:val="2"/>
          <w:sz w:val="24"/>
          <w:lang w:val="en-US" w:eastAsia="sr-Latn-ME"/>
        </w:rPr>
      </w:pPr>
    </w:p>
    <w:p w14:paraId="0302028A" w14:textId="77777777" w:rsidR="003801E8" w:rsidRDefault="003801E8">
      <w:pPr>
        <w:pStyle w:val="teza1"/>
        <w:tabs>
          <w:tab w:val="right" w:leader="dot" w:pos="23040"/>
        </w:tabs>
        <w:spacing w:before="0" w:after="200"/>
        <w:ind w:right="144"/>
        <w:jc w:val="both"/>
        <w:rPr>
          <w:rFonts w:ascii="Book Antiqua" w:hAnsi="Book Antiqua" w:cs="Times New Roman"/>
          <w:b w:val="0"/>
          <w:bCs w:val="0"/>
          <w:color w:val="000000" w:themeColor="text1"/>
          <w:sz w:val="24"/>
        </w:rPr>
      </w:pPr>
    </w:p>
    <w:p w14:paraId="7F280D72" w14:textId="77777777" w:rsidR="003801E8" w:rsidRDefault="003801E8">
      <w:pPr>
        <w:pStyle w:val="teza1"/>
        <w:tabs>
          <w:tab w:val="right" w:leader="dot" w:pos="23040"/>
        </w:tabs>
        <w:spacing w:before="0" w:after="200"/>
        <w:ind w:right="144"/>
        <w:jc w:val="both"/>
        <w:rPr>
          <w:rFonts w:ascii="Book Antiqua" w:hAnsi="Book Antiqua" w:cs="Times New Roman"/>
          <w:b w:val="0"/>
          <w:bCs w:val="0"/>
          <w:color w:val="000000" w:themeColor="text1"/>
          <w:sz w:val="24"/>
        </w:rPr>
      </w:pPr>
    </w:p>
    <w:p w14:paraId="3E98B9CA" w14:textId="77777777" w:rsidR="003801E8" w:rsidRDefault="003801E8">
      <w:pPr>
        <w:pStyle w:val="teza1"/>
        <w:tabs>
          <w:tab w:val="right" w:leader="dot" w:pos="23040"/>
        </w:tabs>
        <w:spacing w:before="0" w:after="200"/>
        <w:ind w:right="144"/>
        <w:jc w:val="both"/>
        <w:rPr>
          <w:rFonts w:ascii="Book Antiqua" w:hAnsi="Book Antiqua" w:cs="Times New Roman"/>
          <w:sz w:val="24"/>
          <w:lang w:val="sr-Latn-RS"/>
        </w:rPr>
      </w:pPr>
    </w:p>
    <w:p w14:paraId="041C5008" w14:textId="77777777" w:rsidR="003801E8" w:rsidRDefault="003801E8">
      <w:pPr>
        <w:pStyle w:val="teza1"/>
        <w:tabs>
          <w:tab w:val="right" w:leader="dot" w:pos="23040"/>
        </w:tabs>
        <w:spacing w:before="0" w:after="200"/>
        <w:ind w:right="144"/>
        <w:jc w:val="both"/>
        <w:rPr>
          <w:rFonts w:ascii="Book Antiqua" w:hAnsi="Book Antiqua" w:cs="Times New Roman"/>
          <w:b w:val="0"/>
          <w:bCs w:val="0"/>
          <w:sz w:val="24"/>
          <w:lang w:val="sr-Latn-RS"/>
        </w:rPr>
      </w:pPr>
    </w:p>
    <w:p w14:paraId="4D36E79F" w14:textId="77777777" w:rsidR="003801E8" w:rsidRDefault="003801E8">
      <w:pPr>
        <w:pStyle w:val="teza1"/>
        <w:tabs>
          <w:tab w:val="right" w:leader="dot" w:pos="23040"/>
        </w:tabs>
        <w:spacing w:before="0" w:after="200"/>
        <w:ind w:right="144"/>
        <w:jc w:val="both"/>
        <w:rPr>
          <w:rFonts w:ascii="Book Antiqua" w:hAnsi="Book Antiqua" w:cs="Times New Roman"/>
          <w:b w:val="0"/>
          <w:bCs w:val="0"/>
          <w:sz w:val="24"/>
        </w:rPr>
      </w:pPr>
    </w:p>
    <w:p w14:paraId="4E6098C0" w14:textId="77777777" w:rsidR="003801E8" w:rsidRDefault="003801E8">
      <w:pPr>
        <w:pStyle w:val="teza1"/>
        <w:tabs>
          <w:tab w:val="right" w:leader="dot" w:pos="23040"/>
        </w:tabs>
        <w:spacing w:before="0" w:after="200"/>
        <w:ind w:right="144"/>
        <w:jc w:val="both"/>
        <w:rPr>
          <w:rFonts w:ascii="Book Antiqua" w:hAnsi="Book Antiqua" w:cs="Times New Roman"/>
          <w:b w:val="0"/>
          <w:bCs w:val="0"/>
          <w:color w:val="auto"/>
          <w:kern w:val="2"/>
          <w:sz w:val="24"/>
          <w:lang w:val="en-US" w:eastAsia="sr-Latn-ME"/>
        </w:rPr>
      </w:pPr>
    </w:p>
    <w:p w14:paraId="6AD0DD5B" w14:textId="77777777" w:rsidR="003801E8" w:rsidRDefault="003801E8">
      <w:pPr>
        <w:pStyle w:val="teza1"/>
        <w:tabs>
          <w:tab w:val="right" w:leader="dot" w:pos="23040"/>
        </w:tabs>
        <w:spacing w:before="0" w:after="200"/>
        <w:ind w:right="144"/>
        <w:jc w:val="both"/>
        <w:rPr>
          <w:rFonts w:ascii="Book Antiqua" w:hAnsi="Book Antiqua" w:cs="Times New Roman"/>
          <w:b w:val="0"/>
          <w:bCs w:val="0"/>
          <w:iCs/>
          <w:color w:val="auto"/>
          <w:kern w:val="2"/>
          <w:sz w:val="24"/>
          <w:lang w:val="en-US" w:eastAsia="sr-Latn-ME"/>
        </w:rPr>
      </w:pPr>
    </w:p>
    <w:p w14:paraId="69C8E391" w14:textId="77777777" w:rsidR="003801E8" w:rsidRDefault="003801E8">
      <w:pPr>
        <w:pStyle w:val="teza1"/>
        <w:tabs>
          <w:tab w:val="right" w:leader="dot" w:pos="23040"/>
        </w:tabs>
        <w:spacing w:before="0" w:after="200"/>
        <w:ind w:right="144"/>
        <w:jc w:val="both"/>
        <w:rPr>
          <w:rFonts w:ascii="Book Antiqua" w:hAnsi="Book Antiqua" w:cs="Times New Roman"/>
          <w:b w:val="0"/>
          <w:bCs w:val="0"/>
          <w:color w:val="000000" w:themeColor="text1"/>
          <w:sz w:val="24"/>
        </w:rPr>
      </w:pPr>
    </w:p>
    <w:p w14:paraId="5ACF2716" w14:textId="77777777" w:rsidR="003801E8" w:rsidRDefault="003801E8">
      <w:pPr>
        <w:pStyle w:val="teza1"/>
        <w:tabs>
          <w:tab w:val="right" w:leader="dot" w:pos="23040"/>
        </w:tabs>
        <w:spacing w:before="0" w:after="200"/>
        <w:ind w:right="144"/>
        <w:jc w:val="both"/>
        <w:rPr>
          <w:rFonts w:ascii="Book Antiqua" w:hAnsi="Book Antiqua" w:cs="Times New Roman"/>
          <w:b w:val="0"/>
          <w:bCs w:val="0"/>
          <w:color w:val="000000" w:themeColor="text1"/>
          <w:sz w:val="24"/>
        </w:rPr>
      </w:pPr>
    </w:p>
    <w:p w14:paraId="581B6908" w14:textId="77777777" w:rsidR="003801E8" w:rsidRDefault="00E44AAE">
      <w:pPr>
        <w:pStyle w:val="teza1"/>
        <w:spacing w:before="0" w:after="200"/>
        <w:jc w:val="both"/>
        <w:rPr>
          <w:rFonts w:ascii="Book Antiqua" w:hAnsi="Book Antiqua" w:cs="Times New Roman"/>
          <w:color w:val="000000" w:themeColor="text1"/>
          <w:sz w:val="24"/>
        </w:rPr>
      </w:pPr>
      <w:r>
        <w:rPr>
          <w:rFonts w:ascii="Book Antiqua" w:hAnsi="Book Antiqua" w:cs="Times New Roman"/>
          <w:color w:val="000000" w:themeColor="text1"/>
          <w:sz w:val="24"/>
        </w:rPr>
        <w:tab/>
      </w:r>
    </w:p>
    <w:p w14:paraId="2E994348" w14:textId="77777777" w:rsidR="003801E8" w:rsidRDefault="003801E8">
      <w:pPr>
        <w:pStyle w:val="teza1"/>
        <w:spacing w:before="0" w:after="200"/>
        <w:jc w:val="left"/>
        <w:rPr>
          <w:rFonts w:ascii="Book Antiqua" w:hAnsi="Book Antiqua" w:cs="Times New Roman"/>
          <w:color w:val="auto"/>
          <w:sz w:val="24"/>
        </w:rPr>
        <w:sectPr w:rsidR="003801E8">
          <w:pgSz w:w="11906" w:h="16838"/>
          <w:pgMar w:top="1701" w:right="1701" w:bottom="1701" w:left="1701" w:header="709" w:footer="709" w:gutter="0"/>
          <w:cols w:space="708"/>
          <w:docGrid w:linePitch="360"/>
        </w:sectPr>
      </w:pPr>
    </w:p>
    <w:p w14:paraId="48B6DFCC" w14:textId="77777777" w:rsidR="003801E8" w:rsidRDefault="00E44AAE">
      <w:pPr>
        <w:pStyle w:val="teza1"/>
        <w:spacing w:before="0" w:after="200"/>
        <w:jc w:val="left"/>
        <w:rPr>
          <w:rFonts w:ascii="Book Antiqua" w:hAnsi="Book Antiqua" w:cs="Times New Roman"/>
          <w:color w:val="auto"/>
          <w:sz w:val="24"/>
        </w:rPr>
      </w:pPr>
      <w:r>
        <w:rPr>
          <w:rFonts w:ascii="Book Antiqua" w:hAnsi="Book Antiqua" w:cs="Times New Roman"/>
          <w:color w:val="auto"/>
          <w:sz w:val="24"/>
        </w:rPr>
        <w:lastRenderedPageBreak/>
        <w:t>I UVOD</w:t>
      </w:r>
    </w:p>
    <w:p w14:paraId="2AB46941" w14:textId="77777777" w:rsidR="003801E8" w:rsidRDefault="00E44AAE">
      <w:pPr>
        <w:pStyle w:val="teza1"/>
        <w:spacing w:before="0" w:after="200"/>
        <w:jc w:val="both"/>
        <w:rPr>
          <w:rFonts w:ascii="Book Antiqua" w:hAnsi="Book Antiqua" w:cs="Times New Roman"/>
          <w:b w:val="0"/>
          <w:bCs w:val="0"/>
          <w:color w:val="auto"/>
          <w:sz w:val="24"/>
        </w:rPr>
      </w:pPr>
      <w:r>
        <w:rPr>
          <w:rFonts w:ascii="Book Antiqua" w:hAnsi="Book Antiqua" w:cs="Times New Roman"/>
          <w:b w:val="0"/>
          <w:bCs w:val="0"/>
          <w:color w:val="auto"/>
          <w:sz w:val="24"/>
        </w:rPr>
        <w:t>Vinova loza (</w:t>
      </w:r>
      <w:r>
        <w:rPr>
          <w:rFonts w:ascii="Book Antiqua" w:hAnsi="Book Antiqua" w:cs="Times New Roman"/>
          <w:b w:val="0"/>
          <w:bCs w:val="0"/>
          <w:i/>
          <w:iCs/>
          <w:color w:val="auto"/>
          <w:sz w:val="24"/>
        </w:rPr>
        <w:t>Vitis vinifera</w:t>
      </w:r>
      <w:r>
        <w:rPr>
          <w:rFonts w:ascii="Book Antiqua" w:hAnsi="Book Antiqua" w:cs="Times New Roman"/>
          <w:b w:val="0"/>
          <w:bCs w:val="0"/>
          <w:color w:val="auto"/>
          <w:sz w:val="24"/>
        </w:rPr>
        <w:t xml:space="preserve"> L.) ima najdužu istoriju gajenja i spada među najrasprostranjenije biljne vrste među kultivisanim biljkama u svijetu (</w:t>
      </w:r>
      <w:r>
        <w:rPr>
          <w:rFonts w:ascii="Book Antiqua" w:hAnsi="Book Antiqua" w:cs="Times New Roman"/>
          <w:color w:val="auto"/>
          <w:sz w:val="24"/>
        </w:rPr>
        <w:t>Srobarova i Kakalikova, 2007</w:t>
      </w:r>
      <w:r>
        <w:rPr>
          <w:rFonts w:ascii="Book Antiqua" w:hAnsi="Book Antiqua" w:cs="Times New Roman"/>
          <w:b w:val="0"/>
          <w:bCs w:val="0"/>
          <w:color w:val="auto"/>
          <w:sz w:val="24"/>
        </w:rPr>
        <w:t>). Odakle potiču preci današnje vinove loze teško je odgovoriti, ali paleobotaničari ukazuju da je vinova loza postojala prije pojave čovjeka na zemlji (</w:t>
      </w:r>
      <w:r>
        <w:rPr>
          <w:rFonts w:ascii="Book Antiqua" w:hAnsi="Book Antiqua" w:cs="Times New Roman"/>
          <w:color w:val="auto"/>
          <w:sz w:val="24"/>
        </w:rPr>
        <w:t>Savić, 2010</w:t>
      </w:r>
      <w:r>
        <w:rPr>
          <w:rFonts w:ascii="Book Antiqua" w:hAnsi="Book Antiqua" w:cs="Times New Roman"/>
          <w:b w:val="0"/>
          <w:bCs w:val="0"/>
          <w:color w:val="auto"/>
          <w:sz w:val="24"/>
        </w:rPr>
        <w:t>). Od davnina je zapadni Balkan bio dom važnih evropskih civilizacija, a kultura gajenja vinove loze u Crnoj Gori datira još iz predromanskog perioda (</w:t>
      </w:r>
      <w:r>
        <w:rPr>
          <w:rFonts w:ascii="Book Antiqua" w:hAnsi="Book Antiqua" w:cs="Times New Roman"/>
          <w:color w:val="auto"/>
          <w:sz w:val="24"/>
        </w:rPr>
        <w:t>Maraš i sar., 2017</w:t>
      </w:r>
      <w:r>
        <w:rPr>
          <w:rFonts w:ascii="Book Antiqua" w:hAnsi="Book Antiqua" w:cs="Times New Roman"/>
          <w:b w:val="0"/>
          <w:bCs w:val="0"/>
          <w:color w:val="auto"/>
          <w:sz w:val="24"/>
        </w:rPr>
        <w:t>). O velikom značaju vinarstva u tom periodu, svjedoče različite relikvije poput onih pronađenih u nekropoli Budve, koje datiraju iz IV vijeka prije nove ere (</w:t>
      </w:r>
      <w:r>
        <w:rPr>
          <w:rFonts w:ascii="Book Antiqua" w:hAnsi="Book Antiqua" w:cs="Times New Roman"/>
          <w:color w:val="auto"/>
          <w:sz w:val="24"/>
        </w:rPr>
        <w:t>Maraš et al., 2020</w:t>
      </w:r>
      <w:r>
        <w:rPr>
          <w:rFonts w:ascii="Book Antiqua" w:hAnsi="Book Antiqua" w:cs="Times New Roman"/>
          <w:b w:val="0"/>
          <w:bCs w:val="0"/>
          <w:color w:val="auto"/>
          <w:sz w:val="24"/>
        </w:rPr>
        <w:t>). Danas, veliki značaj vinogradarstva se ogleda u uzgoju vinove loze na zemljištima na kojim druge poljoprivredne kulture ne mogu uspješno opstati</w:t>
      </w:r>
      <w:bookmarkStart w:id="2" w:name="_Hlk175157500"/>
      <w:r>
        <w:rPr>
          <w:rFonts w:ascii="Book Antiqua" w:hAnsi="Book Antiqua" w:cs="Times New Roman"/>
          <w:b w:val="0"/>
          <w:bCs w:val="0"/>
          <w:color w:val="auto"/>
          <w:sz w:val="24"/>
        </w:rPr>
        <w:t xml:space="preserve"> (</w:t>
      </w:r>
      <w:r>
        <w:rPr>
          <w:rFonts w:ascii="Book Antiqua" w:hAnsi="Book Antiqua" w:cs="Times New Roman"/>
          <w:color w:val="auto"/>
          <w:sz w:val="24"/>
        </w:rPr>
        <w:t>Korać i sar., 2016</w:t>
      </w:r>
      <w:r>
        <w:rPr>
          <w:rFonts w:ascii="Book Antiqua" w:hAnsi="Book Antiqua" w:cs="Times New Roman"/>
          <w:b w:val="0"/>
          <w:bCs w:val="0"/>
          <w:color w:val="auto"/>
          <w:sz w:val="24"/>
        </w:rPr>
        <w:t>).</w:t>
      </w:r>
      <w:bookmarkEnd w:id="2"/>
      <w:r>
        <w:rPr>
          <w:rFonts w:ascii="Book Antiqua" w:hAnsi="Book Antiqua" w:cs="Times New Roman"/>
          <w:b w:val="0"/>
          <w:bCs w:val="0"/>
          <w:color w:val="auto"/>
          <w:sz w:val="24"/>
        </w:rPr>
        <w:t xml:space="preserve"> </w:t>
      </w:r>
    </w:p>
    <w:p w14:paraId="6636BBC7" w14:textId="77777777" w:rsidR="003801E8" w:rsidRDefault="00E44AAE">
      <w:pPr>
        <w:pStyle w:val="teza1"/>
        <w:spacing w:before="0" w:after="200"/>
        <w:jc w:val="both"/>
        <w:rPr>
          <w:rFonts w:ascii="Book Antiqua" w:hAnsi="Book Antiqua" w:cs="Times New Roman"/>
          <w:b w:val="0"/>
          <w:bCs w:val="0"/>
          <w:color w:val="auto"/>
          <w:sz w:val="24"/>
        </w:rPr>
      </w:pPr>
      <w:r>
        <w:rPr>
          <w:rFonts w:ascii="Book Antiqua" w:hAnsi="Book Antiqua" w:cs="Times New Roman"/>
          <w:b w:val="0"/>
          <w:bCs w:val="0"/>
          <w:color w:val="auto"/>
          <w:sz w:val="24"/>
        </w:rPr>
        <w:t>Kao jedna od najrasprostranjenijih biljnih vrsta na svijetu, vinova loza je podložna napadu velikog broja različitih patogenih mikroorganizama (</w:t>
      </w:r>
      <w:r>
        <w:rPr>
          <w:rFonts w:ascii="Book Antiqua" w:hAnsi="Book Antiqua" w:cs="Times New Roman"/>
          <w:color w:val="auto"/>
          <w:sz w:val="24"/>
        </w:rPr>
        <w:t>Armijo et al., 2016</w:t>
      </w:r>
      <w:r>
        <w:rPr>
          <w:rFonts w:ascii="Book Antiqua" w:hAnsi="Book Antiqua" w:cs="Times New Roman"/>
          <w:b w:val="0"/>
          <w:bCs w:val="0"/>
          <w:color w:val="auto"/>
          <w:sz w:val="24"/>
        </w:rPr>
        <w:t>). Patogeni prouzrokovači bolesti vinove loze mogu biti mikozne, bakteriozne ili virusne prirode, a kao posebna grupa izdvajaju se bolesti drveta vinove loze. Odlikuju se širokom geografskom distribucijom, prouzrokujući velike ekonomske gubitke u svim vinogradarskim zemljama širom svijeta (</w:t>
      </w:r>
      <w:r>
        <w:rPr>
          <w:rFonts w:ascii="Book Antiqua" w:hAnsi="Book Antiqua" w:cs="Times New Roman"/>
          <w:color w:val="auto"/>
          <w:sz w:val="24"/>
        </w:rPr>
        <w:t>Kaliterna i Blažević, 2021; Leal et al., 2023</w:t>
      </w:r>
      <w:r>
        <w:rPr>
          <w:rFonts w:ascii="Book Antiqua" w:hAnsi="Book Antiqua" w:cs="Times New Roman"/>
          <w:b w:val="0"/>
          <w:bCs w:val="0"/>
          <w:color w:val="auto"/>
          <w:sz w:val="24"/>
        </w:rPr>
        <w:t>). Bolesti drveta vinove loze su vaskularna oboljenja usled čijeg razvoja dolazi do gubitka funkcije ksilema i značajnog smanjenja hidraulične provodljivosti sprovodnih sudova biljke (</w:t>
      </w:r>
      <w:r>
        <w:rPr>
          <w:rFonts w:ascii="Book Antiqua" w:hAnsi="Book Antiqua" w:cs="Times New Roman"/>
          <w:color w:val="auto"/>
          <w:sz w:val="24"/>
        </w:rPr>
        <w:t>Pouzoulet et al., 2014</w:t>
      </w:r>
      <w:r>
        <w:rPr>
          <w:rFonts w:ascii="Book Antiqua" w:hAnsi="Book Antiqua" w:cs="Times New Roman"/>
          <w:b w:val="0"/>
          <w:bCs w:val="0"/>
          <w:color w:val="auto"/>
          <w:sz w:val="24"/>
        </w:rPr>
        <w:t>). Infekcija nastaje na višegodišnjim organima biljaka, kao što su stablo ili korijen, a sekundarni simptomi se mogu primijetiti na listovima, grozdovima i lastarima (</w:t>
      </w:r>
      <w:r>
        <w:rPr>
          <w:rFonts w:ascii="Book Antiqua" w:hAnsi="Book Antiqua" w:cs="Times New Roman"/>
          <w:color w:val="auto"/>
          <w:sz w:val="24"/>
        </w:rPr>
        <w:t>Paolinelli et al., 2022</w:t>
      </w:r>
      <w:r>
        <w:rPr>
          <w:rFonts w:ascii="Book Antiqua" w:hAnsi="Book Antiqua" w:cs="Times New Roman"/>
          <w:b w:val="0"/>
          <w:bCs w:val="0"/>
          <w:color w:val="auto"/>
          <w:sz w:val="24"/>
        </w:rPr>
        <w:t xml:space="preserve">). </w:t>
      </w:r>
      <w:r>
        <w:rPr>
          <w:rFonts w:ascii="Book Antiqua" w:hAnsi="Book Antiqua" w:cs="Times New Roman"/>
          <w:color w:val="auto"/>
          <w:sz w:val="24"/>
        </w:rPr>
        <w:t>Hofstetter et al. (2012)</w:t>
      </w:r>
      <w:r>
        <w:rPr>
          <w:rFonts w:ascii="Book Antiqua" w:hAnsi="Book Antiqua" w:cs="Times New Roman"/>
          <w:b w:val="0"/>
          <w:bCs w:val="0"/>
          <w:color w:val="auto"/>
          <w:sz w:val="24"/>
        </w:rPr>
        <w:t xml:space="preserve"> izvještavaju o 158 različitih vrsta gljiva pronađenih u drvetu vinove loze samo u jednom vinogradu u Švajcarskoj, što ukazuje na visok diverzitet gljiva koje se mogu naći u drvetu ove biljne vrste. Prema </w:t>
      </w:r>
      <w:r>
        <w:rPr>
          <w:rFonts w:ascii="Book Antiqua" w:hAnsi="Book Antiqua" w:cs="Times New Roman"/>
          <w:color w:val="auto"/>
          <w:sz w:val="24"/>
        </w:rPr>
        <w:t>Paolinelli et al. (2022)</w:t>
      </w:r>
      <w:r>
        <w:rPr>
          <w:rFonts w:ascii="Book Antiqua" w:hAnsi="Book Antiqua" w:cs="Times New Roman"/>
          <w:b w:val="0"/>
          <w:bCs w:val="0"/>
          <w:color w:val="auto"/>
          <w:sz w:val="24"/>
        </w:rPr>
        <w:t xml:space="preserve"> gljive prouzrokovači bolesti drveta vinove loze nijesu filogenetski povezane jer pripadaju različitim porodicama i rodovima, iako prouzrokuju slične </w:t>
      </w:r>
      <w:r>
        <w:rPr>
          <w:rFonts w:ascii="Book Antiqua" w:hAnsi="Book Antiqua" w:cs="Times New Roman"/>
          <w:b w:val="0"/>
          <w:bCs w:val="0"/>
          <w:color w:val="auto"/>
          <w:sz w:val="24"/>
        </w:rPr>
        <w:lastRenderedPageBreak/>
        <w:t>simptome. Većina autora ističe da je eska najznačajnija bolest drveta vinove loze, rasprostranjena na svim kontinentima, velikom broju zemalja i u gotovo svim vinogradarskim regionima. Eska je kompleksno oboljenje koje se manifestuje u vidu hroničnog i apoplektičnog oblika. Apoplektičan oblik bolesti javlja se u vidu naglog propadanja kompletnog čokota, najčešće tokom ljetnjih mjeseci. Nasuprot tome, hroničan oblik bolesti može se javiti više godina na istom čokotu prouzrokujući spoljašnje i unutrašnje simptome, pri čemu dolazi do njegovog postepenog sušenja. Unutrašnji simptomi su vidljivi na poprečnom i uzdužnom presjeku čokota u vidu crnih nekrotičnih mrlja i bijele truleži u centralnom dijelu drveta (</w:t>
      </w:r>
      <w:r>
        <w:rPr>
          <w:rFonts w:ascii="Book Antiqua" w:hAnsi="Book Antiqua" w:cs="Times New Roman"/>
          <w:color w:val="auto"/>
          <w:sz w:val="24"/>
        </w:rPr>
        <w:t>Mugnai et al., 1999</w:t>
      </w:r>
      <w:r>
        <w:rPr>
          <w:rFonts w:ascii="Book Antiqua" w:hAnsi="Book Antiqua" w:cs="Times New Roman"/>
          <w:b w:val="0"/>
          <w:bCs w:val="0"/>
          <w:color w:val="auto"/>
          <w:sz w:val="24"/>
        </w:rPr>
        <w:t>). Spoljašnji simptomi se manifestuju na listovima u vidu međunervalne nekroze koja se postepeno širi i spaja, a oboljelo tkivo lista je jasno oivičeno karakterističnom ljubičastom linijom. Simptomatični listovi imaju specifičan izgled koji podsjeća na „tigrovu šaru“. Simptomi bolesti se mogu javiti i na pokožici bobica u vidu sitnijih ili krupnijih pjega (</w:t>
      </w:r>
      <w:r>
        <w:rPr>
          <w:rFonts w:ascii="Book Antiqua" w:hAnsi="Book Antiqua" w:cs="Times New Roman"/>
          <w:bCs w:val="0"/>
          <w:color w:val="auto"/>
          <w:sz w:val="24"/>
        </w:rPr>
        <w:t>Bester, 2006</w:t>
      </w:r>
      <w:r>
        <w:rPr>
          <w:rFonts w:ascii="Book Antiqua" w:hAnsi="Book Antiqua" w:cs="Times New Roman"/>
          <w:b w:val="0"/>
          <w:bCs w:val="0"/>
          <w:color w:val="auto"/>
          <w:sz w:val="24"/>
        </w:rPr>
        <w:t>). Grozdovi imaju neujednačeno sazrijevanje, a samim tim je narušen odnos šećera i kiselina, zbog čega gube svoju tržišnu vrijednost. Jedan od glavnih simptoma eska oboljenja na grozdovima jeste njihovo potpuno sušenje (</w:t>
      </w:r>
      <w:r>
        <w:rPr>
          <w:rFonts w:ascii="Book Antiqua" w:hAnsi="Book Antiqua" w:cs="Times New Roman"/>
          <w:bCs w:val="0"/>
          <w:color w:val="auto"/>
          <w:sz w:val="24"/>
        </w:rPr>
        <w:t>Mugnai et al., 1999</w:t>
      </w:r>
      <w:r>
        <w:rPr>
          <w:rFonts w:ascii="Book Antiqua" w:hAnsi="Book Antiqua" w:cs="Times New Roman"/>
          <w:b w:val="0"/>
          <w:bCs w:val="0"/>
          <w:color w:val="auto"/>
          <w:sz w:val="24"/>
        </w:rPr>
        <w:t>). Patogeni prouzrokovači bolesti nikada nijesu izolovani iz simpomatičnih listova, zbog čega se smatra da folijarni simptomi nijesu prouzrokovani dejstvom patogenih mikrooganizama, već njihovih različitih metabolita (</w:t>
      </w:r>
      <w:r>
        <w:rPr>
          <w:rFonts w:ascii="Book Antiqua" w:hAnsi="Book Antiqua" w:cs="Times New Roman"/>
          <w:bCs w:val="0"/>
          <w:color w:val="auto"/>
          <w:sz w:val="24"/>
        </w:rPr>
        <w:t>Del Frari et al., 2022</w:t>
      </w:r>
      <w:r>
        <w:rPr>
          <w:rFonts w:ascii="Book Antiqua" w:hAnsi="Book Antiqua" w:cs="Times New Roman"/>
          <w:b w:val="0"/>
          <w:bCs w:val="0"/>
          <w:color w:val="auto"/>
          <w:sz w:val="24"/>
        </w:rPr>
        <w:t xml:space="preserve">). Prema dosadašnjim istraživanjima, eska oboljenje na vinovoj lozi prouzrokuju gljive </w:t>
      </w:r>
      <w:r>
        <w:rPr>
          <w:rFonts w:ascii="Book Antiqua" w:hAnsi="Book Antiqua" w:cs="Times New Roman"/>
          <w:b w:val="0"/>
          <w:bCs w:val="0"/>
          <w:i/>
          <w:iCs/>
          <w:color w:val="auto"/>
          <w:sz w:val="24"/>
        </w:rPr>
        <w:t>Phaeomoniella chlamydospora</w:t>
      </w:r>
      <w:r>
        <w:rPr>
          <w:rFonts w:ascii="Book Antiqua" w:hAnsi="Book Antiqua" w:cs="Times New Roman"/>
          <w:b w:val="0"/>
          <w:bCs w:val="0"/>
          <w:color w:val="auto"/>
          <w:sz w:val="24"/>
        </w:rPr>
        <w:t xml:space="preserve">,  </w:t>
      </w:r>
      <w:r>
        <w:rPr>
          <w:rFonts w:ascii="Book Antiqua" w:hAnsi="Book Antiqua" w:cs="Times New Roman"/>
          <w:b w:val="0"/>
          <w:bCs w:val="0"/>
          <w:i/>
          <w:iCs/>
          <w:color w:val="auto"/>
          <w:sz w:val="24"/>
        </w:rPr>
        <w:t>Fomitiporia mediterranea</w:t>
      </w:r>
      <w:r>
        <w:rPr>
          <w:rFonts w:ascii="Book Antiqua" w:hAnsi="Book Antiqua" w:cs="Times New Roman"/>
          <w:color w:val="auto"/>
          <w:sz w:val="24"/>
        </w:rPr>
        <w:t xml:space="preserve"> </w:t>
      </w:r>
      <w:r>
        <w:rPr>
          <w:rFonts w:ascii="Book Antiqua" w:hAnsi="Book Antiqua" w:cs="Times New Roman"/>
          <w:b w:val="0"/>
          <w:bCs w:val="0"/>
          <w:color w:val="auto"/>
          <w:sz w:val="24"/>
        </w:rPr>
        <w:t xml:space="preserve">i veći broj gljiva iz roda </w:t>
      </w:r>
      <w:r>
        <w:rPr>
          <w:rFonts w:ascii="Book Antiqua" w:hAnsi="Book Antiqua" w:cs="Times New Roman"/>
          <w:b w:val="0"/>
          <w:bCs w:val="0"/>
          <w:i/>
          <w:iCs/>
          <w:color w:val="auto"/>
          <w:sz w:val="24"/>
        </w:rPr>
        <w:t>Phaeoacremonium</w:t>
      </w:r>
      <w:r>
        <w:rPr>
          <w:rFonts w:ascii="Book Antiqua" w:hAnsi="Book Antiqua" w:cs="Times New Roman"/>
          <w:b w:val="0"/>
          <w:bCs w:val="0"/>
          <w:color w:val="auto"/>
          <w:sz w:val="24"/>
        </w:rPr>
        <w:t>. Fitopatogeni mikroorganizmi prouzrokovači bolesti prezimljavaju u vinogradu na čokotu, pukotinama kore, ostacima od rezidbe ili zemljištu. Prezimljavaju u vidu micelije, peritecija, hlamidospora ili bazidiokarpa. Sporulacija je najintenzivnija tokom proljeća, a oslobođene spore ostvaruju infekciju na ranama nastalim tokom rezidbe vinove loze (</w:t>
      </w:r>
      <w:r>
        <w:rPr>
          <w:rFonts w:ascii="Book Antiqua" w:hAnsi="Book Antiqua" w:cs="Times New Roman"/>
          <w:bCs w:val="0"/>
          <w:color w:val="auto"/>
          <w:sz w:val="24"/>
        </w:rPr>
        <w:t>Mostert et al., 2006</w:t>
      </w:r>
      <w:r>
        <w:rPr>
          <w:rFonts w:ascii="Book Antiqua" w:hAnsi="Book Antiqua" w:cs="Times New Roman"/>
          <w:b w:val="0"/>
          <w:bCs w:val="0"/>
          <w:color w:val="auto"/>
          <w:sz w:val="24"/>
        </w:rPr>
        <w:t xml:space="preserve">; </w:t>
      </w:r>
      <w:r>
        <w:rPr>
          <w:rFonts w:ascii="Book Antiqua" w:hAnsi="Book Antiqua" w:cs="Times New Roman"/>
          <w:bCs w:val="0"/>
          <w:color w:val="auto"/>
          <w:sz w:val="24"/>
        </w:rPr>
        <w:t>Whiteman et al., 2002</w:t>
      </w:r>
      <w:r>
        <w:rPr>
          <w:rFonts w:ascii="Book Antiqua" w:hAnsi="Book Antiqua" w:cs="Times New Roman"/>
          <w:b w:val="0"/>
          <w:bCs w:val="0"/>
          <w:color w:val="auto"/>
          <w:sz w:val="24"/>
        </w:rPr>
        <w:t xml:space="preserve">; </w:t>
      </w:r>
      <w:r>
        <w:rPr>
          <w:rFonts w:ascii="Book Antiqua" w:hAnsi="Book Antiqua" w:cs="Times New Roman"/>
          <w:bCs w:val="0"/>
          <w:color w:val="auto"/>
          <w:sz w:val="24"/>
        </w:rPr>
        <w:t>Cortesi et al., 2000</w:t>
      </w:r>
      <w:r>
        <w:rPr>
          <w:rFonts w:ascii="Book Antiqua" w:hAnsi="Book Antiqua" w:cs="Times New Roman"/>
          <w:b w:val="0"/>
          <w:bCs w:val="0"/>
          <w:color w:val="auto"/>
          <w:sz w:val="24"/>
        </w:rPr>
        <w:t xml:space="preserve">). </w:t>
      </w:r>
    </w:p>
    <w:p w14:paraId="5CCEA0FA" w14:textId="77777777" w:rsidR="003801E8" w:rsidRDefault="00E44AAE">
      <w:pPr>
        <w:pStyle w:val="teza1"/>
        <w:spacing w:before="0" w:after="200"/>
        <w:jc w:val="both"/>
        <w:rPr>
          <w:rFonts w:ascii="Book Antiqua" w:hAnsi="Book Antiqua" w:cs="Times New Roman"/>
          <w:b w:val="0"/>
          <w:bCs w:val="0"/>
          <w:color w:val="auto"/>
          <w:sz w:val="24"/>
        </w:rPr>
      </w:pPr>
      <w:r>
        <w:rPr>
          <w:rFonts w:ascii="Book Antiqua" w:hAnsi="Book Antiqua" w:cs="Times New Roman"/>
          <w:color w:val="auto"/>
          <w:sz w:val="24"/>
        </w:rPr>
        <w:lastRenderedPageBreak/>
        <w:t>Eskalen et al. (2007)</w:t>
      </w:r>
      <w:r>
        <w:rPr>
          <w:rFonts w:ascii="Book Antiqua" w:hAnsi="Book Antiqua" w:cs="Times New Roman"/>
          <w:b w:val="0"/>
          <w:bCs w:val="0"/>
          <w:color w:val="auto"/>
          <w:sz w:val="24"/>
        </w:rPr>
        <w:t xml:space="preserve"> ukazuju da su ozlede osjetljive i do 4 mjeseca nakon rezidbe. Međutim, pojedini mikroorganizmi kao </w:t>
      </w:r>
      <w:r>
        <w:rPr>
          <w:rFonts w:ascii="Book Antiqua" w:hAnsi="Book Antiqua" w:cs="Times New Roman"/>
          <w:b w:val="0"/>
          <w:bCs w:val="0"/>
          <w:i/>
          <w:iCs/>
          <w:color w:val="auto"/>
          <w:sz w:val="24"/>
        </w:rPr>
        <w:t>P. chlamydospora</w:t>
      </w:r>
      <w:r>
        <w:rPr>
          <w:rFonts w:ascii="Book Antiqua" w:hAnsi="Book Antiqua" w:cs="Times New Roman"/>
          <w:b w:val="0"/>
          <w:bCs w:val="0"/>
          <w:color w:val="auto"/>
          <w:sz w:val="24"/>
        </w:rPr>
        <w:t xml:space="preserve"> mogu se pronaći u matičnim biljkama, vodi za hidrataciju i opremi za kalemljenje u rasadnicima. Zbog toga zaraženi sadni materijal predstavlja glavni izvor inokuluma za širenje bolesti (</w:t>
      </w:r>
      <w:r>
        <w:rPr>
          <w:rFonts w:ascii="Book Antiqua" w:hAnsi="Book Antiqua" w:cs="Times New Roman"/>
          <w:bCs w:val="0"/>
          <w:color w:val="auto"/>
          <w:sz w:val="24"/>
        </w:rPr>
        <w:t>Gramaje et al., 2018</w:t>
      </w:r>
      <w:r>
        <w:rPr>
          <w:rFonts w:ascii="Book Antiqua" w:hAnsi="Book Antiqua" w:cs="Times New Roman"/>
          <w:b w:val="0"/>
          <w:bCs w:val="0"/>
          <w:color w:val="auto"/>
          <w:sz w:val="24"/>
        </w:rPr>
        <w:t>). Veći broj autora ističe da je širenje bolesti i intenzitet pojave folijarnih simptoma u tijesnoj vezi sa klimatskim faktorima. Veća količina padavina tokom proljeća dovodi do intenzivnije pojave folijarnih simptoma hroničnog oblika eska oboljenja. Simptomi se obično javljaju polovinom juna, a najveći intenzitet dostižu u drugoj polovini ljeta (jul/avgust). Pojava simptoma bolesti u najtoplijem dijelu godine direktno je povezana sa otežanim transportom vode kroz sprovodne sudove drveta, usled začepljenja ksilema. Jedna od osnovnih karakteristika eska oboljenja je fluktuacija simptoma jer ista biljka jedne godine može pokazati folijarne simptome bolesti koji u narednoj vegetaciji mogu izostati. Međutim, za razliku od hroničnog oblika, visoka temperatura i niska vlažnost vazduha u periodu proljeće/ljeto, pogoduju razvoju akutnog oblika bolesti (apopleksije) (</w:t>
      </w:r>
      <w:r>
        <w:rPr>
          <w:rFonts w:ascii="Book Antiqua" w:hAnsi="Book Antiqua" w:cs="Times New Roman"/>
          <w:bCs w:val="0"/>
          <w:color w:val="auto"/>
          <w:sz w:val="24"/>
        </w:rPr>
        <w:t>Lecomte et al., 2024</w:t>
      </w:r>
      <w:r>
        <w:rPr>
          <w:rFonts w:ascii="Book Antiqua" w:hAnsi="Book Antiqua" w:cs="Times New Roman"/>
          <w:b w:val="0"/>
          <w:bCs w:val="0"/>
          <w:color w:val="auto"/>
          <w:sz w:val="24"/>
        </w:rPr>
        <w:t xml:space="preserve">).  </w:t>
      </w:r>
    </w:p>
    <w:p w14:paraId="7E026EEF" w14:textId="77777777" w:rsidR="003801E8" w:rsidRDefault="00E44AAE">
      <w:pPr>
        <w:pStyle w:val="teza1"/>
        <w:spacing w:before="0" w:after="200"/>
        <w:jc w:val="both"/>
        <w:rPr>
          <w:rFonts w:ascii="Book Antiqua" w:hAnsi="Book Antiqua" w:cs="Times New Roman"/>
          <w:b w:val="0"/>
          <w:bCs w:val="0"/>
          <w:color w:val="auto"/>
          <w:sz w:val="24"/>
        </w:rPr>
      </w:pPr>
      <w:r>
        <w:rPr>
          <w:rFonts w:ascii="Book Antiqua" w:hAnsi="Book Antiqua" w:cs="Times New Roman"/>
          <w:b w:val="0"/>
          <w:bCs w:val="0"/>
          <w:color w:val="auto"/>
          <w:sz w:val="24"/>
        </w:rPr>
        <w:t>Iako su do sada uloženi ogromni napori da se pronađe odgovarajuće rešenje, suzbijanje eska oboljenja na vinovoj lozi je i dalje kompleksno i teško (</w:t>
      </w:r>
      <w:r>
        <w:rPr>
          <w:rFonts w:ascii="Book Antiqua" w:hAnsi="Book Antiqua" w:cs="Times New Roman"/>
          <w:color w:val="auto"/>
          <w:sz w:val="24"/>
        </w:rPr>
        <w:t>Pertot et al., 2016</w:t>
      </w:r>
      <w:r>
        <w:rPr>
          <w:rFonts w:ascii="Book Antiqua" w:hAnsi="Book Antiqua" w:cs="Times New Roman"/>
          <w:b w:val="0"/>
          <w:bCs w:val="0"/>
          <w:color w:val="auto"/>
          <w:sz w:val="24"/>
        </w:rPr>
        <w:t>). Poteškoće u suzbijanju ove bolesti u vinogradima širom svijeta, posebno su izražene nakon zabrane primjene natrijum arsenita (</w:t>
      </w:r>
      <w:r>
        <w:rPr>
          <w:rFonts w:ascii="Book Antiqua" w:hAnsi="Book Antiqua" w:cs="Times New Roman"/>
          <w:bCs w:val="0"/>
          <w:color w:val="auto"/>
          <w:sz w:val="24"/>
        </w:rPr>
        <w:t>Bruez et al., 2021</w:t>
      </w:r>
      <w:r>
        <w:rPr>
          <w:rFonts w:ascii="Book Antiqua" w:hAnsi="Book Antiqua" w:cs="Times New Roman"/>
          <w:b w:val="0"/>
          <w:bCs w:val="0"/>
          <w:color w:val="auto"/>
          <w:sz w:val="24"/>
        </w:rPr>
        <w:t xml:space="preserve">). Upotreba velikog broja sintetičkih sredstava za zaštitu bilja-fungicida, koja su pokazivala efikasnost u </w:t>
      </w:r>
      <w:r>
        <w:rPr>
          <w:rFonts w:ascii="Book Antiqua" w:hAnsi="Book Antiqua" w:cs="Times New Roman"/>
          <w:b w:val="0"/>
          <w:bCs w:val="0"/>
          <w:i/>
          <w:iCs/>
          <w:color w:val="auto"/>
          <w:sz w:val="24"/>
        </w:rPr>
        <w:t>in vitro</w:t>
      </w:r>
      <w:r>
        <w:rPr>
          <w:rFonts w:ascii="Book Antiqua" w:hAnsi="Book Antiqua" w:cs="Times New Roman"/>
          <w:b w:val="0"/>
          <w:bCs w:val="0"/>
          <w:color w:val="auto"/>
          <w:sz w:val="24"/>
        </w:rPr>
        <w:t xml:space="preserve"> uslovima, danas je zabranjena zbog negativnog uticaja na životnu sredinu. Mali broj fungicida ima registraciju i može se primjenjivati u suzbijanju eska oboljenja, uglavnom u vidu pasti ili premaza koji se primjenjuju pomoću specijalno dizajniranih prskalica (</w:t>
      </w:r>
      <w:r>
        <w:rPr>
          <w:rFonts w:ascii="Book Antiqua" w:hAnsi="Book Antiqua" w:cs="Times New Roman"/>
          <w:bCs w:val="0"/>
          <w:color w:val="auto"/>
          <w:sz w:val="24"/>
        </w:rPr>
        <w:t>Di Marco et al., 2022</w:t>
      </w:r>
      <w:r>
        <w:rPr>
          <w:rFonts w:ascii="Book Antiqua" w:hAnsi="Book Antiqua" w:cs="Times New Roman"/>
          <w:b w:val="0"/>
          <w:bCs w:val="0"/>
          <w:color w:val="auto"/>
          <w:sz w:val="24"/>
        </w:rPr>
        <w:t xml:space="preserve">). Nedostatak mogućnosti suzbijanja eska oboljenja hemijskim putem, čini ovu bolest veoma kompleksnom sa aspekta zaštite, a jedini način kontrole su preventivne i biološke mjere. Obzirom da rane od rezidbe </w:t>
      </w:r>
      <w:r>
        <w:rPr>
          <w:rFonts w:ascii="Book Antiqua" w:hAnsi="Book Antiqua" w:cs="Times New Roman"/>
          <w:b w:val="0"/>
          <w:bCs w:val="0"/>
          <w:color w:val="auto"/>
          <w:sz w:val="24"/>
        </w:rPr>
        <w:lastRenderedPageBreak/>
        <w:t>predstavljaju „ulazna vrata“ za prodor patogena, preventivne mjere su direktno povezane sa rezidbom. Optimizacija vremena i načina rezidbe su ključni faktori u pokušaju smanjenja širenja eska oboljenja (</w:t>
      </w:r>
      <w:r>
        <w:rPr>
          <w:rFonts w:ascii="Book Antiqua" w:hAnsi="Book Antiqua" w:cs="Times New Roman"/>
          <w:bCs w:val="0"/>
          <w:color w:val="auto"/>
          <w:sz w:val="24"/>
        </w:rPr>
        <w:t>Lecomte et al., 2011</w:t>
      </w:r>
      <w:r>
        <w:rPr>
          <w:rFonts w:ascii="Book Antiqua" w:hAnsi="Book Antiqua" w:cs="Times New Roman"/>
          <w:b w:val="0"/>
          <w:bCs w:val="0"/>
          <w:color w:val="auto"/>
          <w:sz w:val="24"/>
        </w:rPr>
        <w:t xml:space="preserve">; </w:t>
      </w:r>
      <w:r>
        <w:rPr>
          <w:rFonts w:ascii="Book Antiqua" w:hAnsi="Book Antiqua" w:cs="Times New Roman"/>
          <w:bCs w:val="0"/>
          <w:color w:val="auto"/>
          <w:sz w:val="24"/>
        </w:rPr>
        <w:t>Rosace et al., 2023</w:t>
      </w:r>
      <w:r>
        <w:rPr>
          <w:rFonts w:ascii="Book Antiqua" w:hAnsi="Book Antiqua" w:cs="Times New Roman"/>
          <w:b w:val="0"/>
          <w:bCs w:val="0"/>
          <w:color w:val="auto"/>
          <w:sz w:val="24"/>
        </w:rPr>
        <w:t xml:space="preserve">). </w:t>
      </w:r>
      <w:r>
        <w:rPr>
          <w:rFonts w:ascii="Book Antiqua" w:hAnsi="Book Antiqua" w:cs="Times New Roman"/>
          <w:color w:val="auto"/>
          <w:sz w:val="24"/>
        </w:rPr>
        <w:t>Mondello et al. (2018)</w:t>
      </w:r>
      <w:r>
        <w:rPr>
          <w:rFonts w:ascii="Book Antiqua" w:hAnsi="Book Antiqua" w:cs="Times New Roman"/>
          <w:b w:val="0"/>
          <w:bCs w:val="0"/>
          <w:color w:val="auto"/>
          <w:sz w:val="24"/>
        </w:rPr>
        <w:t xml:space="preserve"> ističu da je dendrohirurgija  jedna od preventivnih mjera koju vinogradari sprovode u cilju suzbijanja i smanjenja posledica eska oboljenja. </w:t>
      </w:r>
    </w:p>
    <w:p w14:paraId="3E66B80B" w14:textId="77777777" w:rsidR="003801E8" w:rsidRDefault="00E44AAE">
      <w:pPr>
        <w:pStyle w:val="teza1"/>
        <w:spacing w:before="0" w:after="200"/>
        <w:jc w:val="both"/>
        <w:rPr>
          <w:rFonts w:ascii="Book Antiqua" w:hAnsi="Book Antiqua" w:cs="Times New Roman"/>
          <w:b w:val="0"/>
          <w:bCs w:val="0"/>
          <w:color w:val="auto"/>
          <w:sz w:val="24"/>
        </w:rPr>
      </w:pPr>
      <w:r>
        <w:rPr>
          <w:rFonts w:ascii="Book Antiqua" w:hAnsi="Book Antiqua" w:cs="Times New Roman"/>
          <w:b w:val="0"/>
          <w:bCs w:val="0"/>
          <w:color w:val="auto"/>
          <w:sz w:val="24"/>
        </w:rPr>
        <w:t xml:space="preserve">Sadni materijal predstavlja značajan izvor inokuluma, pa zbog toga sa mjerama kontrole bolesti treba početi još u rasadnicima. Posebnu pažnju treba posvetiti patogenim mikroorganizmima </w:t>
      </w:r>
      <w:r>
        <w:rPr>
          <w:rFonts w:ascii="Book Antiqua" w:hAnsi="Book Antiqua" w:cs="Times New Roman"/>
          <w:b w:val="0"/>
          <w:bCs w:val="0"/>
          <w:i/>
          <w:iCs/>
          <w:color w:val="auto"/>
          <w:sz w:val="24"/>
        </w:rPr>
        <w:t>P. chlamydospora</w:t>
      </w:r>
      <w:r>
        <w:rPr>
          <w:rFonts w:ascii="Book Antiqua" w:hAnsi="Book Antiqua" w:cs="Times New Roman"/>
          <w:b w:val="0"/>
          <w:bCs w:val="0"/>
          <w:color w:val="auto"/>
          <w:sz w:val="24"/>
        </w:rPr>
        <w:t xml:space="preserve"> i gljivama iz roda </w:t>
      </w:r>
      <w:r>
        <w:rPr>
          <w:rFonts w:ascii="Book Antiqua" w:hAnsi="Book Antiqua" w:cs="Times New Roman"/>
          <w:b w:val="0"/>
          <w:bCs w:val="0"/>
          <w:i/>
          <w:iCs/>
          <w:color w:val="auto"/>
          <w:sz w:val="24"/>
        </w:rPr>
        <w:t>Phaeoacremonium</w:t>
      </w:r>
      <w:r>
        <w:rPr>
          <w:rFonts w:ascii="Book Antiqua" w:hAnsi="Book Antiqua" w:cs="Times New Roman"/>
          <w:b w:val="0"/>
          <w:bCs w:val="0"/>
          <w:color w:val="auto"/>
          <w:sz w:val="24"/>
        </w:rPr>
        <w:t xml:space="preserve"> koje mogu biti prisutne kako u matičnim biljkama ili zemljištu tako i na opremi za kalemljenje. Za razliku od navedenih patogena, </w:t>
      </w:r>
      <w:r>
        <w:rPr>
          <w:rFonts w:ascii="Book Antiqua" w:hAnsi="Book Antiqua" w:cs="Times New Roman"/>
          <w:b w:val="0"/>
          <w:bCs w:val="0"/>
          <w:i/>
          <w:iCs/>
          <w:color w:val="auto"/>
          <w:sz w:val="24"/>
        </w:rPr>
        <w:t>F. mediterranea</w:t>
      </w:r>
      <w:r>
        <w:rPr>
          <w:rFonts w:ascii="Book Antiqua" w:hAnsi="Book Antiqua" w:cs="Times New Roman"/>
          <w:b w:val="0"/>
          <w:bCs w:val="0"/>
          <w:color w:val="auto"/>
          <w:sz w:val="24"/>
        </w:rPr>
        <w:t xml:space="preserve"> kao jedan od prouzrokovača eska oboljenja, prema </w:t>
      </w:r>
      <w:r>
        <w:rPr>
          <w:rFonts w:ascii="Book Antiqua" w:hAnsi="Book Antiqua" w:cs="Times New Roman"/>
          <w:color w:val="auto"/>
          <w:sz w:val="24"/>
        </w:rPr>
        <w:t>Zanzotto et al. (2007)</w:t>
      </w:r>
      <w:r>
        <w:rPr>
          <w:rFonts w:ascii="Book Antiqua" w:hAnsi="Book Antiqua" w:cs="Times New Roman"/>
          <w:b w:val="0"/>
          <w:bCs w:val="0"/>
          <w:color w:val="auto"/>
          <w:sz w:val="24"/>
        </w:rPr>
        <w:t xml:space="preserve"> nikada nije pronađena u rasadnicima. Dosadašnja istraživanja pokazuju da nijedna sorta vinove loze nije u potpunosti otporna na patogene prouzrokovače eska oboljenja, ali da postoji različit stepen osjetljivosti sorti. Upotreba bioloških preparata umjesto sintetičkih sredstava za zaštitu bilja, snažno je podstaknuta Direktivom 2009/128/EC, koja ima za cilj da smanji upotrebu pesticida (</w:t>
      </w:r>
      <w:r>
        <w:rPr>
          <w:rFonts w:ascii="Book Antiqua" w:hAnsi="Book Antiqua" w:cs="Times New Roman"/>
          <w:color w:val="auto"/>
          <w:sz w:val="24"/>
        </w:rPr>
        <w:t>de la Rosa et al., 2019</w:t>
      </w:r>
      <w:r>
        <w:rPr>
          <w:rFonts w:ascii="Book Antiqua" w:hAnsi="Book Antiqua" w:cs="Times New Roman"/>
          <w:b w:val="0"/>
          <w:bCs w:val="0"/>
          <w:color w:val="auto"/>
          <w:sz w:val="24"/>
        </w:rPr>
        <w:t xml:space="preserve">). Zbog toga su danas, naučna istraživanja usmjerena na proučavanje efikasnosti različitih agenasa biološkog porijekla prema patogenima prouzrokovačima eska oboljenja. Kao biološki agensi mogu se koristiti ekstrakti biljnog ili životinjskog porijekla, ali najveći potencijal imaju endofitne gljive i bakterije. Posebno se ističu mikroorganizmi koji čine sastavni dio mikobioma vinove loze, kao što su gljive iz roda </w:t>
      </w:r>
      <w:r>
        <w:rPr>
          <w:rFonts w:ascii="Book Antiqua" w:hAnsi="Book Antiqua" w:cs="Times New Roman"/>
          <w:b w:val="0"/>
          <w:bCs w:val="0"/>
          <w:i/>
          <w:iCs/>
          <w:color w:val="auto"/>
          <w:sz w:val="24"/>
        </w:rPr>
        <w:t>Trichoderma</w:t>
      </w:r>
      <w:r>
        <w:rPr>
          <w:rFonts w:ascii="Book Antiqua" w:hAnsi="Book Antiqua" w:cs="Times New Roman"/>
          <w:b w:val="0"/>
          <w:bCs w:val="0"/>
          <w:color w:val="auto"/>
          <w:sz w:val="24"/>
        </w:rPr>
        <w:t xml:space="preserve"> i  bakterije iz roda </w:t>
      </w:r>
      <w:r>
        <w:rPr>
          <w:rFonts w:ascii="Book Antiqua" w:hAnsi="Book Antiqua" w:cs="Times New Roman"/>
          <w:b w:val="0"/>
          <w:bCs w:val="0"/>
          <w:i/>
          <w:iCs/>
          <w:color w:val="auto"/>
          <w:sz w:val="24"/>
        </w:rPr>
        <w:t>Bacillus</w:t>
      </w:r>
      <w:r>
        <w:rPr>
          <w:rFonts w:ascii="Book Antiqua" w:hAnsi="Book Antiqua" w:cs="Times New Roman"/>
          <w:b w:val="0"/>
          <w:bCs w:val="0"/>
          <w:color w:val="auto"/>
          <w:sz w:val="24"/>
        </w:rPr>
        <w:t>.</w:t>
      </w:r>
    </w:p>
    <w:p w14:paraId="05AF4329" w14:textId="77777777" w:rsidR="003801E8" w:rsidRDefault="00E44AAE">
      <w:pPr>
        <w:pStyle w:val="teza1"/>
        <w:spacing w:before="0" w:after="200"/>
        <w:jc w:val="both"/>
        <w:rPr>
          <w:rFonts w:ascii="Book Antiqua" w:hAnsi="Book Antiqua" w:cs="Times New Roman"/>
          <w:b w:val="0"/>
          <w:bCs w:val="0"/>
          <w:color w:val="auto"/>
          <w:sz w:val="24"/>
        </w:rPr>
      </w:pPr>
      <w:r>
        <w:rPr>
          <w:rFonts w:ascii="Book Antiqua" w:hAnsi="Book Antiqua" w:cs="Times New Roman"/>
          <w:b w:val="0"/>
          <w:bCs w:val="0"/>
          <w:color w:val="auto"/>
          <w:sz w:val="24"/>
        </w:rPr>
        <w:t xml:space="preserve">Ocjena zastupljenosti eska oboljenja u Crnoj Gori u različitim vinogradarskim regionima, utvrđivanje stepena osjetljivosti sorti, identifikacija patogena prouzrokovača i proučavanje mogućnosti njihovog suzbijanja primjenom bioloških agenasa je od velikog značaja za crnogorsko vinogradarstvo. </w:t>
      </w:r>
    </w:p>
    <w:p w14:paraId="2FB0221C" w14:textId="77777777" w:rsidR="00F83C53" w:rsidRDefault="00F83C53">
      <w:pPr>
        <w:pStyle w:val="teza1"/>
        <w:spacing w:before="0" w:after="200"/>
        <w:jc w:val="both"/>
        <w:rPr>
          <w:rFonts w:ascii="Book Antiqua" w:hAnsi="Book Antiqua" w:cs="Times New Roman"/>
          <w:b w:val="0"/>
          <w:bCs w:val="0"/>
          <w:color w:val="auto"/>
          <w:sz w:val="24"/>
        </w:rPr>
      </w:pPr>
    </w:p>
    <w:p w14:paraId="13195814" w14:textId="77777777" w:rsidR="003801E8" w:rsidRDefault="00E44AAE">
      <w:pPr>
        <w:pStyle w:val="teza1"/>
        <w:spacing w:before="0" w:after="200"/>
        <w:jc w:val="left"/>
        <w:rPr>
          <w:rFonts w:ascii="Book Antiqua" w:hAnsi="Book Antiqua" w:cs="Times New Roman"/>
          <w:color w:val="auto"/>
          <w:sz w:val="24"/>
        </w:rPr>
      </w:pPr>
      <w:r>
        <w:rPr>
          <w:rFonts w:ascii="Book Antiqua" w:hAnsi="Book Antiqua" w:cs="Times New Roman"/>
          <w:color w:val="auto"/>
          <w:sz w:val="24"/>
        </w:rPr>
        <w:lastRenderedPageBreak/>
        <w:t>II CILJ I HIPOTEZA</w:t>
      </w:r>
    </w:p>
    <w:p w14:paraId="4E54AAD1" w14:textId="77777777" w:rsidR="003801E8" w:rsidRDefault="00E44AAE">
      <w:pPr>
        <w:pStyle w:val="teza1"/>
        <w:jc w:val="both"/>
        <w:rPr>
          <w:rFonts w:ascii="Book Antiqua" w:hAnsi="Book Antiqua" w:cs="Times New Roman"/>
          <w:b w:val="0"/>
          <w:bCs w:val="0"/>
          <w:color w:val="auto"/>
          <w:sz w:val="24"/>
        </w:rPr>
      </w:pPr>
      <w:r>
        <w:rPr>
          <w:rFonts w:ascii="Book Antiqua" w:hAnsi="Book Antiqua" w:cs="Times New Roman"/>
          <w:b w:val="0"/>
          <w:bCs w:val="0"/>
          <w:color w:val="auto"/>
          <w:sz w:val="24"/>
        </w:rPr>
        <w:t>Detaljno proučavanje eska oboljenja u Crnoj Gori obavljeno je sa ciljem da se:</w:t>
      </w:r>
    </w:p>
    <w:p w14:paraId="2129EC91"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color w:val="auto"/>
          <w:sz w:val="24"/>
        </w:rPr>
        <w:t>obilaskom vinograda i anketom vinogradara, utvrdi nivo zastupljenosti bolesti u crnogorskim vinogradarskim regionima, osjetljivost sortimenta i nivo znanja vinogradara o prisustvu i značaju eska oboljenja;</w:t>
      </w:r>
    </w:p>
    <w:p w14:paraId="60654BF1"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color w:val="auto"/>
          <w:sz w:val="24"/>
        </w:rPr>
        <w:t>uzorkovanjem i  laboratorijskom analizom uzoraka sa simptomatičnih biljaka vinove loze različite starosti i sortimenta izoluju patogeni, prouzrokovači eska oboljenja;</w:t>
      </w:r>
    </w:p>
    <w:p w14:paraId="291F5184"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color w:val="auto"/>
          <w:sz w:val="24"/>
        </w:rPr>
        <w:t>uzorkovanjem i laboratorijskom analizom uzoraka sa biljaka vinove loze koje ne pokazuju simptome bolesti, utvrdi potencijalno  latentno prisustvo patogena prouzrokovača bolesti;</w:t>
      </w:r>
    </w:p>
    <w:p w14:paraId="3186FD2F"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color w:val="auto"/>
          <w:sz w:val="24"/>
        </w:rPr>
        <w:t xml:space="preserve">uzorkovanjem i laboratorijskom obradom uzoraka sadnog materijala vinove loze porijeklom iz uvoza i crnogorske proizvodnje, utvrdi potencijalno prisustvo patogena prouzrokovača bolesti; </w:t>
      </w:r>
    </w:p>
    <w:p w14:paraId="22ABD1D0"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color w:val="auto"/>
          <w:sz w:val="24"/>
        </w:rPr>
        <w:t>molekularnom dijagnostikom i sekvencioniranjem različitih gena, identifikuju patogeni prouzrokovači bolesti, izolovani iz sakupljenih uzoraka drveta i sadnog materijala vinove loze;</w:t>
      </w:r>
    </w:p>
    <w:p w14:paraId="349CD4F5"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color w:val="auto"/>
          <w:sz w:val="24"/>
        </w:rPr>
        <w:t>analizira uticaj klimatskih faktora na intenzitet pojave folijarnih simptoma eska oboljenja;</w:t>
      </w:r>
    </w:p>
    <w:p w14:paraId="7FA27DE9"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color w:val="auto"/>
          <w:sz w:val="24"/>
        </w:rPr>
        <w:t xml:space="preserve">analizom prinosa utvrdi uticaj eska oboljenja na količinu prinosa; </w:t>
      </w:r>
    </w:p>
    <w:p w14:paraId="17C55BB8"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color w:val="auto"/>
          <w:sz w:val="24"/>
        </w:rPr>
        <w:t xml:space="preserve">utvrdi antagonistički potencijal gljive </w:t>
      </w:r>
      <w:r>
        <w:rPr>
          <w:rFonts w:ascii="Book Antiqua" w:hAnsi="Book Antiqua" w:cs="Times New Roman"/>
          <w:b w:val="0"/>
          <w:bCs w:val="0"/>
          <w:i/>
          <w:iCs/>
          <w:color w:val="auto"/>
          <w:sz w:val="24"/>
        </w:rPr>
        <w:t>Trichoderma atroviride</w:t>
      </w:r>
      <w:r>
        <w:rPr>
          <w:rFonts w:ascii="Book Antiqua" w:hAnsi="Book Antiqua" w:cs="Times New Roman"/>
          <w:b w:val="0"/>
          <w:bCs w:val="0"/>
          <w:color w:val="auto"/>
          <w:sz w:val="24"/>
        </w:rPr>
        <w:t xml:space="preserve"> SC1, (Vintec®) prema patogenima prouzrokovačima eska oboljenja izolovanim u Crnoj Gori.</w:t>
      </w:r>
    </w:p>
    <w:p w14:paraId="095C4FEE" w14:textId="77777777" w:rsidR="003801E8" w:rsidRDefault="00E44AAE">
      <w:pPr>
        <w:pStyle w:val="teza1"/>
        <w:jc w:val="both"/>
        <w:rPr>
          <w:rFonts w:ascii="Book Antiqua" w:hAnsi="Book Antiqua" w:cs="Times New Roman"/>
          <w:b w:val="0"/>
          <w:bCs w:val="0"/>
          <w:color w:val="auto"/>
          <w:sz w:val="24"/>
        </w:rPr>
      </w:pPr>
      <w:r>
        <w:rPr>
          <w:rFonts w:ascii="Book Antiqua" w:hAnsi="Book Antiqua" w:cs="Times New Roman"/>
          <w:b w:val="0"/>
          <w:bCs w:val="0"/>
          <w:color w:val="auto"/>
          <w:sz w:val="24"/>
        </w:rPr>
        <w:lastRenderedPageBreak/>
        <w:t>Zbog ograničenog broja dokaza, polazne hipoteze ovog istraživanja su:</w:t>
      </w:r>
    </w:p>
    <w:p w14:paraId="357305C6"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i/>
          <w:iCs/>
          <w:color w:val="auto"/>
          <w:sz w:val="24"/>
        </w:rPr>
        <w:t>hipoteza 01</w:t>
      </w:r>
      <w:r>
        <w:rPr>
          <w:rFonts w:ascii="Book Antiqua" w:hAnsi="Book Antiqua" w:cs="Times New Roman"/>
          <w:b w:val="0"/>
          <w:bCs w:val="0"/>
          <w:color w:val="auto"/>
          <w:sz w:val="24"/>
        </w:rPr>
        <w:t>: da će se u svim crnogorskim vinogradarskim regionima utvrditi prisustvo simptoma eska oboljenja, posebno u vinogradima starijim od 5 godina;</w:t>
      </w:r>
    </w:p>
    <w:p w14:paraId="18B14C22"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i/>
          <w:iCs/>
          <w:color w:val="auto"/>
          <w:sz w:val="24"/>
        </w:rPr>
        <w:t>hipoteza 02</w:t>
      </w:r>
      <w:r>
        <w:rPr>
          <w:rFonts w:ascii="Book Antiqua" w:hAnsi="Book Antiqua" w:cs="Times New Roman"/>
          <w:b w:val="0"/>
          <w:bCs w:val="0"/>
          <w:color w:val="auto"/>
          <w:sz w:val="24"/>
        </w:rPr>
        <w:t>: da će se molekularnom dijagnostikom i sekvencioniranjem različitih gena izolata dobijenih iz simptomatičnih biljaka, identifikovati neki od patogena prouzrokovača eska oboljenja;</w:t>
      </w:r>
    </w:p>
    <w:p w14:paraId="64C2679A"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i/>
          <w:iCs/>
          <w:color w:val="auto"/>
          <w:sz w:val="24"/>
        </w:rPr>
        <w:t>hipoteza 03:</w:t>
      </w:r>
      <w:r>
        <w:rPr>
          <w:rFonts w:ascii="Book Antiqua" w:hAnsi="Book Antiqua" w:cs="Times New Roman"/>
          <w:b w:val="0"/>
          <w:bCs w:val="0"/>
          <w:color w:val="auto"/>
          <w:sz w:val="24"/>
        </w:rPr>
        <w:t xml:space="preserve"> da će se molekularnom dijagnostikom i sekvencioniranjem različitih gena dobijenih izolata, identifikovati neki od patogena prouzrokovača eska oboljenja iz biljaka koje ne pokazuju simptome bolesti (latentno prisustvo);</w:t>
      </w:r>
    </w:p>
    <w:p w14:paraId="110D6214"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i/>
          <w:iCs/>
          <w:color w:val="auto"/>
          <w:sz w:val="24"/>
        </w:rPr>
        <w:t>hipoteza 04</w:t>
      </w:r>
      <w:r>
        <w:rPr>
          <w:rFonts w:ascii="Book Antiqua" w:hAnsi="Book Antiqua" w:cs="Times New Roman"/>
          <w:b w:val="0"/>
          <w:bCs w:val="0"/>
          <w:color w:val="auto"/>
          <w:sz w:val="24"/>
        </w:rPr>
        <w:t>: da će se molekularnom dijagnostikom i sekvencioniranjem različitih gena dobijenih izolata, identifikovati neki od patogena prouzrokovača eska oboljenja u sadnom materijalu;</w:t>
      </w:r>
    </w:p>
    <w:p w14:paraId="497858A8"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i/>
          <w:iCs/>
          <w:color w:val="auto"/>
          <w:sz w:val="24"/>
        </w:rPr>
        <w:t xml:space="preserve">hipoteza 05: </w:t>
      </w:r>
      <w:r>
        <w:rPr>
          <w:rFonts w:ascii="Book Antiqua" w:hAnsi="Book Antiqua" w:cs="Times New Roman"/>
          <w:b w:val="0"/>
          <w:bCs w:val="0"/>
          <w:color w:val="auto"/>
          <w:sz w:val="24"/>
        </w:rPr>
        <w:t>da će se tokom istraživanja izolovati i identifikovati patogeni prouzrokovači nekih drugih bolesti stabla vinove loze u Crnoj Gori;</w:t>
      </w:r>
    </w:p>
    <w:p w14:paraId="28EDF222" w14:textId="77777777" w:rsidR="003801E8" w:rsidRDefault="00E44AAE">
      <w:pPr>
        <w:pStyle w:val="teza1"/>
        <w:numPr>
          <w:ilvl w:val="0"/>
          <w:numId w:val="1"/>
        </w:numPr>
        <w:jc w:val="both"/>
        <w:rPr>
          <w:rFonts w:ascii="Book Antiqua" w:hAnsi="Book Antiqua" w:cs="Times New Roman"/>
          <w:b w:val="0"/>
          <w:bCs w:val="0"/>
          <w:color w:val="auto"/>
          <w:sz w:val="24"/>
        </w:rPr>
      </w:pPr>
      <w:r>
        <w:rPr>
          <w:rFonts w:ascii="Book Antiqua" w:hAnsi="Book Antiqua" w:cs="Times New Roman"/>
          <w:b w:val="0"/>
          <w:bCs w:val="0"/>
          <w:i/>
          <w:iCs/>
          <w:color w:val="auto"/>
          <w:sz w:val="24"/>
        </w:rPr>
        <w:t>hipoteza 06:</w:t>
      </w:r>
      <w:r>
        <w:rPr>
          <w:rFonts w:ascii="Book Antiqua" w:hAnsi="Book Antiqua" w:cs="Times New Roman"/>
          <w:b w:val="0"/>
          <w:bCs w:val="0"/>
          <w:color w:val="auto"/>
          <w:sz w:val="24"/>
        </w:rPr>
        <w:t xml:space="preserve"> da biokontrolni agensi imaju ograničenu efikasnost prema patogenima prouzrokovačima eska oboljenja u Crnoj Gori.</w:t>
      </w:r>
    </w:p>
    <w:p w14:paraId="4B6ED8AB" w14:textId="77777777" w:rsidR="003801E8" w:rsidRDefault="003801E8">
      <w:pPr>
        <w:pStyle w:val="teza1"/>
        <w:jc w:val="both"/>
        <w:rPr>
          <w:rFonts w:ascii="Book Antiqua" w:hAnsi="Book Antiqua" w:cs="Times New Roman"/>
          <w:b w:val="0"/>
          <w:bCs w:val="0"/>
          <w:color w:val="auto"/>
          <w:sz w:val="24"/>
        </w:rPr>
      </w:pPr>
    </w:p>
    <w:p w14:paraId="767AFB8C" w14:textId="77777777" w:rsidR="00F83C53" w:rsidRDefault="00F83C53">
      <w:pPr>
        <w:pStyle w:val="teza1"/>
        <w:jc w:val="both"/>
        <w:rPr>
          <w:rFonts w:ascii="Book Antiqua" w:hAnsi="Book Antiqua" w:cs="Times New Roman"/>
          <w:b w:val="0"/>
          <w:bCs w:val="0"/>
          <w:color w:val="auto"/>
          <w:sz w:val="24"/>
        </w:rPr>
      </w:pPr>
    </w:p>
    <w:p w14:paraId="67112B7C" w14:textId="77777777" w:rsidR="00F83C53" w:rsidRDefault="00F83C53">
      <w:pPr>
        <w:pStyle w:val="teza1"/>
        <w:jc w:val="both"/>
        <w:rPr>
          <w:rFonts w:ascii="Book Antiqua" w:hAnsi="Book Antiqua" w:cs="Times New Roman"/>
          <w:b w:val="0"/>
          <w:bCs w:val="0"/>
          <w:color w:val="auto"/>
          <w:sz w:val="24"/>
        </w:rPr>
      </w:pPr>
    </w:p>
    <w:p w14:paraId="18BE172E" w14:textId="77777777" w:rsidR="003801E8" w:rsidRDefault="003801E8">
      <w:pPr>
        <w:pStyle w:val="teza1"/>
        <w:jc w:val="both"/>
        <w:rPr>
          <w:rFonts w:ascii="Book Antiqua" w:hAnsi="Book Antiqua" w:cs="Times New Roman"/>
          <w:b w:val="0"/>
          <w:bCs w:val="0"/>
          <w:color w:val="auto"/>
          <w:sz w:val="24"/>
        </w:rPr>
      </w:pPr>
    </w:p>
    <w:p w14:paraId="4F8BFF1A" w14:textId="77777777" w:rsidR="003801E8" w:rsidRDefault="00E44AAE">
      <w:pPr>
        <w:pStyle w:val="teza1"/>
        <w:jc w:val="both"/>
        <w:rPr>
          <w:rFonts w:ascii="Book Antiqua" w:hAnsi="Book Antiqua" w:cs="Times New Roman"/>
          <w:b w:val="0"/>
          <w:bCs w:val="0"/>
          <w:color w:val="auto"/>
          <w:sz w:val="24"/>
        </w:rPr>
      </w:pPr>
      <w:r>
        <w:rPr>
          <w:rFonts w:ascii="Book Antiqua" w:hAnsi="Book Antiqua" w:cs="Times New Roman"/>
          <w:color w:val="auto"/>
          <w:sz w:val="24"/>
        </w:rPr>
        <w:lastRenderedPageBreak/>
        <w:t>III PREGLED LITERATURE</w:t>
      </w:r>
    </w:p>
    <w:p w14:paraId="48C6558C" w14:textId="77777777" w:rsidR="003801E8" w:rsidRDefault="00E44AAE">
      <w:pPr>
        <w:pStyle w:val="teza1"/>
        <w:jc w:val="both"/>
        <w:rPr>
          <w:rFonts w:ascii="Book Antiqua" w:hAnsi="Book Antiqua" w:cs="Times New Roman"/>
          <w:b w:val="0"/>
          <w:bCs w:val="0"/>
          <w:color w:val="auto"/>
          <w:sz w:val="24"/>
        </w:rPr>
      </w:pPr>
      <w:r>
        <w:rPr>
          <w:rFonts w:ascii="Book Antiqua" w:hAnsi="Book Antiqua" w:cs="Times New Roman"/>
          <w:color w:val="auto"/>
          <w:sz w:val="24"/>
        </w:rPr>
        <w:t>3.1 Porijeklo vinove loze</w:t>
      </w:r>
    </w:p>
    <w:p w14:paraId="7BCCB22C" w14:textId="77777777" w:rsidR="003801E8" w:rsidRDefault="00E44AAE">
      <w:pPr>
        <w:pStyle w:val="teza1"/>
        <w:spacing w:before="0" w:after="200"/>
        <w:jc w:val="both"/>
        <w:rPr>
          <w:rFonts w:ascii="Book Antiqua" w:hAnsi="Book Antiqua" w:cs="Times New Roman"/>
          <w:b w:val="0"/>
          <w:bCs w:val="0"/>
          <w:color w:val="auto"/>
          <w:sz w:val="24"/>
        </w:rPr>
      </w:pPr>
      <w:r>
        <w:rPr>
          <w:rFonts w:ascii="Book Antiqua" w:hAnsi="Book Antiqua" w:cs="Times New Roman"/>
          <w:b w:val="0"/>
          <w:bCs w:val="0"/>
          <w:color w:val="auto"/>
          <w:sz w:val="24"/>
        </w:rPr>
        <w:t xml:space="preserve">Veliki broj fosilnih ostataka povezanih sa vinovom lozom sačuvan je iz perioda paleocena i eocena, a pojedini ostaci iz mezozoika i pripadaju izumrlom rodu </w:t>
      </w:r>
      <w:r>
        <w:rPr>
          <w:rFonts w:ascii="Book Antiqua" w:hAnsi="Book Antiqua" w:cs="Times New Roman"/>
          <w:b w:val="0"/>
          <w:bCs w:val="0"/>
          <w:i/>
          <w:iCs/>
          <w:color w:val="auto"/>
          <w:sz w:val="24"/>
        </w:rPr>
        <w:t>Cissites</w:t>
      </w:r>
      <w:r>
        <w:rPr>
          <w:rFonts w:ascii="Book Antiqua" w:hAnsi="Book Antiqua" w:cs="Times New Roman"/>
          <w:b w:val="0"/>
          <w:bCs w:val="0"/>
          <w:color w:val="auto"/>
          <w:sz w:val="24"/>
        </w:rPr>
        <w:t xml:space="preserve">. Biljne vrste familije </w:t>
      </w:r>
      <w:r>
        <w:rPr>
          <w:rFonts w:ascii="Book Antiqua" w:hAnsi="Book Antiqua" w:cs="Times New Roman"/>
          <w:b w:val="0"/>
          <w:bCs w:val="0"/>
          <w:i/>
          <w:iCs/>
          <w:color w:val="auto"/>
          <w:sz w:val="24"/>
        </w:rPr>
        <w:t>Vitaceae</w:t>
      </w:r>
      <w:r>
        <w:rPr>
          <w:rFonts w:ascii="Book Antiqua" w:hAnsi="Book Antiqua" w:cs="Times New Roman"/>
          <w:b w:val="0"/>
          <w:bCs w:val="0"/>
          <w:color w:val="auto"/>
          <w:sz w:val="24"/>
        </w:rPr>
        <w:t xml:space="preserve"> su višegodišnje žbunaste puzavice, a u okviru ove porodice, identifikovano je 19 rodova, među kojima je najznačajniji rod </w:t>
      </w:r>
      <w:r>
        <w:rPr>
          <w:rFonts w:ascii="Book Antiqua" w:hAnsi="Book Antiqua" w:cs="Times New Roman"/>
          <w:b w:val="0"/>
          <w:bCs w:val="0"/>
          <w:i/>
          <w:iCs/>
          <w:color w:val="auto"/>
          <w:sz w:val="24"/>
        </w:rPr>
        <w:t>Vitis</w:t>
      </w:r>
      <w:r>
        <w:rPr>
          <w:rFonts w:ascii="Book Antiqua" w:hAnsi="Book Antiqua" w:cs="Times New Roman"/>
          <w:b w:val="0"/>
          <w:bCs w:val="0"/>
          <w:color w:val="auto"/>
          <w:sz w:val="24"/>
        </w:rPr>
        <w:t xml:space="preserve">. Nejasno je kada je došlo do evolucije roda </w:t>
      </w:r>
      <w:r>
        <w:rPr>
          <w:rFonts w:ascii="Book Antiqua" w:hAnsi="Book Antiqua" w:cs="Times New Roman"/>
          <w:b w:val="0"/>
          <w:bCs w:val="0"/>
          <w:i/>
          <w:iCs/>
          <w:color w:val="auto"/>
          <w:sz w:val="24"/>
        </w:rPr>
        <w:t>Vitis</w:t>
      </w:r>
      <w:r>
        <w:rPr>
          <w:rFonts w:ascii="Book Antiqua" w:hAnsi="Book Antiqua" w:cs="Times New Roman"/>
          <w:b w:val="0"/>
          <w:bCs w:val="0"/>
          <w:color w:val="auto"/>
          <w:sz w:val="24"/>
        </w:rPr>
        <w:t xml:space="preserve">, ali najstariji fosilni ostatak ovog roda je vrsta </w:t>
      </w:r>
      <w:r>
        <w:rPr>
          <w:rFonts w:ascii="Book Antiqua" w:hAnsi="Book Antiqua" w:cs="Times New Roman"/>
          <w:b w:val="0"/>
          <w:bCs w:val="0"/>
          <w:i/>
          <w:iCs/>
          <w:color w:val="auto"/>
          <w:sz w:val="24"/>
        </w:rPr>
        <w:t>Vitis teutonica</w:t>
      </w:r>
      <w:r>
        <w:rPr>
          <w:rFonts w:ascii="Book Antiqua" w:hAnsi="Book Antiqua" w:cs="Times New Roman"/>
          <w:b w:val="0"/>
          <w:bCs w:val="0"/>
          <w:color w:val="auto"/>
          <w:sz w:val="24"/>
        </w:rPr>
        <w:t xml:space="preserve"> (</w:t>
      </w:r>
      <w:r>
        <w:rPr>
          <w:rFonts w:ascii="Book Antiqua" w:hAnsi="Book Antiqua" w:cs="Times New Roman"/>
          <w:color w:val="auto"/>
          <w:sz w:val="24"/>
        </w:rPr>
        <w:t>Savić, 2010</w:t>
      </w:r>
      <w:r>
        <w:rPr>
          <w:rFonts w:ascii="Book Antiqua" w:hAnsi="Book Antiqua" w:cs="Times New Roman"/>
          <w:b w:val="0"/>
          <w:bCs w:val="0"/>
          <w:color w:val="auto"/>
          <w:sz w:val="24"/>
        </w:rPr>
        <w:t xml:space="preserve">). </w:t>
      </w:r>
    </w:p>
    <w:p w14:paraId="76DC4BC6" w14:textId="77777777" w:rsidR="003801E8" w:rsidRDefault="00E44AAE">
      <w:pPr>
        <w:pStyle w:val="teza1"/>
        <w:spacing w:before="0" w:after="200"/>
        <w:jc w:val="both"/>
        <w:rPr>
          <w:rFonts w:ascii="Book Antiqua" w:hAnsi="Book Antiqua" w:cs="Times New Roman"/>
          <w:b w:val="0"/>
          <w:bCs w:val="0"/>
          <w:color w:val="auto"/>
          <w:sz w:val="24"/>
        </w:rPr>
      </w:pPr>
      <w:r>
        <w:rPr>
          <w:rFonts w:ascii="Book Antiqua" w:hAnsi="Book Antiqua" w:cs="Times New Roman"/>
          <w:b w:val="0"/>
          <w:bCs w:val="0"/>
          <w:color w:val="auto"/>
          <w:sz w:val="24"/>
        </w:rPr>
        <w:t>Jedan od najranijih dokaza o gajenju vinove loze pronađen je u Iranu na lokalitetu Hadži Firuz Tepe oko 7400-7000 godina prije nove ere. Od prvog pripitomljavanja vinove loze krenulo je njeno širenje na susjedne regione, kao što su Egipat i donja Mesopotamija (5500 – 5000 godina prije nove ere), a zatim u region Mediterana prateći glavne civilizacije tog vremena (Asirci, Feničani, Grci, Rimljani, Etrurci, Kartaginjani) (</w:t>
      </w:r>
      <w:r>
        <w:rPr>
          <w:rFonts w:ascii="Book Antiqua" w:hAnsi="Book Antiqua" w:cs="Times New Roman"/>
          <w:color w:val="auto"/>
          <w:sz w:val="24"/>
        </w:rPr>
        <w:t>This et al., 2006</w:t>
      </w:r>
      <w:r>
        <w:rPr>
          <w:rFonts w:ascii="Book Antiqua" w:hAnsi="Book Antiqua" w:cs="Times New Roman"/>
          <w:b w:val="0"/>
          <w:bCs w:val="0"/>
          <w:color w:val="auto"/>
          <w:sz w:val="24"/>
        </w:rPr>
        <w:t>).</w:t>
      </w:r>
    </w:p>
    <w:p w14:paraId="7C53ECA1" w14:textId="77777777" w:rsidR="003801E8" w:rsidRDefault="00E44AAE">
      <w:pPr>
        <w:widowControl w:val="0"/>
        <w:autoSpaceDE w:val="0"/>
        <w:autoSpaceDN w:val="0"/>
        <w:spacing w:line="360" w:lineRule="auto"/>
        <w:ind w:right="147"/>
        <w:jc w:val="both"/>
        <w:outlineLvl w:val="0"/>
        <w:rPr>
          <w:rFonts w:ascii="Book Antiqua" w:eastAsia="Calibri" w:hAnsi="Book Antiqua" w:cs="Times New Roman"/>
          <w:sz w:val="24"/>
          <w:szCs w:val="24"/>
        </w:rPr>
      </w:pPr>
      <w:r>
        <w:rPr>
          <w:rFonts w:ascii="Book Antiqua" w:eastAsia="Calibri" w:hAnsi="Book Antiqua" w:cs="Times New Roman"/>
          <w:sz w:val="24"/>
          <w:szCs w:val="24"/>
        </w:rPr>
        <w:t>Najveći doprinos širenju vinove loze u Evropi dali su Rimljani, jer se pod njihovim uticajem proširila u unutrašnjost i stigla do umjerenih regiona Evrope, a na sjeveru čak i do Njemačke (</w:t>
      </w:r>
      <w:r>
        <w:rPr>
          <w:rFonts w:ascii="Book Antiqua" w:eastAsia="Calibri" w:hAnsi="Book Antiqua" w:cs="Times New Roman"/>
          <w:b/>
          <w:bCs/>
          <w:sz w:val="24"/>
          <w:szCs w:val="24"/>
        </w:rPr>
        <w:t>This et al., 2006</w:t>
      </w:r>
      <w:r>
        <w:rPr>
          <w:rFonts w:ascii="Book Antiqua" w:eastAsia="Calibri" w:hAnsi="Book Antiqua" w:cs="Times New Roman"/>
          <w:sz w:val="24"/>
          <w:szCs w:val="24"/>
        </w:rPr>
        <w:t>). Padom rimske imperije vinogradarstvo je nazadovalo, ali širenjem hrišćanstva i sakralne uloge vina u obredima, došlo je do otvaranja novih puteva širenja vina u Evropi (</w:t>
      </w:r>
      <w:r>
        <w:rPr>
          <w:rFonts w:ascii="Book Antiqua" w:eastAsia="Calibri" w:hAnsi="Book Antiqua" w:cs="Times New Roman"/>
          <w:b/>
          <w:bCs/>
          <w:sz w:val="24"/>
          <w:szCs w:val="24"/>
        </w:rPr>
        <w:t>Jančić, 2022</w:t>
      </w:r>
      <w:r>
        <w:rPr>
          <w:rFonts w:ascii="Book Antiqua" w:eastAsia="Calibri" w:hAnsi="Book Antiqua" w:cs="Times New Roman"/>
          <w:sz w:val="24"/>
          <w:szCs w:val="24"/>
        </w:rPr>
        <w:t xml:space="preserve">).  </w:t>
      </w:r>
    </w:p>
    <w:p w14:paraId="3AA9C683" w14:textId="77777777" w:rsidR="003801E8" w:rsidRDefault="00E44AAE">
      <w:pPr>
        <w:widowControl w:val="0"/>
        <w:autoSpaceDE w:val="0"/>
        <w:autoSpaceDN w:val="0"/>
        <w:spacing w:line="360" w:lineRule="auto"/>
        <w:ind w:right="147"/>
        <w:jc w:val="both"/>
        <w:outlineLvl w:val="0"/>
        <w:rPr>
          <w:rFonts w:ascii="Book Antiqua" w:eastAsia="Calibri" w:hAnsi="Book Antiqua" w:cs="Times New Roman"/>
          <w:sz w:val="24"/>
          <w:szCs w:val="24"/>
          <w:lang w:val="sr-Latn-RS"/>
        </w:rPr>
      </w:pPr>
      <w:r>
        <w:rPr>
          <w:rFonts w:ascii="Book Antiqua" w:eastAsia="Calibri" w:hAnsi="Book Antiqua" w:cs="Times New Roman"/>
          <w:sz w:val="24"/>
          <w:szCs w:val="24"/>
          <w:lang w:val="sr-Latn-RS"/>
        </w:rPr>
        <w:t>Najranije poznati dokazi o proizvodnji vina na Balkanu pronađeni su u sjevernoj Grčkoj, a datiraju oko 4300 godina prije nove ere. Vinogradarstvo na teritoriji današnje Crne Gore bilo je intenzivno za vrijeme rimske imperije, na šta ukazuju ostaci pribora koji se koristio za transport i konzumaciju vina. U spisima gradova Kotor i Tivat stoji da je vinogradarstvo na početku XIV vijeka bilo veoma razvijeno. Dolaskom Turaka vinogradarstvo je stagniralo, ali je značajno obnovljeno u periodu između dva svjetska rata (</w:t>
      </w:r>
      <w:r>
        <w:rPr>
          <w:rFonts w:ascii="Book Antiqua" w:eastAsia="Calibri" w:hAnsi="Book Antiqua" w:cs="Times New Roman"/>
          <w:b/>
          <w:sz w:val="24"/>
          <w:szCs w:val="24"/>
          <w:lang w:val="sr-Latn-RS"/>
        </w:rPr>
        <w:t xml:space="preserve">Jančić, 2022). </w:t>
      </w:r>
      <w:r>
        <w:rPr>
          <w:rFonts w:ascii="Book Antiqua" w:eastAsia="Calibri" w:hAnsi="Book Antiqua" w:cs="Times New Roman"/>
          <w:sz w:val="24"/>
          <w:szCs w:val="24"/>
          <w:lang w:val="sr-Latn-RS"/>
        </w:rPr>
        <w:lastRenderedPageBreak/>
        <w:t>Unapređenje crnogorskog vinogradarstva nakon drugog svjetskog rata počelo je osnivanjem oglednog imanja u Lješkopolju kod Titograda (današnja Podgorica) (</w:t>
      </w:r>
      <w:r>
        <w:rPr>
          <w:rFonts w:ascii="Book Antiqua" w:eastAsia="Calibri" w:hAnsi="Book Antiqua" w:cs="Times New Roman"/>
          <w:b/>
          <w:sz w:val="24"/>
          <w:szCs w:val="24"/>
          <w:lang w:val="sr-Latn-RS"/>
        </w:rPr>
        <w:t>Ulićević, 1966</w:t>
      </w:r>
      <w:r>
        <w:rPr>
          <w:rFonts w:ascii="Book Antiqua" w:eastAsia="Calibri" w:hAnsi="Book Antiqua" w:cs="Times New Roman"/>
          <w:sz w:val="24"/>
          <w:szCs w:val="24"/>
          <w:lang w:val="sr-Latn-RS"/>
        </w:rPr>
        <w:t>). Najveća prekretnica u razvoju crnogorskog vinogradarstva je bila realizacija projekta Ćemovsko polje, tokom kog je zasađeno 1500 ha vinove loze i izgrađen moderan vinski podrum (</w:t>
      </w:r>
      <w:r>
        <w:rPr>
          <w:rFonts w:ascii="Book Antiqua" w:eastAsia="Calibri" w:hAnsi="Book Antiqua" w:cs="Times New Roman"/>
          <w:b/>
          <w:sz w:val="24"/>
          <w:szCs w:val="24"/>
          <w:lang w:val="sr-Latn-RS"/>
        </w:rPr>
        <w:t>Maraš i sar, 2019</w:t>
      </w:r>
      <w:r>
        <w:rPr>
          <w:rFonts w:ascii="Book Antiqua" w:eastAsia="Calibri" w:hAnsi="Book Antiqua" w:cs="Times New Roman"/>
          <w:sz w:val="24"/>
          <w:szCs w:val="24"/>
          <w:lang w:val="sr-Latn-RS"/>
        </w:rPr>
        <w:t>).</w:t>
      </w:r>
    </w:p>
    <w:p w14:paraId="1E316A55" w14:textId="77777777" w:rsidR="003801E8" w:rsidRDefault="003801E8">
      <w:pPr>
        <w:widowControl w:val="0"/>
        <w:autoSpaceDE w:val="0"/>
        <w:autoSpaceDN w:val="0"/>
        <w:spacing w:line="360" w:lineRule="auto"/>
        <w:ind w:right="147"/>
        <w:jc w:val="both"/>
        <w:outlineLvl w:val="0"/>
        <w:rPr>
          <w:rFonts w:ascii="Book Antiqua" w:eastAsia="Calibri" w:hAnsi="Book Antiqua" w:cs="Times New Roman"/>
          <w:sz w:val="24"/>
          <w:szCs w:val="24"/>
          <w:lang w:val="sr-Latn-RS"/>
        </w:rPr>
      </w:pPr>
    </w:p>
    <w:p w14:paraId="68C8F114" w14:textId="77777777" w:rsidR="003801E8" w:rsidRDefault="00E44AAE">
      <w:pPr>
        <w:rPr>
          <w:rFonts w:ascii="Book Antiqua" w:hAnsi="Book Antiqua" w:cs="Times New Roman"/>
          <w:b/>
          <w:sz w:val="24"/>
          <w:szCs w:val="24"/>
        </w:rPr>
      </w:pPr>
      <w:r>
        <w:rPr>
          <w:rFonts w:ascii="Book Antiqua" w:hAnsi="Book Antiqua" w:cs="Times New Roman"/>
          <w:b/>
          <w:sz w:val="24"/>
          <w:szCs w:val="24"/>
        </w:rPr>
        <w:t xml:space="preserve">3.2 Sistematika vinove loze </w:t>
      </w:r>
    </w:p>
    <w:p w14:paraId="7FD580ED" w14:textId="77777777" w:rsidR="003801E8" w:rsidRDefault="003801E8">
      <w:pPr>
        <w:rPr>
          <w:rFonts w:ascii="Book Antiqua" w:hAnsi="Book Antiqua" w:cs="Times New Roman"/>
          <w:b/>
          <w:sz w:val="24"/>
          <w:szCs w:val="24"/>
        </w:rPr>
      </w:pPr>
    </w:p>
    <w:p w14:paraId="3CBFFD2F"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Vinova loza pripada familiji </w:t>
      </w:r>
      <w:r>
        <w:rPr>
          <w:rFonts w:ascii="Book Antiqua" w:hAnsi="Book Antiqua" w:cs="Times New Roman"/>
          <w:i/>
          <w:sz w:val="24"/>
          <w:szCs w:val="24"/>
        </w:rPr>
        <w:t>Vitaceae</w:t>
      </w:r>
      <w:r>
        <w:rPr>
          <w:rFonts w:ascii="Book Antiqua" w:hAnsi="Book Antiqua" w:cs="Times New Roman"/>
          <w:sz w:val="24"/>
          <w:szCs w:val="24"/>
        </w:rPr>
        <w:t xml:space="preserve"> Lindl, koja obuhvata sledeće rodove:           </w:t>
      </w:r>
    </w:p>
    <w:p w14:paraId="2C60BBEF"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i/>
          <w:sz w:val="24"/>
          <w:szCs w:val="24"/>
        </w:rPr>
        <w:t>I     Cyphostemma</w:t>
      </w:r>
      <w:r>
        <w:rPr>
          <w:rFonts w:ascii="Book Antiqua" w:hAnsi="Book Antiqua" w:cs="Times New Roman"/>
          <w:sz w:val="24"/>
          <w:szCs w:val="24"/>
        </w:rPr>
        <w:t xml:space="preserve"> (PLANCH.) ALST.,  230 vrsta; </w:t>
      </w:r>
    </w:p>
    <w:p w14:paraId="16167AB9"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II    </w:t>
      </w:r>
      <w:r>
        <w:rPr>
          <w:rFonts w:ascii="Book Antiqua" w:hAnsi="Book Antiqua" w:cs="Times New Roman"/>
          <w:i/>
          <w:sz w:val="24"/>
          <w:szCs w:val="24"/>
        </w:rPr>
        <w:t>Cissus</w:t>
      </w:r>
      <w:r>
        <w:rPr>
          <w:rFonts w:ascii="Book Antiqua" w:hAnsi="Book Antiqua" w:cs="Times New Roman"/>
          <w:sz w:val="24"/>
          <w:szCs w:val="24"/>
        </w:rPr>
        <w:t xml:space="preserve"> L., 319 vrsta; </w:t>
      </w:r>
    </w:p>
    <w:p w14:paraId="776EB5D7"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III   </w:t>
      </w:r>
      <w:r>
        <w:rPr>
          <w:rFonts w:ascii="Book Antiqua" w:hAnsi="Book Antiqua" w:cs="Times New Roman"/>
          <w:i/>
          <w:sz w:val="24"/>
          <w:szCs w:val="24"/>
        </w:rPr>
        <w:t>Cayratia</w:t>
      </w:r>
      <w:r>
        <w:rPr>
          <w:rFonts w:ascii="Book Antiqua" w:hAnsi="Book Antiqua" w:cs="Times New Roman"/>
          <w:sz w:val="24"/>
          <w:szCs w:val="24"/>
        </w:rPr>
        <w:t xml:space="preserve"> (A. l.. JUSS.), 61 vrsta; </w:t>
      </w:r>
    </w:p>
    <w:p w14:paraId="6D42E081"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IV   </w:t>
      </w:r>
      <w:r>
        <w:rPr>
          <w:rFonts w:ascii="Book Antiqua" w:hAnsi="Book Antiqua" w:cs="Times New Roman"/>
          <w:i/>
          <w:sz w:val="24"/>
          <w:szCs w:val="24"/>
        </w:rPr>
        <w:t>Tetrastigma</w:t>
      </w:r>
      <w:r>
        <w:rPr>
          <w:rFonts w:ascii="Book Antiqua" w:hAnsi="Book Antiqua" w:cs="Times New Roman"/>
          <w:sz w:val="24"/>
          <w:szCs w:val="24"/>
        </w:rPr>
        <w:t xml:space="preserve"> (Miq) PLANCH., 120 vrsta; </w:t>
      </w:r>
    </w:p>
    <w:p w14:paraId="39ABA82E"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V     </w:t>
      </w:r>
      <w:r>
        <w:rPr>
          <w:rFonts w:ascii="Book Antiqua" w:hAnsi="Book Antiqua" w:cs="Times New Roman"/>
          <w:i/>
          <w:sz w:val="24"/>
          <w:szCs w:val="24"/>
        </w:rPr>
        <w:t>Acareosperma</w:t>
      </w:r>
      <w:r>
        <w:rPr>
          <w:rFonts w:ascii="Book Antiqua" w:hAnsi="Book Antiqua" w:cs="Times New Roman"/>
          <w:sz w:val="24"/>
          <w:szCs w:val="24"/>
        </w:rPr>
        <w:t xml:space="preserve"> GAGNEP., 1 vrsta; </w:t>
      </w:r>
    </w:p>
    <w:p w14:paraId="095FB52C"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VI    </w:t>
      </w:r>
      <w:r>
        <w:rPr>
          <w:rFonts w:ascii="Book Antiqua" w:hAnsi="Book Antiqua" w:cs="Times New Roman"/>
          <w:i/>
          <w:sz w:val="24"/>
          <w:szCs w:val="24"/>
        </w:rPr>
        <w:t>Clematicissus</w:t>
      </w:r>
      <w:r>
        <w:rPr>
          <w:rFonts w:ascii="Book Antiqua" w:hAnsi="Book Antiqua" w:cs="Times New Roman"/>
          <w:sz w:val="24"/>
          <w:szCs w:val="24"/>
        </w:rPr>
        <w:t xml:space="preserve"> PLANCH., 1 vrsta;  </w:t>
      </w:r>
    </w:p>
    <w:p w14:paraId="37B5FEE6"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VII   </w:t>
      </w:r>
      <w:r>
        <w:rPr>
          <w:rFonts w:ascii="Book Antiqua" w:hAnsi="Book Antiqua" w:cs="Times New Roman"/>
          <w:i/>
          <w:sz w:val="24"/>
          <w:szCs w:val="24"/>
        </w:rPr>
        <w:t>Rhoicissus</w:t>
      </w:r>
      <w:r>
        <w:rPr>
          <w:rFonts w:ascii="Book Antiqua" w:hAnsi="Book Antiqua" w:cs="Times New Roman"/>
          <w:sz w:val="24"/>
          <w:szCs w:val="24"/>
        </w:rPr>
        <w:t xml:space="preserve"> PLANCH., 12 vrsta; </w:t>
      </w:r>
    </w:p>
    <w:p w14:paraId="5C0093F2"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VIII  </w:t>
      </w:r>
      <w:r>
        <w:rPr>
          <w:rFonts w:ascii="Book Antiqua" w:hAnsi="Book Antiqua" w:cs="Times New Roman"/>
          <w:i/>
          <w:sz w:val="24"/>
          <w:szCs w:val="24"/>
        </w:rPr>
        <w:t>Ampelocissus</w:t>
      </w:r>
      <w:r>
        <w:rPr>
          <w:rFonts w:ascii="Book Antiqua" w:hAnsi="Book Antiqua" w:cs="Times New Roman"/>
          <w:sz w:val="24"/>
          <w:szCs w:val="24"/>
        </w:rPr>
        <w:t xml:space="preserve"> PLANCH., 90 vrsta; </w:t>
      </w:r>
    </w:p>
    <w:p w14:paraId="1D389551"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IX    </w:t>
      </w:r>
      <w:r>
        <w:rPr>
          <w:rFonts w:ascii="Book Antiqua" w:hAnsi="Book Antiqua" w:cs="Times New Roman"/>
          <w:i/>
          <w:sz w:val="24"/>
          <w:szCs w:val="24"/>
        </w:rPr>
        <w:t>Pterisanthes</w:t>
      </w:r>
      <w:r>
        <w:rPr>
          <w:rFonts w:ascii="Book Antiqua" w:hAnsi="Book Antiqua" w:cs="Times New Roman"/>
          <w:sz w:val="24"/>
          <w:szCs w:val="24"/>
        </w:rPr>
        <w:t xml:space="preserve"> BLUME., 20 vrsta; </w:t>
      </w:r>
    </w:p>
    <w:p w14:paraId="1EC4F535"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X     </w:t>
      </w:r>
      <w:r>
        <w:rPr>
          <w:rFonts w:ascii="Book Antiqua" w:hAnsi="Book Antiqua" w:cs="Times New Roman"/>
          <w:i/>
          <w:sz w:val="24"/>
          <w:szCs w:val="24"/>
        </w:rPr>
        <w:t>Vitis</w:t>
      </w:r>
      <w:r>
        <w:rPr>
          <w:rFonts w:ascii="Book Antiqua" w:hAnsi="Book Antiqua" w:cs="Times New Roman"/>
          <w:sz w:val="24"/>
          <w:szCs w:val="24"/>
        </w:rPr>
        <w:t xml:space="preserve"> L., oko 70 vrsta; </w:t>
      </w:r>
    </w:p>
    <w:p w14:paraId="04FFAF40"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XI    </w:t>
      </w:r>
      <w:r>
        <w:rPr>
          <w:rFonts w:ascii="Book Antiqua" w:hAnsi="Book Antiqua" w:cs="Times New Roman"/>
          <w:i/>
          <w:sz w:val="24"/>
          <w:szCs w:val="24"/>
        </w:rPr>
        <w:t>Pterocissus</w:t>
      </w:r>
      <w:r>
        <w:rPr>
          <w:rFonts w:ascii="Book Antiqua" w:hAnsi="Book Antiqua" w:cs="Times New Roman"/>
          <w:sz w:val="24"/>
          <w:szCs w:val="24"/>
        </w:rPr>
        <w:t xml:space="preserve"> URB. et EKN., 1 vrsta; </w:t>
      </w:r>
    </w:p>
    <w:p w14:paraId="5FF2D82E"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XII   </w:t>
      </w:r>
      <w:r>
        <w:rPr>
          <w:rFonts w:ascii="Book Antiqua" w:hAnsi="Book Antiqua" w:cs="Times New Roman"/>
          <w:i/>
          <w:sz w:val="24"/>
          <w:szCs w:val="24"/>
        </w:rPr>
        <w:t>Partenocissus</w:t>
      </w:r>
      <w:r>
        <w:rPr>
          <w:rFonts w:ascii="Book Antiqua" w:hAnsi="Book Antiqua" w:cs="Times New Roman"/>
          <w:sz w:val="24"/>
          <w:szCs w:val="24"/>
        </w:rPr>
        <w:t xml:space="preserve"> PLANCH., 19 vrsta; </w:t>
      </w:r>
    </w:p>
    <w:p w14:paraId="025C43D1"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XIII  </w:t>
      </w:r>
      <w:r>
        <w:rPr>
          <w:rFonts w:ascii="Book Antiqua" w:hAnsi="Book Antiqua" w:cs="Times New Roman"/>
          <w:i/>
          <w:sz w:val="24"/>
          <w:szCs w:val="24"/>
        </w:rPr>
        <w:t>Landukia</w:t>
      </w:r>
      <w:r>
        <w:rPr>
          <w:rFonts w:ascii="Book Antiqua" w:hAnsi="Book Antiqua" w:cs="Times New Roman"/>
          <w:sz w:val="24"/>
          <w:szCs w:val="24"/>
        </w:rPr>
        <w:t xml:space="preserve"> PLANCH., 1 vrsta; </w:t>
      </w:r>
    </w:p>
    <w:p w14:paraId="28A25A01"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lastRenderedPageBreak/>
        <w:t xml:space="preserve">XIV  </w:t>
      </w:r>
      <w:r>
        <w:rPr>
          <w:rFonts w:ascii="Book Antiqua" w:hAnsi="Book Antiqua" w:cs="Times New Roman"/>
          <w:i/>
          <w:sz w:val="24"/>
          <w:szCs w:val="24"/>
        </w:rPr>
        <w:t>Ampelopsis</w:t>
      </w:r>
      <w:r>
        <w:rPr>
          <w:rFonts w:ascii="Book Antiqua" w:hAnsi="Book Antiqua" w:cs="Times New Roman"/>
          <w:sz w:val="24"/>
          <w:szCs w:val="24"/>
        </w:rPr>
        <w:t xml:space="preserve"> (MICHX.) L. C. RICH., 23 vrste (</w:t>
      </w:r>
      <w:r>
        <w:rPr>
          <w:rFonts w:ascii="Book Antiqua" w:hAnsi="Book Antiqua" w:cs="Times New Roman"/>
          <w:b/>
          <w:sz w:val="24"/>
          <w:szCs w:val="24"/>
        </w:rPr>
        <w:t>Cindrić i sar., 2019</w:t>
      </w:r>
      <w:r>
        <w:rPr>
          <w:rFonts w:ascii="Book Antiqua" w:hAnsi="Book Antiqua" w:cs="Times New Roman"/>
          <w:sz w:val="24"/>
          <w:szCs w:val="24"/>
        </w:rPr>
        <w:t>).</w:t>
      </w:r>
    </w:p>
    <w:p w14:paraId="7763B13A"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Od svih rodova familije </w:t>
      </w:r>
      <w:r>
        <w:rPr>
          <w:rFonts w:ascii="Book Antiqua" w:hAnsi="Book Antiqua" w:cs="Times New Roman"/>
          <w:i/>
          <w:sz w:val="24"/>
          <w:szCs w:val="24"/>
        </w:rPr>
        <w:t>Vitaceae</w:t>
      </w:r>
      <w:r>
        <w:rPr>
          <w:rFonts w:ascii="Book Antiqua" w:hAnsi="Book Antiqua" w:cs="Times New Roman"/>
          <w:sz w:val="24"/>
          <w:szCs w:val="24"/>
        </w:rPr>
        <w:t xml:space="preserve"> najznačajniji je rod </w:t>
      </w:r>
      <w:r>
        <w:rPr>
          <w:rFonts w:ascii="Book Antiqua" w:hAnsi="Book Antiqua" w:cs="Times New Roman"/>
          <w:i/>
          <w:sz w:val="24"/>
          <w:szCs w:val="24"/>
        </w:rPr>
        <w:t>Vitis</w:t>
      </w:r>
      <w:r>
        <w:rPr>
          <w:rFonts w:ascii="Book Antiqua" w:hAnsi="Book Antiqua" w:cs="Times New Roman"/>
          <w:sz w:val="24"/>
          <w:szCs w:val="24"/>
        </w:rPr>
        <w:t xml:space="preserve"> L. koji se dijeli na dva podroda: </w:t>
      </w:r>
      <w:r>
        <w:rPr>
          <w:rFonts w:ascii="Book Antiqua" w:hAnsi="Book Antiqua" w:cs="Times New Roman"/>
          <w:b/>
          <w:i/>
          <w:sz w:val="24"/>
          <w:szCs w:val="24"/>
        </w:rPr>
        <w:t xml:space="preserve">Euvitis </w:t>
      </w:r>
      <w:r>
        <w:rPr>
          <w:rFonts w:ascii="Book Antiqua" w:hAnsi="Book Antiqua" w:cs="Times New Roman"/>
          <w:sz w:val="24"/>
          <w:szCs w:val="24"/>
        </w:rPr>
        <w:t xml:space="preserve">(Planch.) i </w:t>
      </w:r>
      <w:r>
        <w:rPr>
          <w:rFonts w:ascii="Book Antiqua" w:hAnsi="Book Antiqua" w:cs="Times New Roman"/>
          <w:b/>
          <w:i/>
          <w:sz w:val="24"/>
          <w:szCs w:val="24"/>
        </w:rPr>
        <w:t>Muscadinia</w:t>
      </w:r>
      <w:r>
        <w:rPr>
          <w:rFonts w:ascii="Book Antiqua" w:hAnsi="Book Antiqua" w:cs="Times New Roman"/>
          <w:sz w:val="24"/>
          <w:szCs w:val="24"/>
        </w:rPr>
        <w:t xml:space="preserve"> (Planch.). </w:t>
      </w:r>
    </w:p>
    <w:p w14:paraId="4692FF3F"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U cilju lakšeg izučavanja najčešće se grupišu prema arealu rasprostranjenosti:                                         </w:t>
      </w:r>
    </w:p>
    <w:p w14:paraId="1056F36C" w14:textId="77777777" w:rsidR="003801E8" w:rsidRDefault="00E44AAE">
      <w:pPr>
        <w:pStyle w:val="ListParagraph"/>
        <w:numPr>
          <w:ilvl w:val="0"/>
          <w:numId w:val="2"/>
        </w:numPr>
        <w:spacing w:line="360" w:lineRule="auto"/>
        <w:jc w:val="both"/>
        <w:rPr>
          <w:rFonts w:ascii="Book Antiqua" w:hAnsi="Book Antiqua" w:cs="Times New Roman"/>
          <w:sz w:val="24"/>
          <w:szCs w:val="24"/>
        </w:rPr>
      </w:pPr>
      <w:r>
        <w:rPr>
          <w:rFonts w:ascii="Book Antiqua" w:hAnsi="Book Antiqua" w:cs="Times New Roman"/>
          <w:sz w:val="24"/>
          <w:szCs w:val="24"/>
        </w:rPr>
        <w:t>Grupa američkih vrsta (oko 30);</w:t>
      </w:r>
    </w:p>
    <w:p w14:paraId="72C54069" w14:textId="77777777" w:rsidR="003801E8" w:rsidRDefault="00E44AAE">
      <w:pPr>
        <w:pStyle w:val="ListParagraph"/>
        <w:numPr>
          <w:ilvl w:val="0"/>
          <w:numId w:val="2"/>
        </w:numPr>
        <w:spacing w:line="360" w:lineRule="auto"/>
        <w:jc w:val="both"/>
        <w:rPr>
          <w:rFonts w:ascii="Book Antiqua" w:hAnsi="Book Antiqua" w:cs="Times New Roman"/>
          <w:sz w:val="24"/>
          <w:szCs w:val="24"/>
        </w:rPr>
      </w:pPr>
      <w:r>
        <w:rPr>
          <w:rFonts w:ascii="Book Antiqua" w:hAnsi="Book Antiqua" w:cs="Times New Roman"/>
          <w:sz w:val="24"/>
          <w:szCs w:val="24"/>
        </w:rPr>
        <w:t>Grupa istočno-azijskih vrsta (oko 40);</w:t>
      </w:r>
    </w:p>
    <w:p w14:paraId="1444F59B" w14:textId="77777777" w:rsidR="003801E8" w:rsidRDefault="00E44AAE">
      <w:pPr>
        <w:pStyle w:val="ListParagraph"/>
        <w:numPr>
          <w:ilvl w:val="0"/>
          <w:numId w:val="2"/>
        </w:numPr>
        <w:spacing w:line="360" w:lineRule="auto"/>
        <w:jc w:val="both"/>
        <w:rPr>
          <w:rFonts w:ascii="Book Antiqua" w:hAnsi="Book Antiqua" w:cs="Times New Roman"/>
          <w:sz w:val="24"/>
          <w:szCs w:val="24"/>
        </w:rPr>
      </w:pPr>
      <w:r>
        <w:rPr>
          <w:rFonts w:ascii="Book Antiqua" w:hAnsi="Book Antiqua" w:cs="Times New Roman"/>
          <w:sz w:val="24"/>
          <w:szCs w:val="24"/>
        </w:rPr>
        <w:t xml:space="preserve">Evroazijske vrste (2);                      </w:t>
      </w:r>
    </w:p>
    <w:p w14:paraId="348EFFB8"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Od američkih vrsta su najznačajnije: </w:t>
      </w:r>
      <w:r>
        <w:rPr>
          <w:rFonts w:ascii="Book Antiqua" w:hAnsi="Book Antiqua" w:cs="Times New Roman"/>
          <w:i/>
          <w:sz w:val="24"/>
          <w:szCs w:val="24"/>
        </w:rPr>
        <w:t>Vitis riparia</w:t>
      </w:r>
      <w:r>
        <w:rPr>
          <w:rFonts w:ascii="Book Antiqua" w:hAnsi="Book Antiqua" w:cs="Times New Roman"/>
          <w:sz w:val="24"/>
          <w:szCs w:val="24"/>
        </w:rPr>
        <w:t xml:space="preserve">, </w:t>
      </w:r>
      <w:r>
        <w:rPr>
          <w:rFonts w:ascii="Book Antiqua" w:hAnsi="Book Antiqua" w:cs="Times New Roman"/>
          <w:i/>
          <w:sz w:val="24"/>
          <w:szCs w:val="24"/>
        </w:rPr>
        <w:t>Vitis rupestris</w:t>
      </w:r>
      <w:r>
        <w:rPr>
          <w:rFonts w:ascii="Book Antiqua" w:hAnsi="Book Antiqua" w:cs="Times New Roman"/>
          <w:sz w:val="24"/>
          <w:szCs w:val="24"/>
        </w:rPr>
        <w:t xml:space="preserve">, </w:t>
      </w:r>
      <w:r>
        <w:rPr>
          <w:rFonts w:ascii="Book Antiqua" w:hAnsi="Book Antiqua" w:cs="Times New Roman"/>
          <w:i/>
          <w:sz w:val="24"/>
          <w:szCs w:val="24"/>
        </w:rPr>
        <w:t>Vitis berlandieri</w:t>
      </w:r>
      <w:r>
        <w:rPr>
          <w:rFonts w:ascii="Book Antiqua" w:hAnsi="Book Antiqua" w:cs="Times New Roman"/>
          <w:sz w:val="24"/>
          <w:szCs w:val="24"/>
        </w:rPr>
        <w:t xml:space="preserve">, </w:t>
      </w:r>
      <w:r>
        <w:rPr>
          <w:rFonts w:ascii="Book Antiqua" w:hAnsi="Book Antiqua" w:cs="Times New Roman"/>
          <w:i/>
          <w:sz w:val="24"/>
          <w:szCs w:val="24"/>
        </w:rPr>
        <w:t>Vitis cinerea</w:t>
      </w:r>
      <w:r>
        <w:rPr>
          <w:rFonts w:ascii="Book Antiqua" w:hAnsi="Book Antiqua" w:cs="Times New Roman"/>
          <w:sz w:val="24"/>
          <w:szCs w:val="24"/>
        </w:rPr>
        <w:t xml:space="preserve">, </w:t>
      </w:r>
      <w:r>
        <w:rPr>
          <w:rFonts w:ascii="Book Antiqua" w:hAnsi="Book Antiqua" w:cs="Times New Roman"/>
          <w:i/>
          <w:sz w:val="24"/>
          <w:szCs w:val="24"/>
        </w:rPr>
        <w:t>Vitis aestivalis</w:t>
      </w:r>
      <w:r>
        <w:rPr>
          <w:rFonts w:ascii="Book Antiqua" w:hAnsi="Book Antiqua" w:cs="Times New Roman"/>
          <w:sz w:val="24"/>
          <w:szCs w:val="24"/>
        </w:rPr>
        <w:t xml:space="preserve"> i </w:t>
      </w:r>
      <w:r>
        <w:rPr>
          <w:rFonts w:ascii="Book Antiqua" w:hAnsi="Book Antiqua" w:cs="Times New Roman"/>
          <w:i/>
          <w:sz w:val="24"/>
          <w:szCs w:val="24"/>
        </w:rPr>
        <w:t>Vitis labrusca</w:t>
      </w:r>
      <w:r>
        <w:rPr>
          <w:rFonts w:ascii="Book Antiqua" w:hAnsi="Book Antiqua" w:cs="Times New Roman"/>
          <w:sz w:val="24"/>
          <w:szCs w:val="24"/>
        </w:rPr>
        <w:t xml:space="preserve">. Zbog otpornosti na filokseru koriste se kao podloge, a takođe su i donori gena otpornosti prema plamenjači i pepelnici. Od istočnoazijskih vrsta je najznačajnija </w:t>
      </w:r>
      <w:r>
        <w:rPr>
          <w:rFonts w:ascii="Book Antiqua" w:hAnsi="Book Antiqua" w:cs="Times New Roman"/>
          <w:i/>
          <w:sz w:val="24"/>
          <w:szCs w:val="24"/>
        </w:rPr>
        <w:t>Vitis amurensis</w:t>
      </w:r>
      <w:r>
        <w:rPr>
          <w:rFonts w:ascii="Book Antiqua" w:hAnsi="Book Antiqua" w:cs="Times New Roman"/>
          <w:sz w:val="24"/>
          <w:szCs w:val="24"/>
        </w:rPr>
        <w:t xml:space="preserve"> koja ima kratku vegetaciju i podnosi vrlo niske temperature (–40 </w:t>
      </w:r>
      <w:r>
        <w:rPr>
          <w:rFonts w:ascii="Times New Roman" w:hAnsi="Times New Roman" w:cs="Times New Roman"/>
          <w:sz w:val="24"/>
          <w:szCs w:val="24"/>
        </w:rPr>
        <w:t>°</w:t>
      </w:r>
      <w:r>
        <w:rPr>
          <w:rFonts w:ascii="Book Antiqua" w:hAnsi="Book Antiqua" w:cs="Times New Roman"/>
          <w:sz w:val="24"/>
          <w:szCs w:val="24"/>
        </w:rPr>
        <w:t xml:space="preserve">C). Zbog ovih osobina se koristi u oplemenjivanju za stvaranje sorti otpornih na niske temperature. </w:t>
      </w:r>
    </w:p>
    <w:p w14:paraId="6CF50976"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Na području Evrope i Zapadne Azije nastale su dvije vrste. Jedna je divlja vrsta </w:t>
      </w:r>
      <w:r>
        <w:rPr>
          <w:rFonts w:ascii="Book Antiqua" w:hAnsi="Book Antiqua" w:cs="Times New Roman"/>
          <w:i/>
          <w:sz w:val="24"/>
          <w:szCs w:val="24"/>
        </w:rPr>
        <w:t xml:space="preserve">Vitis sylvestris, </w:t>
      </w:r>
      <w:r>
        <w:rPr>
          <w:rFonts w:ascii="Book Antiqua" w:hAnsi="Book Antiqua" w:cs="Times New Roman"/>
          <w:iCs/>
          <w:sz w:val="24"/>
          <w:szCs w:val="24"/>
        </w:rPr>
        <w:t xml:space="preserve">odnosno </w:t>
      </w:r>
      <w:r>
        <w:rPr>
          <w:rFonts w:ascii="Book Antiqua" w:hAnsi="Book Antiqua" w:cs="Times New Roman"/>
          <w:sz w:val="24"/>
          <w:szCs w:val="24"/>
        </w:rPr>
        <w:t xml:space="preserve">šumska loza. Druga je </w:t>
      </w:r>
      <w:r>
        <w:rPr>
          <w:rFonts w:ascii="Book Antiqua" w:hAnsi="Book Antiqua" w:cs="Times New Roman"/>
          <w:i/>
          <w:sz w:val="24"/>
          <w:szCs w:val="24"/>
        </w:rPr>
        <w:t>Vitis vinifera</w:t>
      </w:r>
      <w:r>
        <w:rPr>
          <w:rFonts w:ascii="Book Antiqua" w:hAnsi="Book Antiqua" w:cs="Times New Roman"/>
          <w:sz w:val="24"/>
          <w:szCs w:val="24"/>
        </w:rPr>
        <w:t xml:space="preserve"> L. koja je nastala aktivnošću čovjeka, odnosno gajenjem i selekcijom. Osnovne biološke karakteristike </w:t>
      </w:r>
      <w:r>
        <w:rPr>
          <w:rFonts w:ascii="Book Antiqua" w:hAnsi="Book Antiqua" w:cs="Times New Roman"/>
          <w:i/>
          <w:sz w:val="24"/>
          <w:szCs w:val="24"/>
        </w:rPr>
        <w:t>Vitis vinifera</w:t>
      </w:r>
      <w:r>
        <w:rPr>
          <w:rFonts w:ascii="Book Antiqua" w:hAnsi="Book Antiqua" w:cs="Times New Roman"/>
          <w:sz w:val="24"/>
          <w:szCs w:val="24"/>
        </w:rPr>
        <w:t xml:space="preserve"> L. su osjetljivost na filokseru, plamenjaču i pepelnicu, kao i otpornost na sadržaj kreča u zemljištu. </w:t>
      </w:r>
      <w:r>
        <w:rPr>
          <w:rFonts w:ascii="Book Antiqua" w:hAnsi="Book Antiqua" w:cs="Times New Roman"/>
          <w:i/>
          <w:sz w:val="24"/>
          <w:szCs w:val="24"/>
        </w:rPr>
        <w:t>Vitis vinifera</w:t>
      </w:r>
      <w:r>
        <w:rPr>
          <w:rFonts w:ascii="Book Antiqua" w:hAnsi="Book Antiqua" w:cs="Times New Roman"/>
          <w:sz w:val="24"/>
          <w:szCs w:val="24"/>
        </w:rPr>
        <w:t xml:space="preserve"> ima najkvalitetnije grožđe, a vegetativni djelovi se veoma dobro ožiljavaju (</w:t>
      </w:r>
      <w:r>
        <w:rPr>
          <w:rFonts w:ascii="Book Antiqua" w:hAnsi="Book Antiqua" w:cs="Times New Roman"/>
          <w:b/>
          <w:sz w:val="24"/>
          <w:szCs w:val="24"/>
        </w:rPr>
        <w:t>Korać i sar., 2016</w:t>
      </w:r>
      <w:r>
        <w:rPr>
          <w:rFonts w:ascii="Book Antiqua" w:hAnsi="Book Antiqua" w:cs="Times New Roman"/>
          <w:sz w:val="24"/>
          <w:szCs w:val="24"/>
        </w:rPr>
        <w:t xml:space="preserve">). </w:t>
      </w:r>
    </w:p>
    <w:p w14:paraId="0F78E8FC" w14:textId="77777777" w:rsidR="003801E8" w:rsidRDefault="003801E8">
      <w:pPr>
        <w:spacing w:line="360" w:lineRule="auto"/>
        <w:jc w:val="both"/>
        <w:rPr>
          <w:rFonts w:ascii="Book Antiqua" w:hAnsi="Book Antiqua" w:cs="Times New Roman"/>
          <w:sz w:val="24"/>
          <w:szCs w:val="24"/>
        </w:rPr>
      </w:pPr>
    </w:p>
    <w:p w14:paraId="2C8EBB6D" w14:textId="77777777" w:rsidR="003801E8" w:rsidRDefault="003801E8">
      <w:pPr>
        <w:spacing w:line="360" w:lineRule="auto"/>
        <w:jc w:val="both"/>
        <w:rPr>
          <w:rFonts w:ascii="Book Antiqua" w:hAnsi="Book Antiqua" w:cs="Times New Roman"/>
          <w:sz w:val="24"/>
          <w:szCs w:val="24"/>
        </w:rPr>
      </w:pPr>
    </w:p>
    <w:p w14:paraId="7AB9210E" w14:textId="77777777" w:rsidR="003801E8" w:rsidRDefault="003801E8">
      <w:pPr>
        <w:spacing w:line="360" w:lineRule="auto"/>
        <w:jc w:val="both"/>
        <w:rPr>
          <w:rFonts w:ascii="Book Antiqua" w:hAnsi="Book Antiqua" w:cs="Times New Roman"/>
          <w:sz w:val="24"/>
          <w:szCs w:val="24"/>
        </w:rPr>
      </w:pPr>
    </w:p>
    <w:p w14:paraId="2B361BD6" w14:textId="77777777" w:rsidR="003801E8" w:rsidRDefault="003801E8">
      <w:pPr>
        <w:spacing w:line="360" w:lineRule="auto"/>
        <w:jc w:val="both"/>
        <w:rPr>
          <w:rFonts w:ascii="Book Antiqua" w:hAnsi="Book Antiqua" w:cs="Times New Roman"/>
          <w:sz w:val="24"/>
          <w:szCs w:val="24"/>
        </w:rPr>
      </w:pPr>
    </w:p>
    <w:p w14:paraId="55D69D0F" w14:textId="77777777" w:rsidR="003801E8" w:rsidRDefault="003801E8">
      <w:pPr>
        <w:spacing w:line="360" w:lineRule="auto"/>
        <w:jc w:val="both"/>
        <w:rPr>
          <w:rFonts w:ascii="Book Antiqua" w:hAnsi="Book Antiqua" w:cs="Times New Roman"/>
          <w:color w:val="222A35" w:themeColor="text2" w:themeShade="80"/>
          <w:sz w:val="24"/>
          <w:szCs w:val="24"/>
        </w:rPr>
      </w:pPr>
    </w:p>
    <w:p w14:paraId="25542AC2" w14:textId="77777777" w:rsidR="003801E8" w:rsidRDefault="003801E8">
      <w:pPr>
        <w:pStyle w:val="teza1"/>
        <w:spacing w:before="0" w:after="200"/>
        <w:jc w:val="both"/>
        <w:rPr>
          <w:rFonts w:ascii="Book Antiqua" w:hAnsi="Book Antiqua" w:cs="Times New Roman"/>
          <w:bCs w:val="0"/>
          <w:color w:val="auto"/>
          <w:sz w:val="24"/>
        </w:rPr>
      </w:pPr>
    </w:p>
    <w:p w14:paraId="28F913F1" w14:textId="77777777" w:rsidR="003801E8" w:rsidRDefault="00E44AAE">
      <w:pPr>
        <w:pStyle w:val="teza1"/>
        <w:spacing w:before="0" w:after="200"/>
        <w:jc w:val="both"/>
        <w:rPr>
          <w:rFonts w:ascii="Book Antiqua" w:hAnsi="Book Antiqua" w:cs="Times New Roman"/>
          <w:bCs w:val="0"/>
          <w:color w:val="auto"/>
          <w:sz w:val="24"/>
        </w:rPr>
      </w:pPr>
      <w:r>
        <w:rPr>
          <w:rFonts w:ascii="Book Antiqua" w:hAnsi="Book Antiqua" w:cs="Times New Roman"/>
          <w:bCs w:val="0"/>
          <w:color w:val="auto"/>
          <w:sz w:val="24"/>
        </w:rPr>
        <w:lastRenderedPageBreak/>
        <w:t>3.3 Proizvodnja vinove loze u svijetu</w:t>
      </w:r>
    </w:p>
    <w:p w14:paraId="767ED89E" w14:textId="77777777" w:rsidR="003801E8" w:rsidRDefault="00E44AAE">
      <w:pPr>
        <w:pStyle w:val="teza1"/>
        <w:spacing w:before="0" w:after="200"/>
        <w:jc w:val="both"/>
        <w:rPr>
          <w:rFonts w:ascii="Book Antiqua" w:hAnsi="Book Antiqua" w:cs="Times New Roman"/>
          <w:b w:val="0"/>
          <w:bCs w:val="0"/>
          <w:color w:val="auto"/>
          <w:sz w:val="24"/>
        </w:rPr>
      </w:pPr>
      <w:r>
        <w:rPr>
          <w:rFonts w:ascii="Book Antiqua" w:hAnsi="Book Antiqua" w:cs="Times New Roman"/>
          <w:b w:val="0"/>
          <w:bCs w:val="0"/>
          <w:color w:val="auto"/>
          <w:sz w:val="24"/>
        </w:rPr>
        <w:t>Plemenita vinova loza (</w:t>
      </w:r>
      <w:r>
        <w:rPr>
          <w:rFonts w:ascii="Book Antiqua" w:hAnsi="Book Antiqua" w:cs="Times New Roman"/>
          <w:b w:val="0"/>
          <w:bCs w:val="0"/>
          <w:i/>
          <w:color w:val="auto"/>
          <w:sz w:val="24"/>
        </w:rPr>
        <w:t xml:space="preserve">Vitis vinifera </w:t>
      </w:r>
      <w:r>
        <w:rPr>
          <w:rFonts w:ascii="Book Antiqua" w:hAnsi="Book Antiqua" w:cs="Times New Roman"/>
          <w:b w:val="0"/>
          <w:bCs w:val="0"/>
          <w:color w:val="auto"/>
          <w:sz w:val="24"/>
        </w:rPr>
        <w:t xml:space="preserve">subsp </w:t>
      </w:r>
      <w:r>
        <w:rPr>
          <w:rFonts w:ascii="Book Antiqua" w:hAnsi="Book Antiqua" w:cs="Times New Roman"/>
          <w:b w:val="0"/>
          <w:bCs w:val="0"/>
          <w:i/>
          <w:color w:val="auto"/>
          <w:sz w:val="24"/>
        </w:rPr>
        <w:t>vinifera</w:t>
      </w:r>
      <w:r>
        <w:rPr>
          <w:rFonts w:ascii="Book Antiqua" w:hAnsi="Book Antiqua" w:cs="Times New Roman"/>
          <w:b w:val="0"/>
          <w:bCs w:val="0"/>
          <w:color w:val="auto"/>
          <w:sz w:val="24"/>
        </w:rPr>
        <w:t>) predstavlja jednu od najstarijih biljnih vrsta i ima širok areal rasprostranjenosti (</w:t>
      </w:r>
      <w:r>
        <w:rPr>
          <w:rFonts w:ascii="Book Antiqua" w:hAnsi="Book Antiqua" w:cs="Times New Roman"/>
          <w:bCs w:val="0"/>
          <w:color w:val="auto"/>
          <w:sz w:val="24"/>
        </w:rPr>
        <w:t>Myles, 2010</w:t>
      </w:r>
      <w:r>
        <w:rPr>
          <w:rFonts w:ascii="Book Antiqua" w:hAnsi="Book Antiqua" w:cs="Times New Roman"/>
          <w:b w:val="0"/>
          <w:bCs w:val="0"/>
          <w:color w:val="auto"/>
          <w:sz w:val="24"/>
        </w:rPr>
        <w:t>). Sa izuzetkom pojasa oko ekvatora, prostire se južno od 52. uporednika na sjevernoj polulopti, odnosno sjeverno od 45. uporednika na južnoj polulopti (Slika 1). Vinogradarstvo je najrazvijenije u Evropi, a posebno u zemljama oko sredozemnog mora (</w:t>
      </w:r>
      <w:r>
        <w:rPr>
          <w:rFonts w:ascii="Book Antiqua" w:hAnsi="Book Antiqua" w:cs="Times New Roman"/>
          <w:color w:val="auto"/>
          <w:sz w:val="24"/>
        </w:rPr>
        <w:t>Korać i sar., 2016</w:t>
      </w:r>
      <w:r>
        <w:rPr>
          <w:rFonts w:ascii="Book Antiqua" w:hAnsi="Book Antiqua" w:cs="Times New Roman"/>
          <w:b w:val="0"/>
          <w:bCs w:val="0"/>
          <w:color w:val="auto"/>
          <w:sz w:val="24"/>
        </w:rPr>
        <w:t>). Prema poslednjem izvještaju OIV-a za 2022. godinu u svijetu ima oko 7,3 miliona ha vinograda, sa prosječnim prinosom od 11 t/ha. Vodeće vinogradarske zemlje na svijetu su: Španija (955 ha), Francuska (812 ha) i Kina (785 ha). Deset zemalja sa najvećim obimom vinogradarstva koje čine dvije trećine svjetske vinogradarske proizvodnje za 2022 godinu, prikazane su u tabeli 1 (</w:t>
      </w:r>
      <w:r>
        <w:rPr>
          <w:rFonts w:ascii="Book Antiqua" w:hAnsi="Book Antiqua" w:cs="Times New Roman"/>
          <w:color w:val="auto"/>
          <w:sz w:val="24"/>
        </w:rPr>
        <w:t>OIV report, 2023</w:t>
      </w:r>
      <w:r>
        <w:rPr>
          <w:rFonts w:ascii="Book Antiqua" w:hAnsi="Book Antiqua" w:cs="Times New Roman"/>
          <w:b w:val="0"/>
          <w:bCs w:val="0"/>
          <w:color w:val="auto"/>
          <w:sz w:val="24"/>
        </w:rPr>
        <w:t>). Nasuprot Evropi, gdje konstantno dolazi do smanjenja površina pod vinovom lozom, u Aziji, Južnoj Americi, Africi i Australiji površine pod vinogradima se iz godine u godinu značajno povećavaju (</w:t>
      </w:r>
      <w:r>
        <w:rPr>
          <w:rFonts w:ascii="Book Antiqua" w:hAnsi="Book Antiqua" w:cs="Times New Roman"/>
          <w:color w:val="auto"/>
          <w:sz w:val="24"/>
        </w:rPr>
        <w:t>Korać i sar., 2016</w:t>
      </w:r>
      <w:r>
        <w:rPr>
          <w:rFonts w:ascii="Book Antiqua" w:hAnsi="Book Antiqua" w:cs="Times New Roman"/>
          <w:b w:val="0"/>
          <w:bCs w:val="0"/>
          <w:color w:val="auto"/>
          <w:sz w:val="24"/>
        </w:rPr>
        <w:t xml:space="preserve">). </w:t>
      </w:r>
    </w:p>
    <w:p w14:paraId="7B491DF4" w14:textId="77777777" w:rsidR="003801E8" w:rsidRDefault="003801E8">
      <w:pPr>
        <w:pStyle w:val="teza1"/>
        <w:spacing w:before="0" w:after="200"/>
        <w:jc w:val="both"/>
        <w:rPr>
          <w:rFonts w:ascii="Book Antiqua" w:hAnsi="Book Antiqua" w:cs="Times New Roman"/>
          <w:b w:val="0"/>
          <w:bCs w:val="0"/>
          <w:color w:val="323E4F" w:themeColor="text2" w:themeShade="BF"/>
          <w:sz w:val="24"/>
        </w:rPr>
      </w:pPr>
    </w:p>
    <w:p w14:paraId="3F0F23E2" w14:textId="77777777" w:rsidR="003801E8" w:rsidRDefault="00E44AAE">
      <w:pPr>
        <w:pStyle w:val="teza1"/>
        <w:spacing w:before="0" w:after="200"/>
        <w:jc w:val="center"/>
        <w:rPr>
          <w:rFonts w:ascii="Book Antiqua" w:hAnsi="Book Antiqua" w:cs="Times New Roman"/>
          <w:b w:val="0"/>
          <w:bCs w:val="0"/>
          <w:color w:val="323E4F" w:themeColor="text2" w:themeShade="BF"/>
          <w:sz w:val="24"/>
        </w:rPr>
      </w:pPr>
      <w:r>
        <w:rPr>
          <w:rFonts w:ascii="Book Antiqua" w:hAnsi="Book Antiqua" w:cs="Times New Roman"/>
          <w:b w:val="0"/>
          <w:bCs w:val="0"/>
          <w:noProof/>
          <w:color w:val="323E4F" w:themeColor="text2" w:themeShade="BF"/>
          <w:sz w:val="24"/>
          <w:lang w:val="en-US"/>
        </w:rPr>
        <w:drawing>
          <wp:inline distT="0" distB="0" distL="0" distR="0" wp14:anchorId="6A05659D" wp14:editId="6C182C65">
            <wp:extent cx="5304155" cy="3105150"/>
            <wp:effectExtent l="0" t="0" r="0" b="0"/>
            <wp:docPr id="457680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80515"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375413" cy="3146817"/>
                    </a:xfrm>
                    <a:prstGeom prst="rect">
                      <a:avLst/>
                    </a:prstGeom>
                  </pic:spPr>
                </pic:pic>
              </a:graphicData>
            </a:graphic>
          </wp:inline>
        </w:drawing>
      </w:r>
    </w:p>
    <w:p w14:paraId="42E073E3" w14:textId="77777777" w:rsidR="003801E8" w:rsidRDefault="00E44AAE">
      <w:pPr>
        <w:pStyle w:val="teza1"/>
        <w:spacing w:before="0" w:after="200"/>
        <w:jc w:val="center"/>
        <w:rPr>
          <w:rFonts w:ascii="Book Antiqua" w:hAnsi="Book Antiqua" w:cs="Times New Roman"/>
          <w:b w:val="0"/>
          <w:bCs w:val="0"/>
          <w:color w:val="auto"/>
          <w:sz w:val="22"/>
          <w:szCs w:val="22"/>
        </w:rPr>
      </w:pPr>
      <w:r>
        <w:rPr>
          <w:rFonts w:ascii="Book Antiqua" w:hAnsi="Book Antiqua" w:cs="Times New Roman"/>
          <w:color w:val="auto"/>
          <w:sz w:val="22"/>
          <w:szCs w:val="22"/>
        </w:rPr>
        <w:t>Slika 1</w:t>
      </w:r>
      <w:r>
        <w:rPr>
          <w:rFonts w:ascii="Book Antiqua" w:hAnsi="Book Antiqua" w:cs="Times New Roman"/>
          <w:b w:val="0"/>
          <w:bCs w:val="0"/>
          <w:color w:val="auto"/>
          <w:sz w:val="22"/>
          <w:szCs w:val="22"/>
        </w:rPr>
        <w:t>. Areal gajenja vinove loze u svijetu (</w:t>
      </w:r>
      <w:r>
        <w:rPr>
          <w:rFonts w:ascii="Book Antiqua" w:hAnsi="Book Antiqua" w:cs="Times New Roman"/>
          <w:color w:val="auto"/>
          <w:sz w:val="22"/>
          <w:szCs w:val="22"/>
        </w:rPr>
        <w:t>Korać i sar., 2016</w:t>
      </w:r>
      <w:r>
        <w:rPr>
          <w:rFonts w:ascii="Book Antiqua" w:hAnsi="Book Antiqua" w:cs="Times New Roman"/>
          <w:b w:val="0"/>
          <w:bCs w:val="0"/>
          <w:color w:val="auto"/>
          <w:sz w:val="22"/>
          <w:szCs w:val="22"/>
        </w:rPr>
        <w:t>)</w:t>
      </w:r>
    </w:p>
    <w:p w14:paraId="37CA9CB0" w14:textId="77777777" w:rsidR="003801E8" w:rsidRDefault="00E44AAE">
      <w:pPr>
        <w:pStyle w:val="teza1"/>
        <w:spacing w:before="0" w:after="200"/>
        <w:jc w:val="center"/>
        <w:rPr>
          <w:rFonts w:ascii="Book Antiqua" w:hAnsi="Book Antiqua" w:cs="Times New Roman"/>
          <w:b w:val="0"/>
          <w:bCs w:val="0"/>
          <w:color w:val="auto"/>
          <w:sz w:val="22"/>
          <w:szCs w:val="22"/>
        </w:rPr>
      </w:pPr>
      <w:r>
        <w:rPr>
          <w:rFonts w:ascii="Book Antiqua" w:hAnsi="Book Antiqua" w:cs="Times New Roman"/>
          <w:color w:val="auto"/>
          <w:sz w:val="22"/>
          <w:szCs w:val="22"/>
        </w:rPr>
        <w:lastRenderedPageBreak/>
        <w:t>Tabela 1</w:t>
      </w:r>
      <w:r>
        <w:rPr>
          <w:rFonts w:ascii="Book Antiqua" w:hAnsi="Book Antiqua" w:cs="Times New Roman"/>
          <w:b w:val="0"/>
          <w:bCs w:val="0"/>
          <w:color w:val="auto"/>
          <w:sz w:val="22"/>
          <w:szCs w:val="22"/>
        </w:rPr>
        <w:t>. Površine (ha) pod vinogradima u svijetu (OIV report, 2023)</w:t>
      </w:r>
    </w:p>
    <w:tbl>
      <w:tblPr>
        <w:tblStyle w:val="TableGrid"/>
        <w:tblW w:w="9266" w:type="dxa"/>
        <w:tblLook w:val="04A0" w:firstRow="1" w:lastRow="0" w:firstColumn="1" w:lastColumn="0" w:noHBand="0" w:noVBand="1"/>
      </w:tblPr>
      <w:tblGrid>
        <w:gridCol w:w="1269"/>
        <w:gridCol w:w="888"/>
        <w:gridCol w:w="887"/>
        <w:gridCol w:w="887"/>
        <w:gridCol w:w="887"/>
        <w:gridCol w:w="887"/>
        <w:gridCol w:w="887"/>
        <w:gridCol w:w="893"/>
        <w:gridCol w:w="888"/>
        <w:gridCol w:w="893"/>
      </w:tblGrid>
      <w:tr w:rsidR="003801E8" w14:paraId="49AEF984" w14:textId="77777777">
        <w:trPr>
          <w:trHeight w:val="57"/>
        </w:trPr>
        <w:tc>
          <w:tcPr>
            <w:tcW w:w="1269" w:type="dxa"/>
            <w:tcBorders>
              <w:left w:val="nil"/>
              <w:bottom w:val="single" w:sz="4" w:space="0" w:color="000000" w:themeColor="text1"/>
              <w:right w:val="nil"/>
            </w:tcBorders>
          </w:tcPr>
          <w:p w14:paraId="72E9E1E1" w14:textId="77777777" w:rsidR="003801E8" w:rsidRDefault="00E44AAE">
            <w:pPr>
              <w:pStyle w:val="teza1"/>
              <w:spacing w:before="0" w:after="200"/>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Država</w:t>
            </w:r>
          </w:p>
        </w:tc>
        <w:tc>
          <w:tcPr>
            <w:tcW w:w="888" w:type="dxa"/>
            <w:tcBorders>
              <w:left w:val="nil"/>
              <w:right w:val="nil"/>
            </w:tcBorders>
          </w:tcPr>
          <w:p w14:paraId="118B5BB1" w14:textId="77777777" w:rsidR="003801E8" w:rsidRDefault="00E44AAE">
            <w:pPr>
              <w:pStyle w:val="teza1"/>
              <w:spacing w:before="0" w:after="200"/>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2014</w:t>
            </w:r>
          </w:p>
        </w:tc>
        <w:tc>
          <w:tcPr>
            <w:tcW w:w="887" w:type="dxa"/>
            <w:tcBorders>
              <w:left w:val="nil"/>
              <w:right w:val="nil"/>
            </w:tcBorders>
          </w:tcPr>
          <w:p w14:paraId="2A495EF5" w14:textId="77777777" w:rsidR="003801E8" w:rsidRDefault="00E44AAE">
            <w:pPr>
              <w:pStyle w:val="teza1"/>
              <w:spacing w:before="0" w:after="200"/>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2015</w:t>
            </w:r>
          </w:p>
        </w:tc>
        <w:tc>
          <w:tcPr>
            <w:tcW w:w="887" w:type="dxa"/>
            <w:tcBorders>
              <w:left w:val="nil"/>
              <w:right w:val="nil"/>
            </w:tcBorders>
          </w:tcPr>
          <w:p w14:paraId="5BCCA5AF" w14:textId="77777777" w:rsidR="003801E8" w:rsidRDefault="00E44AAE">
            <w:pPr>
              <w:pStyle w:val="teza1"/>
              <w:spacing w:before="0" w:after="200"/>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2016</w:t>
            </w:r>
          </w:p>
        </w:tc>
        <w:tc>
          <w:tcPr>
            <w:tcW w:w="887" w:type="dxa"/>
            <w:tcBorders>
              <w:left w:val="nil"/>
              <w:right w:val="nil"/>
            </w:tcBorders>
          </w:tcPr>
          <w:p w14:paraId="54FD0BC1" w14:textId="77777777" w:rsidR="003801E8" w:rsidRDefault="00E44AAE">
            <w:pPr>
              <w:pStyle w:val="teza1"/>
              <w:spacing w:before="0" w:after="200"/>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2017</w:t>
            </w:r>
          </w:p>
        </w:tc>
        <w:tc>
          <w:tcPr>
            <w:tcW w:w="887" w:type="dxa"/>
            <w:tcBorders>
              <w:left w:val="nil"/>
              <w:right w:val="nil"/>
            </w:tcBorders>
          </w:tcPr>
          <w:p w14:paraId="0AB8DB82" w14:textId="77777777" w:rsidR="003801E8" w:rsidRDefault="00E44AAE">
            <w:pPr>
              <w:pStyle w:val="teza1"/>
              <w:spacing w:before="0" w:after="200"/>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2018</w:t>
            </w:r>
          </w:p>
        </w:tc>
        <w:tc>
          <w:tcPr>
            <w:tcW w:w="887" w:type="dxa"/>
            <w:tcBorders>
              <w:left w:val="nil"/>
              <w:right w:val="nil"/>
            </w:tcBorders>
          </w:tcPr>
          <w:p w14:paraId="70C9CF62" w14:textId="77777777" w:rsidR="003801E8" w:rsidRDefault="00E44AAE">
            <w:pPr>
              <w:pStyle w:val="teza1"/>
              <w:spacing w:before="0" w:after="200"/>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2019</w:t>
            </w:r>
          </w:p>
        </w:tc>
        <w:tc>
          <w:tcPr>
            <w:tcW w:w="893" w:type="dxa"/>
            <w:tcBorders>
              <w:left w:val="nil"/>
              <w:right w:val="nil"/>
            </w:tcBorders>
          </w:tcPr>
          <w:p w14:paraId="0925D58C" w14:textId="77777777" w:rsidR="003801E8" w:rsidRDefault="00E44AAE">
            <w:pPr>
              <w:pStyle w:val="teza1"/>
              <w:spacing w:before="0" w:after="200"/>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2020</w:t>
            </w:r>
          </w:p>
        </w:tc>
        <w:tc>
          <w:tcPr>
            <w:tcW w:w="888" w:type="dxa"/>
            <w:tcBorders>
              <w:left w:val="nil"/>
              <w:right w:val="nil"/>
            </w:tcBorders>
          </w:tcPr>
          <w:p w14:paraId="0B7E018D" w14:textId="77777777" w:rsidR="003801E8" w:rsidRDefault="00E44AAE">
            <w:pPr>
              <w:pStyle w:val="teza1"/>
              <w:spacing w:before="0" w:after="200"/>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2021</w:t>
            </w:r>
          </w:p>
        </w:tc>
        <w:tc>
          <w:tcPr>
            <w:tcW w:w="893" w:type="dxa"/>
            <w:tcBorders>
              <w:left w:val="nil"/>
              <w:right w:val="nil"/>
            </w:tcBorders>
          </w:tcPr>
          <w:p w14:paraId="7C0E3FB5" w14:textId="77777777" w:rsidR="003801E8" w:rsidRDefault="00E44AAE">
            <w:pPr>
              <w:pStyle w:val="teza1"/>
              <w:spacing w:before="0" w:after="200"/>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2022</w:t>
            </w:r>
          </w:p>
        </w:tc>
      </w:tr>
      <w:tr w:rsidR="003801E8" w14:paraId="5151D2A9" w14:textId="77777777">
        <w:trPr>
          <w:trHeight w:val="191"/>
        </w:trPr>
        <w:tc>
          <w:tcPr>
            <w:tcW w:w="1269" w:type="dxa"/>
            <w:tcBorders>
              <w:left w:val="nil"/>
              <w:right w:val="nil"/>
            </w:tcBorders>
          </w:tcPr>
          <w:p w14:paraId="58A7130B"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Španija</w:t>
            </w:r>
          </w:p>
        </w:tc>
        <w:tc>
          <w:tcPr>
            <w:tcW w:w="888" w:type="dxa"/>
            <w:tcBorders>
              <w:left w:val="nil"/>
              <w:right w:val="nil"/>
            </w:tcBorders>
          </w:tcPr>
          <w:p w14:paraId="1C9281E3"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975</w:t>
            </w:r>
          </w:p>
        </w:tc>
        <w:tc>
          <w:tcPr>
            <w:tcW w:w="887" w:type="dxa"/>
            <w:tcBorders>
              <w:left w:val="nil"/>
              <w:right w:val="nil"/>
            </w:tcBorders>
          </w:tcPr>
          <w:p w14:paraId="3B8DA2BA"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974</w:t>
            </w:r>
          </w:p>
        </w:tc>
        <w:tc>
          <w:tcPr>
            <w:tcW w:w="887" w:type="dxa"/>
            <w:tcBorders>
              <w:left w:val="nil"/>
              <w:right w:val="nil"/>
            </w:tcBorders>
          </w:tcPr>
          <w:p w14:paraId="43A89B6D"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975</w:t>
            </w:r>
          </w:p>
        </w:tc>
        <w:tc>
          <w:tcPr>
            <w:tcW w:w="887" w:type="dxa"/>
            <w:tcBorders>
              <w:left w:val="nil"/>
              <w:right w:val="nil"/>
            </w:tcBorders>
          </w:tcPr>
          <w:p w14:paraId="365F86FB"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968</w:t>
            </w:r>
          </w:p>
        </w:tc>
        <w:tc>
          <w:tcPr>
            <w:tcW w:w="887" w:type="dxa"/>
            <w:tcBorders>
              <w:left w:val="nil"/>
              <w:right w:val="nil"/>
            </w:tcBorders>
          </w:tcPr>
          <w:p w14:paraId="09CA119F"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972</w:t>
            </w:r>
          </w:p>
        </w:tc>
        <w:tc>
          <w:tcPr>
            <w:tcW w:w="887" w:type="dxa"/>
            <w:tcBorders>
              <w:left w:val="nil"/>
              <w:right w:val="nil"/>
            </w:tcBorders>
          </w:tcPr>
          <w:p w14:paraId="2812AA59"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966</w:t>
            </w:r>
          </w:p>
        </w:tc>
        <w:tc>
          <w:tcPr>
            <w:tcW w:w="893" w:type="dxa"/>
            <w:tcBorders>
              <w:left w:val="nil"/>
              <w:right w:val="nil"/>
            </w:tcBorders>
          </w:tcPr>
          <w:p w14:paraId="6F1DEAE7"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961</w:t>
            </w:r>
          </w:p>
        </w:tc>
        <w:tc>
          <w:tcPr>
            <w:tcW w:w="888" w:type="dxa"/>
            <w:tcBorders>
              <w:left w:val="nil"/>
              <w:right w:val="nil"/>
            </w:tcBorders>
          </w:tcPr>
          <w:p w14:paraId="69C98033"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963</w:t>
            </w:r>
          </w:p>
        </w:tc>
        <w:tc>
          <w:tcPr>
            <w:tcW w:w="893" w:type="dxa"/>
            <w:tcBorders>
              <w:left w:val="nil"/>
              <w:right w:val="nil"/>
            </w:tcBorders>
          </w:tcPr>
          <w:p w14:paraId="72480E19"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955</w:t>
            </w:r>
          </w:p>
        </w:tc>
      </w:tr>
      <w:tr w:rsidR="003801E8" w14:paraId="6645A3F2" w14:textId="77777777">
        <w:trPr>
          <w:trHeight w:val="174"/>
        </w:trPr>
        <w:tc>
          <w:tcPr>
            <w:tcW w:w="1269" w:type="dxa"/>
            <w:tcBorders>
              <w:left w:val="nil"/>
              <w:right w:val="nil"/>
            </w:tcBorders>
          </w:tcPr>
          <w:p w14:paraId="4B0B87B8"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Francuska</w:t>
            </w:r>
          </w:p>
        </w:tc>
        <w:tc>
          <w:tcPr>
            <w:tcW w:w="888" w:type="dxa"/>
            <w:tcBorders>
              <w:left w:val="nil"/>
              <w:right w:val="nil"/>
            </w:tcBorders>
          </w:tcPr>
          <w:p w14:paraId="14626E05"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789</w:t>
            </w:r>
          </w:p>
        </w:tc>
        <w:tc>
          <w:tcPr>
            <w:tcW w:w="887" w:type="dxa"/>
            <w:tcBorders>
              <w:left w:val="nil"/>
              <w:right w:val="nil"/>
            </w:tcBorders>
          </w:tcPr>
          <w:p w14:paraId="1F2376EE"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785</w:t>
            </w:r>
          </w:p>
        </w:tc>
        <w:tc>
          <w:tcPr>
            <w:tcW w:w="887" w:type="dxa"/>
            <w:tcBorders>
              <w:left w:val="nil"/>
              <w:right w:val="nil"/>
            </w:tcBorders>
          </w:tcPr>
          <w:p w14:paraId="2E965C62"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786</w:t>
            </w:r>
          </w:p>
        </w:tc>
        <w:tc>
          <w:tcPr>
            <w:tcW w:w="887" w:type="dxa"/>
            <w:tcBorders>
              <w:left w:val="nil"/>
              <w:right w:val="nil"/>
            </w:tcBorders>
          </w:tcPr>
          <w:p w14:paraId="5962DFDC"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788</w:t>
            </w:r>
          </w:p>
        </w:tc>
        <w:tc>
          <w:tcPr>
            <w:tcW w:w="887" w:type="dxa"/>
            <w:tcBorders>
              <w:left w:val="nil"/>
              <w:right w:val="nil"/>
            </w:tcBorders>
          </w:tcPr>
          <w:p w14:paraId="4132E6F8"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792</w:t>
            </w:r>
          </w:p>
        </w:tc>
        <w:tc>
          <w:tcPr>
            <w:tcW w:w="887" w:type="dxa"/>
            <w:tcBorders>
              <w:left w:val="nil"/>
              <w:right w:val="nil"/>
            </w:tcBorders>
          </w:tcPr>
          <w:p w14:paraId="58D38F16"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794</w:t>
            </w:r>
          </w:p>
        </w:tc>
        <w:tc>
          <w:tcPr>
            <w:tcW w:w="893" w:type="dxa"/>
            <w:tcBorders>
              <w:left w:val="nil"/>
              <w:right w:val="nil"/>
            </w:tcBorders>
          </w:tcPr>
          <w:p w14:paraId="47251469"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799</w:t>
            </w:r>
          </w:p>
        </w:tc>
        <w:tc>
          <w:tcPr>
            <w:tcW w:w="888" w:type="dxa"/>
            <w:tcBorders>
              <w:left w:val="nil"/>
              <w:right w:val="nil"/>
            </w:tcBorders>
          </w:tcPr>
          <w:p w14:paraId="748CDCAE"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805</w:t>
            </w:r>
          </w:p>
        </w:tc>
        <w:tc>
          <w:tcPr>
            <w:tcW w:w="893" w:type="dxa"/>
            <w:tcBorders>
              <w:left w:val="nil"/>
              <w:right w:val="nil"/>
            </w:tcBorders>
          </w:tcPr>
          <w:p w14:paraId="5AFAE590"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812</w:t>
            </w:r>
          </w:p>
        </w:tc>
      </w:tr>
      <w:tr w:rsidR="003801E8" w14:paraId="13B7231C" w14:textId="77777777">
        <w:trPr>
          <w:trHeight w:val="379"/>
        </w:trPr>
        <w:tc>
          <w:tcPr>
            <w:tcW w:w="1269" w:type="dxa"/>
            <w:tcBorders>
              <w:left w:val="nil"/>
              <w:right w:val="nil"/>
            </w:tcBorders>
          </w:tcPr>
          <w:p w14:paraId="18AF6491" w14:textId="77777777" w:rsidR="003801E8" w:rsidRDefault="00E44AAE">
            <w:pPr>
              <w:pStyle w:val="teza1"/>
              <w:spacing w:before="0" w:after="200" w:line="240" w:lineRule="auto"/>
              <w:jc w:val="center"/>
              <w:rPr>
                <w:rFonts w:ascii="Book Antiqua" w:hAnsi="Book Antiqua" w:cs="Times New Roman"/>
                <w:color w:val="auto"/>
                <w:sz w:val="18"/>
                <w:szCs w:val="18"/>
                <w:lang w:val="en-US"/>
              </w:rPr>
            </w:pPr>
            <w:r>
              <w:rPr>
                <w:rFonts w:ascii="Book Antiqua" w:hAnsi="Book Antiqua" w:cs="Times New Roman"/>
                <w:color w:val="auto"/>
                <w:sz w:val="18"/>
                <w:szCs w:val="18"/>
                <w:lang w:val="en-US"/>
              </w:rPr>
              <w:t>Kina</w:t>
            </w:r>
          </w:p>
        </w:tc>
        <w:tc>
          <w:tcPr>
            <w:tcW w:w="888" w:type="dxa"/>
            <w:tcBorders>
              <w:left w:val="nil"/>
              <w:right w:val="nil"/>
            </w:tcBorders>
          </w:tcPr>
          <w:p w14:paraId="1BB1C680"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741</w:t>
            </w:r>
          </w:p>
        </w:tc>
        <w:tc>
          <w:tcPr>
            <w:tcW w:w="887" w:type="dxa"/>
            <w:tcBorders>
              <w:left w:val="nil"/>
              <w:right w:val="nil"/>
            </w:tcBorders>
          </w:tcPr>
          <w:p w14:paraId="0E18DC58"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770</w:t>
            </w:r>
          </w:p>
        </w:tc>
        <w:tc>
          <w:tcPr>
            <w:tcW w:w="887" w:type="dxa"/>
            <w:tcBorders>
              <w:left w:val="nil"/>
              <w:right w:val="nil"/>
            </w:tcBorders>
          </w:tcPr>
          <w:p w14:paraId="6AC9C627"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770</w:t>
            </w:r>
          </w:p>
        </w:tc>
        <w:tc>
          <w:tcPr>
            <w:tcW w:w="887" w:type="dxa"/>
            <w:tcBorders>
              <w:left w:val="nil"/>
              <w:right w:val="nil"/>
            </w:tcBorders>
          </w:tcPr>
          <w:p w14:paraId="59C3AA1F"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760</w:t>
            </w:r>
          </w:p>
        </w:tc>
        <w:tc>
          <w:tcPr>
            <w:tcW w:w="887" w:type="dxa"/>
            <w:tcBorders>
              <w:left w:val="nil"/>
              <w:right w:val="nil"/>
            </w:tcBorders>
          </w:tcPr>
          <w:p w14:paraId="42624D17"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779</w:t>
            </w:r>
          </w:p>
        </w:tc>
        <w:tc>
          <w:tcPr>
            <w:tcW w:w="887" w:type="dxa"/>
            <w:tcBorders>
              <w:left w:val="nil"/>
              <w:right w:val="nil"/>
            </w:tcBorders>
          </w:tcPr>
          <w:p w14:paraId="50343F6D"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781</w:t>
            </w:r>
          </w:p>
        </w:tc>
        <w:tc>
          <w:tcPr>
            <w:tcW w:w="893" w:type="dxa"/>
            <w:tcBorders>
              <w:left w:val="nil"/>
              <w:right w:val="nil"/>
            </w:tcBorders>
          </w:tcPr>
          <w:p w14:paraId="7F720ACA"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783</w:t>
            </w:r>
          </w:p>
        </w:tc>
        <w:tc>
          <w:tcPr>
            <w:tcW w:w="888" w:type="dxa"/>
            <w:tcBorders>
              <w:left w:val="nil"/>
              <w:right w:val="nil"/>
            </w:tcBorders>
          </w:tcPr>
          <w:p w14:paraId="5514F18D"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785</w:t>
            </w:r>
          </w:p>
        </w:tc>
        <w:tc>
          <w:tcPr>
            <w:tcW w:w="893" w:type="dxa"/>
            <w:tcBorders>
              <w:left w:val="nil"/>
              <w:right w:val="nil"/>
            </w:tcBorders>
          </w:tcPr>
          <w:p w14:paraId="1F8385F7"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785</w:t>
            </w:r>
          </w:p>
        </w:tc>
      </w:tr>
      <w:tr w:rsidR="003801E8" w14:paraId="0B986AEA" w14:textId="77777777">
        <w:trPr>
          <w:trHeight w:val="356"/>
        </w:trPr>
        <w:tc>
          <w:tcPr>
            <w:tcW w:w="1269" w:type="dxa"/>
            <w:tcBorders>
              <w:left w:val="nil"/>
              <w:right w:val="nil"/>
            </w:tcBorders>
          </w:tcPr>
          <w:p w14:paraId="73CA9C7F"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Italija</w:t>
            </w:r>
          </w:p>
        </w:tc>
        <w:tc>
          <w:tcPr>
            <w:tcW w:w="888" w:type="dxa"/>
            <w:tcBorders>
              <w:left w:val="nil"/>
              <w:right w:val="nil"/>
            </w:tcBorders>
          </w:tcPr>
          <w:p w14:paraId="3EE29E3C"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690</w:t>
            </w:r>
          </w:p>
        </w:tc>
        <w:tc>
          <w:tcPr>
            <w:tcW w:w="887" w:type="dxa"/>
            <w:tcBorders>
              <w:left w:val="nil"/>
              <w:right w:val="nil"/>
            </w:tcBorders>
          </w:tcPr>
          <w:p w14:paraId="16DD456E"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685</w:t>
            </w:r>
          </w:p>
        </w:tc>
        <w:tc>
          <w:tcPr>
            <w:tcW w:w="887" w:type="dxa"/>
            <w:tcBorders>
              <w:left w:val="nil"/>
              <w:right w:val="nil"/>
            </w:tcBorders>
          </w:tcPr>
          <w:p w14:paraId="41BD5A70"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693</w:t>
            </w:r>
          </w:p>
        </w:tc>
        <w:tc>
          <w:tcPr>
            <w:tcW w:w="887" w:type="dxa"/>
            <w:tcBorders>
              <w:left w:val="nil"/>
              <w:right w:val="nil"/>
            </w:tcBorders>
          </w:tcPr>
          <w:p w14:paraId="18434D7C"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699</w:t>
            </w:r>
          </w:p>
        </w:tc>
        <w:tc>
          <w:tcPr>
            <w:tcW w:w="887" w:type="dxa"/>
            <w:tcBorders>
              <w:left w:val="nil"/>
              <w:right w:val="nil"/>
            </w:tcBorders>
          </w:tcPr>
          <w:p w14:paraId="69005CDF"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705</w:t>
            </w:r>
          </w:p>
        </w:tc>
        <w:tc>
          <w:tcPr>
            <w:tcW w:w="887" w:type="dxa"/>
            <w:tcBorders>
              <w:left w:val="nil"/>
              <w:right w:val="nil"/>
            </w:tcBorders>
          </w:tcPr>
          <w:p w14:paraId="4DF7B426"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714</w:t>
            </w:r>
          </w:p>
        </w:tc>
        <w:tc>
          <w:tcPr>
            <w:tcW w:w="893" w:type="dxa"/>
            <w:tcBorders>
              <w:left w:val="nil"/>
              <w:right w:val="nil"/>
            </w:tcBorders>
          </w:tcPr>
          <w:p w14:paraId="32C6E72E"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719</w:t>
            </w:r>
          </w:p>
        </w:tc>
        <w:tc>
          <w:tcPr>
            <w:tcW w:w="888" w:type="dxa"/>
            <w:tcBorders>
              <w:left w:val="nil"/>
              <w:right w:val="nil"/>
            </w:tcBorders>
          </w:tcPr>
          <w:p w14:paraId="139F8D3B"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718</w:t>
            </w:r>
          </w:p>
        </w:tc>
        <w:tc>
          <w:tcPr>
            <w:tcW w:w="893" w:type="dxa"/>
            <w:tcBorders>
              <w:left w:val="nil"/>
              <w:right w:val="nil"/>
            </w:tcBorders>
          </w:tcPr>
          <w:p w14:paraId="6AF9C8C7"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718</w:t>
            </w:r>
          </w:p>
        </w:tc>
      </w:tr>
      <w:tr w:rsidR="003801E8" w14:paraId="7CB5EB18" w14:textId="77777777">
        <w:trPr>
          <w:trHeight w:val="345"/>
        </w:trPr>
        <w:tc>
          <w:tcPr>
            <w:tcW w:w="1269" w:type="dxa"/>
            <w:tcBorders>
              <w:left w:val="nil"/>
              <w:right w:val="nil"/>
            </w:tcBorders>
          </w:tcPr>
          <w:p w14:paraId="714A46C8"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Turska</w:t>
            </w:r>
          </w:p>
        </w:tc>
        <w:tc>
          <w:tcPr>
            <w:tcW w:w="888" w:type="dxa"/>
            <w:tcBorders>
              <w:left w:val="nil"/>
              <w:right w:val="nil"/>
            </w:tcBorders>
          </w:tcPr>
          <w:p w14:paraId="498A5433"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502</w:t>
            </w:r>
          </w:p>
        </w:tc>
        <w:tc>
          <w:tcPr>
            <w:tcW w:w="887" w:type="dxa"/>
            <w:tcBorders>
              <w:left w:val="nil"/>
              <w:right w:val="nil"/>
            </w:tcBorders>
          </w:tcPr>
          <w:p w14:paraId="5ACD17F2"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497</w:t>
            </w:r>
          </w:p>
        </w:tc>
        <w:tc>
          <w:tcPr>
            <w:tcW w:w="887" w:type="dxa"/>
            <w:tcBorders>
              <w:left w:val="nil"/>
              <w:right w:val="nil"/>
            </w:tcBorders>
          </w:tcPr>
          <w:p w14:paraId="091C7C94"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468</w:t>
            </w:r>
          </w:p>
        </w:tc>
        <w:tc>
          <w:tcPr>
            <w:tcW w:w="887" w:type="dxa"/>
            <w:tcBorders>
              <w:left w:val="nil"/>
              <w:right w:val="nil"/>
            </w:tcBorders>
          </w:tcPr>
          <w:p w14:paraId="24E3EF31"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448</w:t>
            </w:r>
          </w:p>
        </w:tc>
        <w:tc>
          <w:tcPr>
            <w:tcW w:w="887" w:type="dxa"/>
            <w:tcBorders>
              <w:left w:val="nil"/>
              <w:right w:val="nil"/>
            </w:tcBorders>
          </w:tcPr>
          <w:p w14:paraId="575BF1D5"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448</w:t>
            </w:r>
          </w:p>
        </w:tc>
        <w:tc>
          <w:tcPr>
            <w:tcW w:w="887" w:type="dxa"/>
            <w:tcBorders>
              <w:left w:val="nil"/>
              <w:right w:val="nil"/>
            </w:tcBorders>
          </w:tcPr>
          <w:p w14:paraId="7D5959B5"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436</w:t>
            </w:r>
          </w:p>
        </w:tc>
        <w:tc>
          <w:tcPr>
            <w:tcW w:w="893" w:type="dxa"/>
            <w:tcBorders>
              <w:left w:val="nil"/>
              <w:right w:val="nil"/>
            </w:tcBorders>
          </w:tcPr>
          <w:p w14:paraId="67D37315"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431</w:t>
            </w:r>
          </w:p>
        </w:tc>
        <w:tc>
          <w:tcPr>
            <w:tcW w:w="888" w:type="dxa"/>
            <w:tcBorders>
              <w:left w:val="nil"/>
              <w:right w:val="nil"/>
            </w:tcBorders>
          </w:tcPr>
          <w:p w14:paraId="35F2D00F"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419</w:t>
            </w:r>
          </w:p>
        </w:tc>
        <w:tc>
          <w:tcPr>
            <w:tcW w:w="893" w:type="dxa"/>
            <w:tcBorders>
              <w:left w:val="nil"/>
              <w:right w:val="nil"/>
            </w:tcBorders>
          </w:tcPr>
          <w:p w14:paraId="3F24AAB6"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410</w:t>
            </w:r>
          </w:p>
        </w:tc>
      </w:tr>
      <w:tr w:rsidR="003801E8" w14:paraId="4A477B34" w14:textId="77777777">
        <w:trPr>
          <w:trHeight w:val="345"/>
        </w:trPr>
        <w:tc>
          <w:tcPr>
            <w:tcW w:w="1269" w:type="dxa"/>
            <w:tcBorders>
              <w:left w:val="nil"/>
              <w:right w:val="nil"/>
            </w:tcBorders>
          </w:tcPr>
          <w:p w14:paraId="6A08F5E5"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SAD</w:t>
            </w:r>
          </w:p>
        </w:tc>
        <w:tc>
          <w:tcPr>
            <w:tcW w:w="888" w:type="dxa"/>
            <w:tcBorders>
              <w:left w:val="nil"/>
              <w:right w:val="nil"/>
            </w:tcBorders>
          </w:tcPr>
          <w:p w14:paraId="74CE4DE5"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450</w:t>
            </w:r>
          </w:p>
        </w:tc>
        <w:tc>
          <w:tcPr>
            <w:tcW w:w="887" w:type="dxa"/>
            <w:tcBorders>
              <w:left w:val="nil"/>
              <w:right w:val="nil"/>
            </w:tcBorders>
          </w:tcPr>
          <w:p w14:paraId="298F4620"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446</w:t>
            </w:r>
          </w:p>
        </w:tc>
        <w:tc>
          <w:tcPr>
            <w:tcW w:w="887" w:type="dxa"/>
            <w:tcBorders>
              <w:left w:val="nil"/>
              <w:right w:val="nil"/>
            </w:tcBorders>
          </w:tcPr>
          <w:p w14:paraId="7881FDE2"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439</w:t>
            </w:r>
          </w:p>
        </w:tc>
        <w:tc>
          <w:tcPr>
            <w:tcW w:w="887" w:type="dxa"/>
            <w:tcBorders>
              <w:left w:val="nil"/>
              <w:right w:val="nil"/>
            </w:tcBorders>
          </w:tcPr>
          <w:p w14:paraId="2DF5B326"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434</w:t>
            </w:r>
          </w:p>
        </w:tc>
        <w:tc>
          <w:tcPr>
            <w:tcW w:w="887" w:type="dxa"/>
            <w:tcBorders>
              <w:left w:val="nil"/>
              <w:right w:val="nil"/>
            </w:tcBorders>
          </w:tcPr>
          <w:p w14:paraId="45E68FF2"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408</w:t>
            </w:r>
          </w:p>
        </w:tc>
        <w:tc>
          <w:tcPr>
            <w:tcW w:w="887" w:type="dxa"/>
            <w:tcBorders>
              <w:left w:val="nil"/>
              <w:right w:val="nil"/>
            </w:tcBorders>
          </w:tcPr>
          <w:p w14:paraId="392D1A45"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407</w:t>
            </w:r>
          </w:p>
        </w:tc>
        <w:tc>
          <w:tcPr>
            <w:tcW w:w="893" w:type="dxa"/>
            <w:tcBorders>
              <w:left w:val="nil"/>
              <w:right w:val="nil"/>
            </w:tcBorders>
          </w:tcPr>
          <w:p w14:paraId="12559D5D"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402</w:t>
            </w:r>
          </w:p>
        </w:tc>
        <w:tc>
          <w:tcPr>
            <w:tcW w:w="888" w:type="dxa"/>
            <w:tcBorders>
              <w:left w:val="nil"/>
              <w:right w:val="nil"/>
            </w:tcBorders>
          </w:tcPr>
          <w:p w14:paraId="7982B985"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393</w:t>
            </w:r>
          </w:p>
        </w:tc>
        <w:tc>
          <w:tcPr>
            <w:tcW w:w="893" w:type="dxa"/>
            <w:tcBorders>
              <w:left w:val="nil"/>
              <w:right w:val="nil"/>
            </w:tcBorders>
          </w:tcPr>
          <w:p w14:paraId="2714211F"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390</w:t>
            </w:r>
          </w:p>
        </w:tc>
      </w:tr>
      <w:tr w:rsidR="003801E8" w14:paraId="5C5651BB" w14:textId="77777777">
        <w:trPr>
          <w:trHeight w:val="484"/>
        </w:trPr>
        <w:tc>
          <w:tcPr>
            <w:tcW w:w="1269" w:type="dxa"/>
            <w:tcBorders>
              <w:left w:val="nil"/>
              <w:right w:val="nil"/>
            </w:tcBorders>
          </w:tcPr>
          <w:p w14:paraId="334E44AC"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Argentina</w:t>
            </w:r>
          </w:p>
        </w:tc>
        <w:tc>
          <w:tcPr>
            <w:tcW w:w="888" w:type="dxa"/>
            <w:tcBorders>
              <w:left w:val="nil"/>
              <w:right w:val="nil"/>
            </w:tcBorders>
          </w:tcPr>
          <w:p w14:paraId="5CAD3899"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228</w:t>
            </w:r>
          </w:p>
        </w:tc>
        <w:tc>
          <w:tcPr>
            <w:tcW w:w="887" w:type="dxa"/>
            <w:tcBorders>
              <w:left w:val="nil"/>
              <w:right w:val="nil"/>
            </w:tcBorders>
          </w:tcPr>
          <w:p w14:paraId="7C6135AC"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225</w:t>
            </w:r>
          </w:p>
        </w:tc>
        <w:tc>
          <w:tcPr>
            <w:tcW w:w="887" w:type="dxa"/>
            <w:tcBorders>
              <w:left w:val="nil"/>
              <w:right w:val="nil"/>
            </w:tcBorders>
          </w:tcPr>
          <w:p w14:paraId="3854FD7F"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224</w:t>
            </w:r>
          </w:p>
        </w:tc>
        <w:tc>
          <w:tcPr>
            <w:tcW w:w="887" w:type="dxa"/>
            <w:tcBorders>
              <w:left w:val="nil"/>
              <w:right w:val="nil"/>
            </w:tcBorders>
          </w:tcPr>
          <w:p w14:paraId="2F8DCE46"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222</w:t>
            </w:r>
          </w:p>
        </w:tc>
        <w:tc>
          <w:tcPr>
            <w:tcW w:w="887" w:type="dxa"/>
            <w:tcBorders>
              <w:left w:val="nil"/>
              <w:right w:val="nil"/>
            </w:tcBorders>
          </w:tcPr>
          <w:p w14:paraId="6E2F24CD"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218</w:t>
            </w:r>
          </w:p>
        </w:tc>
        <w:tc>
          <w:tcPr>
            <w:tcW w:w="887" w:type="dxa"/>
            <w:tcBorders>
              <w:left w:val="nil"/>
              <w:right w:val="nil"/>
            </w:tcBorders>
          </w:tcPr>
          <w:p w14:paraId="21A3B05B"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215</w:t>
            </w:r>
          </w:p>
        </w:tc>
        <w:tc>
          <w:tcPr>
            <w:tcW w:w="893" w:type="dxa"/>
            <w:tcBorders>
              <w:left w:val="nil"/>
              <w:right w:val="nil"/>
            </w:tcBorders>
          </w:tcPr>
          <w:p w14:paraId="1FB14B7B"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215</w:t>
            </w:r>
          </w:p>
        </w:tc>
        <w:tc>
          <w:tcPr>
            <w:tcW w:w="888" w:type="dxa"/>
            <w:tcBorders>
              <w:left w:val="nil"/>
              <w:right w:val="nil"/>
            </w:tcBorders>
          </w:tcPr>
          <w:p w14:paraId="6FA97EE7"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211</w:t>
            </w:r>
          </w:p>
        </w:tc>
        <w:tc>
          <w:tcPr>
            <w:tcW w:w="893" w:type="dxa"/>
            <w:tcBorders>
              <w:left w:val="nil"/>
              <w:right w:val="nil"/>
            </w:tcBorders>
          </w:tcPr>
          <w:p w14:paraId="54766039"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207</w:t>
            </w:r>
          </w:p>
        </w:tc>
      </w:tr>
      <w:tr w:rsidR="003801E8" w14:paraId="3CC92D39" w14:textId="77777777">
        <w:trPr>
          <w:trHeight w:val="484"/>
        </w:trPr>
        <w:tc>
          <w:tcPr>
            <w:tcW w:w="1269" w:type="dxa"/>
            <w:tcBorders>
              <w:left w:val="nil"/>
              <w:right w:val="nil"/>
            </w:tcBorders>
          </w:tcPr>
          <w:p w14:paraId="768A69C4"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Čile</w:t>
            </w:r>
          </w:p>
        </w:tc>
        <w:tc>
          <w:tcPr>
            <w:tcW w:w="888" w:type="dxa"/>
            <w:tcBorders>
              <w:left w:val="nil"/>
              <w:right w:val="nil"/>
            </w:tcBorders>
          </w:tcPr>
          <w:p w14:paraId="3708878E"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213</w:t>
            </w:r>
          </w:p>
        </w:tc>
        <w:tc>
          <w:tcPr>
            <w:tcW w:w="887" w:type="dxa"/>
            <w:tcBorders>
              <w:left w:val="nil"/>
              <w:right w:val="nil"/>
            </w:tcBorders>
          </w:tcPr>
          <w:p w14:paraId="5D451618"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214</w:t>
            </w:r>
          </w:p>
        </w:tc>
        <w:tc>
          <w:tcPr>
            <w:tcW w:w="887" w:type="dxa"/>
            <w:tcBorders>
              <w:left w:val="nil"/>
              <w:right w:val="nil"/>
            </w:tcBorders>
          </w:tcPr>
          <w:p w14:paraId="3E6D89CF"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209</w:t>
            </w:r>
          </w:p>
        </w:tc>
        <w:tc>
          <w:tcPr>
            <w:tcW w:w="887" w:type="dxa"/>
            <w:tcBorders>
              <w:left w:val="nil"/>
              <w:right w:val="nil"/>
            </w:tcBorders>
          </w:tcPr>
          <w:p w14:paraId="0B4CA40B"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207</w:t>
            </w:r>
          </w:p>
        </w:tc>
        <w:tc>
          <w:tcPr>
            <w:tcW w:w="887" w:type="dxa"/>
            <w:tcBorders>
              <w:left w:val="nil"/>
              <w:right w:val="nil"/>
            </w:tcBorders>
          </w:tcPr>
          <w:p w14:paraId="163DE54F"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208</w:t>
            </w:r>
          </w:p>
        </w:tc>
        <w:tc>
          <w:tcPr>
            <w:tcW w:w="887" w:type="dxa"/>
            <w:tcBorders>
              <w:left w:val="nil"/>
              <w:right w:val="nil"/>
            </w:tcBorders>
          </w:tcPr>
          <w:p w14:paraId="5F92BAB9"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210</w:t>
            </w:r>
          </w:p>
        </w:tc>
        <w:tc>
          <w:tcPr>
            <w:tcW w:w="893" w:type="dxa"/>
            <w:tcBorders>
              <w:left w:val="nil"/>
              <w:right w:val="nil"/>
            </w:tcBorders>
          </w:tcPr>
          <w:p w14:paraId="1B123FCC"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207</w:t>
            </w:r>
          </w:p>
        </w:tc>
        <w:tc>
          <w:tcPr>
            <w:tcW w:w="888" w:type="dxa"/>
            <w:tcBorders>
              <w:left w:val="nil"/>
              <w:right w:val="nil"/>
            </w:tcBorders>
          </w:tcPr>
          <w:p w14:paraId="262640DD"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196</w:t>
            </w:r>
          </w:p>
        </w:tc>
        <w:tc>
          <w:tcPr>
            <w:tcW w:w="893" w:type="dxa"/>
            <w:tcBorders>
              <w:left w:val="nil"/>
              <w:right w:val="nil"/>
            </w:tcBorders>
          </w:tcPr>
          <w:p w14:paraId="24932A44"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196</w:t>
            </w:r>
          </w:p>
        </w:tc>
      </w:tr>
      <w:tr w:rsidR="003801E8" w14:paraId="62A887AC" w14:textId="77777777">
        <w:trPr>
          <w:trHeight w:val="484"/>
        </w:trPr>
        <w:tc>
          <w:tcPr>
            <w:tcW w:w="1269" w:type="dxa"/>
            <w:tcBorders>
              <w:left w:val="nil"/>
              <w:right w:val="nil"/>
            </w:tcBorders>
          </w:tcPr>
          <w:p w14:paraId="0CD8B83B"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Portugal</w:t>
            </w:r>
          </w:p>
        </w:tc>
        <w:tc>
          <w:tcPr>
            <w:tcW w:w="888" w:type="dxa"/>
            <w:tcBorders>
              <w:left w:val="nil"/>
              <w:right w:val="nil"/>
            </w:tcBorders>
          </w:tcPr>
          <w:p w14:paraId="71205EB6"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224</w:t>
            </w:r>
          </w:p>
        </w:tc>
        <w:tc>
          <w:tcPr>
            <w:tcW w:w="887" w:type="dxa"/>
            <w:tcBorders>
              <w:left w:val="nil"/>
              <w:right w:val="nil"/>
            </w:tcBorders>
          </w:tcPr>
          <w:p w14:paraId="01DE5D90"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204</w:t>
            </w:r>
          </w:p>
        </w:tc>
        <w:tc>
          <w:tcPr>
            <w:tcW w:w="887" w:type="dxa"/>
            <w:tcBorders>
              <w:left w:val="nil"/>
              <w:right w:val="nil"/>
            </w:tcBorders>
          </w:tcPr>
          <w:p w14:paraId="4AB81116"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195</w:t>
            </w:r>
          </w:p>
        </w:tc>
        <w:tc>
          <w:tcPr>
            <w:tcW w:w="887" w:type="dxa"/>
            <w:tcBorders>
              <w:left w:val="nil"/>
              <w:right w:val="nil"/>
            </w:tcBorders>
          </w:tcPr>
          <w:p w14:paraId="1274668B"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194</w:t>
            </w:r>
          </w:p>
        </w:tc>
        <w:tc>
          <w:tcPr>
            <w:tcW w:w="887" w:type="dxa"/>
            <w:tcBorders>
              <w:left w:val="nil"/>
              <w:right w:val="nil"/>
            </w:tcBorders>
          </w:tcPr>
          <w:p w14:paraId="168E9C0B"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192</w:t>
            </w:r>
          </w:p>
        </w:tc>
        <w:tc>
          <w:tcPr>
            <w:tcW w:w="887" w:type="dxa"/>
            <w:tcBorders>
              <w:left w:val="nil"/>
              <w:right w:val="nil"/>
            </w:tcBorders>
          </w:tcPr>
          <w:p w14:paraId="780518A6"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195</w:t>
            </w:r>
          </w:p>
        </w:tc>
        <w:tc>
          <w:tcPr>
            <w:tcW w:w="893" w:type="dxa"/>
            <w:tcBorders>
              <w:left w:val="nil"/>
              <w:right w:val="nil"/>
            </w:tcBorders>
          </w:tcPr>
          <w:p w14:paraId="768FA385"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195</w:t>
            </w:r>
          </w:p>
        </w:tc>
        <w:tc>
          <w:tcPr>
            <w:tcW w:w="888" w:type="dxa"/>
            <w:tcBorders>
              <w:left w:val="nil"/>
              <w:right w:val="nil"/>
            </w:tcBorders>
          </w:tcPr>
          <w:p w14:paraId="7F811209"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194</w:t>
            </w:r>
          </w:p>
        </w:tc>
        <w:tc>
          <w:tcPr>
            <w:tcW w:w="893" w:type="dxa"/>
            <w:tcBorders>
              <w:left w:val="nil"/>
              <w:right w:val="nil"/>
            </w:tcBorders>
          </w:tcPr>
          <w:p w14:paraId="159DD2B1"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193</w:t>
            </w:r>
          </w:p>
        </w:tc>
      </w:tr>
      <w:tr w:rsidR="003801E8" w14:paraId="1B1D9E90" w14:textId="77777777">
        <w:trPr>
          <w:trHeight w:val="484"/>
        </w:trPr>
        <w:tc>
          <w:tcPr>
            <w:tcW w:w="1269" w:type="dxa"/>
            <w:tcBorders>
              <w:left w:val="nil"/>
              <w:right w:val="nil"/>
            </w:tcBorders>
          </w:tcPr>
          <w:p w14:paraId="7669B43D"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Rumunija</w:t>
            </w:r>
          </w:p>
        </w:tc>
        <w:tc>
          <w:tcPr>
            <w:tcW w:w="888" w:type="dxa"/>
            <w:tcBorders>
              <w:left w:val="nil"/>
              <w:right w:val="nil"/>
            </w:tcBorders>
          </w:tcPr>
          <w:p w14:paraId="5034716F"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192</w:t>
            </w:r>
          </w:p>
        </w:tc>
        <w:tc>
          <w:tcPr>
            <w:tcW w:w="887" w:type="dxa"/>
            <w:tcBorders>
              <w:left w:val="nil"/>
              <w:right w:val="nil"/>
            </w:tcBorders>
          </w:tcPr>
          <w:p w14:paraId="06F0911C"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191</w:t>
            </w:r>
          </w:p>
        </w:tc>
        <w:tc>
          <w:tcPr>
            <w:tcW w:w="887" w:type="dxa"/>
            <w:tcBorders>
              <w:left w:val="nil"/>
              <w:right w:val="nil"/>
            </w:tcBorders>
          </w:tcPr>
          <w:p w14:paraId="55FB9438"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191</w:t>
            </w:r>
          </w:p>
        </w:tc>
        <w:tc>
          <w:tcPr>
            <w:tcW w:w="887" w:type="dxa"/>
            <w:tcBorders>
              <w:left w:val="nil"/>
              <w:right w:val="nil"/>
            </w:tcBorders>
          </w:tcPr>
          <w:p w14:paraId="2F721943"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191</w:t>
            </w:r>
          </w:p>
        </w:tc>
        <w:tc>
          <w:tcPr>
            <w:tcW w:w="887" w:type="dxa"/>
            <w:tcBorders>
              <w:left w:val="nil"/>
              <w:right w:val="nil"/>
            </w:tcBorders>
          </w:tcPr>
          <w:p w14:paraId="473FEEEA"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191</w:t>
            </w:r>
          </w:p>
        </w:tc>
        <w:tc>
          <w:tcPr>
            <w:tcW w:w="887" w:type="dxa"/>
            <w:tcBorders>
              <w:left w:val="nil"/>
              <w:right w:val="nil"/>
            </w:tcBorders>
          </w:tcPr>
          <w:p w14:paraId="7ABD5D19"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191</w:t>
            </w:r>
          </w:p>
        </w:tc>
        <w:tc>
          <w:tcPr>
            <w:tcW w:w="893" w:type="dxa"/>
            <w:tcBorders>
              <w:left w:val="nil"/>
              <w:right w:val="nil"/>
            </w:tcBorders>
          </w:tcPr>
          <w:p w14:paraId="4DA97CF8"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190</w:t>
            </w:r>
          </w:p>
        </w:tc>
        <w:tc>
          <w:tcPr>
            <w:tcW w:w="888" w:type="dxa"/>
            <w:tcBorders>
              <w:left w:val="nil"/>
              <w:right w:val="nil"/>
            </w:tcBorders>
          </w:tcPr>
          <w:p w14:paraId="7A2C1DB7"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189</w:t>
            </w:r>
          </w:p>
        </w:tc>
        <w:tc>
          <w:tcPr>
            <w:tcW w:w="893" w:type="dxa"/>
            <w:tcBorders>
              <w:left w:val="nil"/>
              <w:right w:val="nil"/>
            </w:tcBorders>
          </w:tcPr>
          <w:p w14:paraId="097CFDB4"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191</w:t>
            </w:r>
          </w:p>
        </w:tc>
      </w:tr>
      <w:tr w:rsidR="003801E8" w14:paraId="004AAEFD" w14:textId="77777777">
        <w:trPr>
          <w:trHeight w:val="484"/>
        </w:trPr>
        <w:tc>
          <w:tcPr>
            <w:tcW w:w="1269" w:type="dxa"/>
            <w:tcBorders>
              <w:left w:val="nil"/>
              <w:right w:val="nil"/>
            </w:tcBorders>
          </w:tcPr>
          <w:p w14:paraId="5A58A851"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Ostale zemlje</w:t>
            </w:r>
          </w:p>
        </w:tc>
        <w:tc>
          <w:tcPr>
            <w:tcW w:w="888" w:type="dxa"/>
            <w:tcBorders>
              <w:left w:val="nil"/>
              <w:right w:val="nil"/>
            </w:tcBorders>
          </w:tcPr>
          <w:p w14:paraId="163E1980"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2 476</w:t>
            </w:r>
          </w:p>
        </w:tc>
        <w:tc>
          <w:tcPr>
            <w:tcW w:w="887" w:type="dxa"/>
            <w:tcBorders>
              <w:left w:val="nil"/>
              <w:right w:val="nil"/>
            </w:tcBorders>
          </w:tcPr>
          <w:p w14:paraId="6764F074"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2 470</w:t>
            </w:r>
          </w:p>
        </w:tc>
        <w:tc>
          <w:tcPr>
            <w:tcW w:w="887" w:type="dxa"/>
            <w:tcBorders>
              <w:left w:val="nil"/>
              <w:right w:val="nil"/>
            </w:tcBorders>
          </w:tcPr>
          <w:p w14:paraId="266991BF"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2 431</w:t>
            </w:r>
          </w:p>
        </w:tc>
        <w:tc>
          <w:tcPr>
            <w:tcW w:w="887" w:type="dxa"/>
            <w:tcBorders>
              <w:left w:val="nil"/>
              <w:right w:val="nil"/>
            </w:tcBorders>
          </w:tcPr>
          <w:p w14:paraId="3B090CAD"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2 413</w:t>
            </w:r>
          </w:p>
        </w:tc>
        <w:tc>
          <w:tcPr>
            <w:tcW w:w="887" w:type="dxa"/>
            <w:tcBorders>
              <w:left w:val="nil"/>
              <w:right w:val="nil"/>
            </w:tcBorders>
          </w:tcPr>
          <w:p w14:paraId="65381CD7"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2 428</w:t>
            </w:r>
          </w:p>
        </w:tc>
        <w:tc>
          <w:tcPr>
            <w:tcW w:w="887" w:type="dxa"/>
            <w:tcBorders>
              <w:left w:val="nil"/>
              <w:right w:val="nil"/>
            </w:tcBorders>
          </w:tcPr>
          <w:p w14:paraId="34B755B3"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2 442</w:t>
            </w:r>
          </w:p>
        </w:tc>
        <w:tc>
          <w:tcPr>
            <w:tcW w:w="893" w:type="dxa"/>
            <w:tcBorders>
              <w:left w:val="nil"/>
              <w:right w:val="nil"/>
            </w:tcBorders>
          </w:tcPr>
          <w:p w14:paraId="785F7596"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2 462</w:t>
            </w:r>
          </w:p>
        </w:tc>
        <w:tc>
          <w:tcPr>
            <w:tcW w:w="888" w:type="dxa"/>
            <w:tcBorders>
              <w:left w:val="nil"/>
              <w:right w:val="nil"/>
            </w:tcBorders>
          </w:tcPr>
          <w:p w14:paraId="012EF93A"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2 437</w:t>
            </w:r>
          </w:p>
        </w:tc>
        <w:tc>
          <w:tcPr>
            <w:tcW w:w="893" w:type="dxa"/>
            <w:tcBorders>
              <w:left w:val="nil"/>
              <w:right w:val="nil"/>
            </w:tcBorders>
          </w:tcPr>
          <w:p w14:paraId="021BD1C2"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2 423</w:t>
            </w:r>
          </w:p>
        </w:tc>
      </w:tr>
      <w:tr w:rsidR="003801E8" w14:paraId="3690C174" w14:textId="77777777">
        <w:trPr>
          <w:trHeight w:val="70"/>
        </w:trPr>
        <w:tc>
          <w:tcPr>
            <w:tcW w:w="1269" w:type="dxa"/>
            <w:tcBorders>
              <w:left w:val="nil"/>
              <w:right w:val="nil"/>
            </w:tcBorders>
          </w:tcPr>
          <w:p w14:paraId="4C27BEAA"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color w:val="auto"/>
                <w:sz w:val="18"/>
                <w:szCs w:val="18"/>
                <w:lang w:val="en-US"/>
              </w:rPr>
              <w:t>Svijet</w:t>
            </w:r>
          </w:p>
        </w:tc>
        <w:tc>
          <w:tcPr>
            <w:tcW w:w="888" w:type="dxa"/>
            <w:tcBorders>
              <w:left w:val="nil"/>
              <w:right w:val="nil"/>
            </w:tcBorders>
          </w:tcPr>
          <w:p w14:paraId="2BCA6B67"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7 478</w:t>
            </w:r>
          </w:p>
        </w:tc>
        <w:tc>
          <w:tcPr>
            <w:tcW w:w="887" w:type="dxa"/>
            <w:tcBorders>
              <w:left w:val="nil"/>
              <w:right w:val="nil"/>
            </w:tcBorders>
          </w:tcPr>
          <w:p w14:paraId="0F8718E6"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7 461</w:t>
            </w:r>
          </w:p>
        </w:tc>
        <w:tc>
          <w:tcPr>
            <w:tcW w:w="887" w:type="dxa"/>
            <w:tcBorders>
              <w:left w:val="nil"/>
              <w:right w:val="nil"/>
            </w:tcBorders>
          </w:tcPr>
          <w:p w14:paraId="4CD2F829"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7 382</w:t>
            </w:r>
          </w:p>
        </w:tc>
        <w:tc>
          <w:tcPr>
            <w:tcW w:w="887" w:type="dxa"/>
            <w:tcBorders>
              <w:left w:val="nil"/>
              <w:right w:val="nil"/>
            </w:tcBorders>
          </w:tcPr>
          <w:p w14:paraId="5487171B"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7 324</w:t>
            </w:r>
          </w:p>
        </w:tc>
        <w:tc>
          <w:tcPr>
            <w:tcW w:w="887" w:type="dxa"/>
            <w:tcBorders>
              <w:left w:val="nil"/>
              <w:right w:val="nil"/>
            </w:tcBorders>
          </w:tcPr>
          <w:p w14:paraId="5D8E5B52"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7 342</w:t>
            </w:r>
          </w:p>
        </w:tc>
        <w:tc>
          <w:tcPr>
            <w:tcW w:w="887" w:type="dxa"/>
            <w:tcBorders>
              <w:left w:val="nil"/>
              <w:right w:val="nil"/>
            </w:tcBorders>
          </w:tcPr>
          <w:p w14:paraId="395243F0"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7 351</w:t>
            </w:r>
          </w:p>
        </w:tc>
        <w:tc>
          <w:tcPr>
            <w:tcW w:w="893" w:type="dxa"/>
            <w:tcBorders>
              <w:left w:val="nil"/>
              <w:right w:val="nil"/>
            </w:tcBorders>
          </w:tcPr>
          <w:p w14:paraId="24051E4A"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7 363</w:t>
            </w:r>
          </w:p>
        </w:tc>
        <w:tc>
          <w:tcPr>
            <w:tcW w:w="888" w:type="dxa"/>
            <w:tcBorders>
              <w:left w:val="nil"/>
              <w:right w:val="nil"/>
            </w:tcBorders>
          </w:tcPr>
          <w:p w14:paraId="7367B706"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7 311</w:t>
            </w:r>
          </w:p>
        </w:tc>
        <w:tc>
          <w:tcPr>
            <w:tcW w:w="893" w:type="dxa"/>
            <w:tcBorders>
              <w:left w:val="nil"/>
              <w:right w:val="nil"/>
            </w:tcBorders>
          </w:tcPr>
          <w:p w14:paraId="6CE55F95" w14:textId="77777777" w:rsidR="003801E8" w:rsidRDefault="00E44AAE">
            <w:pPr>
              <w:pStyle w:val="teza1"/>
              <w:spacing w:before="0" w:after="200" w:line="240" w:lineRule="auto"/>
              <w:jc w:val="center"/>
              <w:rPr>
                <w:rFonts w:ascii="Book Antiqua" w:hAnsi="Book Antiqua" w:cs="Times New Roman"/>
                <w:b w:val="0"/>
                <w:bCs w:val="0"/>
                <w:color w:val="auto"/>
                <w:sz w:val="18"/>
                <w:szCs w:val="18"/>
                <w:lang w:val="en-US"/>
              </w:rPr>
            </w:pPr>
            <w:r>
              <w:rPr>
                <w:rFonts w:ascii="Book Antiqua" w:hAnsi="Book Antiqua" w:cs="Times New Roman"/>
                <w:b w:val="0"/>
                <w:bCs w:val="0"/>
                <w:color w:val="auto"/>
                <w:sz w:val="18"/>
                <w:szCs w:val="18"/>
                <w:lang w:val="en-US"/>
              </w:rPr>
              <w:t>7 279</w:t>
            </w:r>
          </w:p>
        </w:tc>
      </w:tr>
    </w:tbl>
    <w:p w14:paraId="6A5A4F63" w14:textId="77777777" w:rsidR="003801E8" w:rsidRDefault="003801E8">
      <w:pPr>
        <w:spacing w:line="360" w:lineRule="auto"/>
        <w:jc w:val="both"/>
        <w:rPr>
          <w:rFonts w:ascii="Book Antiqua" w:hAnsi="Book Antiqua" w:cs="Times New Roman"/>
          <w:sz w:val="18"/>
          <w:szCs w:val="18"/>
        </w:rPr>
      </w:pPr>
    </w:p>
    <w:p w14:paraId="25A47769" w14:textId="77777777" w:rsidR="003801E8" w:rsidRDefault="003801E8">
      <w:pPr>
        <w:spacing w:line="360" w:lineRule="auto"/>
        <w:jc w:val="both"/>
        <w:rPr>
          <w:rFonts w:ascii="Book Antiqua" w:hAnsi="Book Antiqua" w:cs="Times New Roman"/>
          <w:sz w:val="24"/>
          <w:szCs w:val="24"/>
        </w:rPr>
      </w:pPr>
    </w:p>
    <w:p w14:paraId="3185C6F2" w14:textId="77777777" w:rsidR="003801E8" w:rsidRDefault="00E44AAE">
      <w:pPr>
        <w:spacing w:line="360" w:lineRule="auto"/>
        <w:jc w:val="both"/>
        <w:rPr>
          <w:rFonts w:ascii="Book Antiqua" w:hAnsi="Book Antiqua" w:cs="Times New Roman"/>
          <w:b/>
          <w:bCs/>
          <w:sz w:val="24"/>
          <w:szCs w:val="24"/>
        </w:rPr>
      </w:pPr>
      <w:r>
        <w:rPr>
          <w:rFonts w:ascii="Book Antiqua" w:hAnsi="Book Antiqua" w:cs="Times New Roman"/>
          <w:b/>
          <w:bCs/>
          <w:sz w:val="24"/>
          <w:szCs w:val="24"/>
        </w:rPr>
        <w:t>3.4 Proizvodnja i značaj vinove loze u Crnoj Gori</w:t>
      </w:r>
    </w:p>
    <w:p w14:paraId="742DF68C"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Crna Gora je jedna od najmanjih evropskih država sa različitim biogeografskim uslovima, koji uključuju obalske površine Jadranskog mora, uzvišeni srednji region sa jezerima i kontinentalni region na sjeveru. Geografski i klimatski faktori stvaraju izvanredan diverzitet u crnogorskom agroekološkom sistemu, formirajući centralni dio najvećeg područja biodiverziteta u Evropi i mediteranskom basenu (</w:t>
      </w:r>
      <w:r>
        <w:rPr>
          <w:rFonts w:ascii="Book Antiqua" w:hAnsi="Book Antiqua" w:cs="Times New Roman"/>
          <w:b/>
          <w:bCs/>
          <w:sz w:val="24"/>
          <w:szCs w:val="24"/>
        </w:rPr>
        <w:t>Grbić i sar., 2017</w:t>
      </w:r>
      <w:r>
        <w:rPr>
          <w:rFonts w:ascii="Book Antiqua" w:hAnsi="Book Antiqua" w:cs="Times New Roman"/>
          <w:sz w:val="24"/>
          <w:szCs w:val="24"/>
        </w:rPr>
        <w:t xml:space="preserve">). </w:t>
      </w:r>
      <w:r>
        <w:rPr>
          <w:rFonts w:ascii="Book Antiqua" w:hAnsi="Book Antiqua" w:cs="Times New Roman"/>
          <w:b/>
          <w:bCs/>
          <w:sz w:val="24"/>
          <w:szCs w:val="24"/>
        </w:rPr>
        <w:t xml:space="preserve">Ulićević (1966) </w:t>
      </w:r>
      <w:r>
        <w:rPr>
          <w:rFonts w:ascii="Book Antiqua" w:hAnsi="Book Antiqua" w:cs="Times New Roman"/>
          <w:sz w:val="24"/>
          <w:szCs w:val="24"/>
        </w:rPr>
        <w:t>ukazuje na veliki</w:t>
      </w:r>
      <w:r>
        <w:rPr>
          <w:rFonts w:ascii="Book Antiqua" w:hAnsi="Book Antiqua" w:cs="Times New Roman"/>
          <w:b/>
          <w:bCs/>
          <w:sz w:val="24"/>
          <w:szCs w:val="24"/>
        </w:rPr>
        <w:t xml:space="preserve"> </w:t>
      </w:r>
      <w:r>
        <w:rPr>
          <w:rFonts w:ascii="Book Antiqua" w:hAnsi="Book Antiqua" w:cs="Times New Roman"/>
          <w:sz w:val="24"/>
          <w:szCs w:val="24"/>
        </w:rPr>
        <w:t>privredni značaj vinove loze u Crnoj Gori u tom periodu, koji pritom datira još od ranijih vremena. Grožđe je oduvijek u Crnoj Gori služilo kao veoma cijenjen proizvod za ishranu, a crna vina Vranca i Kratošije imala svoj renome. Najznačajnija sorta u crnogorskoj vinogradarskoj proizvodnji je Vranac koji je  dominantno zastupljen u središnjem i južnom dijelu Crne Gore (</w:t>
      </w:r>
      <w:r>
        <w:rPr>
          <w:rFonts w:ascii="Book Antiqua" w:hAnsi="Book Antiqua" w:cs="Times New Roman"/>
          <w:b/>
          <w:bCs/>
          <w:sz w:val="24"/>
          <w:szCs w:val="24"/>
        </w:rPr>
        <w:t>Savić, 2010</w:t>
      </w:r>
      <w:r>
        <w:rPr>
          <w:rFonts w:ascii="Book Antiqua" w:hAnsi="Book Antiqua" w:cs="Times New Roman"/>
          <w:sz w:val="24"/>
          <w:szCs w:val="24"/>
        </w:rPr>
        <w:t xml:space="preserve">). </w:t>
      </w:r>
    </w:p>
    <w:p w14:paraId="22584163"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lastRenderedPageBreak/>
        <w:t xml:space="preserve">Prema zvaničnim podacima Monstata, proizvodnja vinove loze u Crnoj Gori u periodu 2015-2020. godine prikazana je u Tabeli 2. Zvanični podaci OIV-a ukazuju da se proizvodnja vinove loze tokom 2021. godine obavljala na 2825 ha, pa shodno tome Crna Gora se nalazi na 70-om mjestu, po površinama pod vinovom lozom na svijetu. </w:t>
      </w:r>
    </w:p>
    <w:p w14:paraId="2ED1356D" w14:textId="77777777" w:rsidR="003801E8" w:rsidRDefault="00E44AAE">
      <w:pPr>
        <w:spacing w:after="0" w:line="360" w:lineRule="auto"/>
        <w:jc w:val="both"/>
        <w:rPr>
          <w:rFonts w:ascii="Book Antiqua" w:hAnsi="Book Antiqua" w:cs="Times New Roman"/>
          <w:sz w:val="22"/>
          <w:szCs w:val="22"/>
        </w:rPr>
      </w:pPr>
      <w:r>
        <w:rPr>
          <w:rFonts w:ascii="Book Antiqua" w:hAnsi="Book Antiqua" w:cs="Times New Roman"/>
          <w:b/>
          <w:bCs/>
          <w:sz w:val="22"/>
          <w:szCs w:val="22"/>
        </w:rPr>
        <w:t>Tabela 2</w:t>
      </w:r>
      <w:r>
        <w:rPr>
          <w:rFonts w:ascii="Book Antiqua" w:hAnsi="Book Antiqua" w:cs="Times New Roman"/>
          <w:sz w:val="22"/>
          <w:szCs w:val="22"/>
        </w:rPr>
        <w:t>. Proizvodnja vinove loze u Crnoj Gori 2015-2020. (Monstat, 2024)</w:t>
      </w:r>
    </w:p>
    <w:tbl>
      <w:tblPr>
        <w:tblStyle w:val="TableGrid"/>
        <w:tblW w:w="0" w:type="auto"/>
        <w:tblLook w:val="04A0" w:firstRow="1" w:lastRow="0" w:firstColumn="1" w:lastColumn="0" w:noHBand="0" w:noVBand="1"/>
      </w:tblPr>
      <w:tblGrid>
        <w:gridCol w:w="972"/>
        <w:gridCol w:w="1220"/>
        <w:gridCol w:w="1191"/>
        <w:gridCol w:w="936"/>
        <w:gridCol w:w="1004"/>
        <w:gridCol w:w="1217"/>
        <w:gridCol w:w="906"/>
        <w:gridCol w:w="1058"/>
      </w:tblGrid>
      <w:tr w:rsidR="003801E8" w14:paraId="521EDB90" w14:textId="77777777">
        <w:tc>
          <w:tcPr>
            <w:tcW w:w="1117" w:type="dxa"/>
            <w:tcBorders>
              <w:left w:val="nil"/>
              <w:right w:val="nil"/>
            </w:tcBorders>
          </w:tcPr>
          <w:p w14:paraId="2AFB74DC" w14:textId="77777777" w:rsidR="003801E8" w:rsidRDefault="003801E8">
            <w:pPr>
              <w:spacing w:after="0" w:line="360" w:lineRule="auto"/>
              <w:jc w:val="center"/>
              <w:rPr>
                <w:rFonts w:ascii="Book Antiqua" w:hAnsi="Book Antiqua" w:cs="Times New Roman"/>
                <w:b/>
                <w:bCs/>
                <w:sz w:val="18"/>
                <w:szCs w:val="18"/>
                <w:lang w:val="en-US"/>
              </w:rPr>
            </w:pPr>
          </w:p>
          <w:p w14:paraId="0BBEE2BC"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Godina</w:t>
            </w:r>
          </w:p>
        </w:tc>
        <w:tc>
          <w:tcPr>
            <w:tcW w:w="1524" w:type="dxa"/>
            <w:tcBorders>
              <w:left w:val="nil"/>
              <w:right w:val="nil"/>
            </w:tcBorders>
          </w:tcPr>
          <w:p w14:paraId="350CEC5D"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Ukupna površina (ha)</w:t>
            </w:r>
          </w:p>
        </w:tc>
        <w:tc>
          <w:tcPr>
            <w:tcW w:w="1465" w:type="dxa"/>
            <w:tcBorders>
              <w:left w:val="nil"/>
              <w:right w:val="nil"/>
            </w:tcBorders>
          </w:tcPr>
          <w:p w14:paraId="4BD469C0"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Rodna površina (ha)</w:t>
            </w:r>
          </w:p>
        </w:tc>
        <w:tc>
          <w:tcPr>
            <w:tcW w:w="648" w:type="dxa"/>
            <w:tcBorders>
              <w:left w:val="nil"/>
              <w:right w:val="nil"/>
            </w:tcBorders>
          </w:tcPr>
          <w:p w14:paraId="2EE9CCE8"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Ukupan broj čokota</w:t>
            </w:r>
          </w:p>
        </w:tc>
        <w:tc>
          <w:tcPr>
            <w:tcW w:w="1077" w:type="dxa"/>
            <w:tcBorders>
              <w:left w:val="nil"/>
              <w:right w:val="nil"/>
            </w:tcBorders>
          </w:tcPr>
          <w:p w14:paraId="5A66B82C"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Broj rodnih čokota</w:t>
            </w:r>
          </w:p>
        </w:tc>
        <w:tc>
          <w:tcPr>
            <w:tcW w:w="1077" w:type="dxa"/>
            <w:tcBorders>
              <w:left w:val="nil"/>
              <w:right w:val="nil"/>
            </w:tcBorders>
          </w:tcPr>
          <w:p w14:paraId="31B44C4C"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Ukupna proizvodnja (t)</w:t>
            </w:r>
          </w:p>
        </w:tc>
        <w:tc>
          <w:tcPr>
            <w:tcW w:w="1077" w:type="dxa"/>
            <w:tcBorders>
              <w:left w:val="nil"/>
              <w:right w:val="nil"/>
            </w:tcBorders>
          </w:tcPr>
          <w:p w14:paraId="6CDFD10E"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Prinos t/ha</w:t>
            </w:r>
          </w:p>
        </w:tc>
        <w:tc>
          <w:tcPr>
            <w:tcW w:w="1077" w:type="dxa"/>
            <w:tcBorders>
              <w:left w:val="nil"/>
              <w:right w:val="nil"/>
            </w:tcBorders>
          </w:tcPr>
          <w:p w14:paraId="6163F0EF"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Prinos kg/čokotu</w:t>
            </w:r>
          </w:p>
        </w:tc>
      </w:tr>
      <w:tr w:rsidR="003801E8" w14:paraId="0CB83FCC" w14:textId="77777777">
        <w:tc>
          <w:tcPr>
            <w:tcW w:w="1117" w:type="dxa"/>
            <w:tcBorders>
              <w:left w:val="nil"/>
              <w:bottom w:val="nil"/>
              <w:right w:val="nil"/>
            </w:tcBorders>
          </w:tcPr>
          <w:p w14:paraId="04D9FBE2"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2015</w:t>
            </w:r>
          </w:p>
        </w:tc>
        <w:tc>
          <w:tcPr>
            <w:tcW w:w="1524" w:type="dxa"/>
            <w:tcBorders>
              <w:left w:val="nil"/>
              <w:bottom w:val="nil"/>
              <w:right w:val="nil"/>
            </w:tcBorders>
          </w:tcPr>
          <w:p w14:paraId="39A0B50A"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2708,0</w:t>
            </w:r>
          </w:p>
        </w:tc>
        <w:tc>
          <w:tcPr>
            <w:tcW w:w="1465" w:type="dxa"/>
            <w:tcBorders>
              <w:left w:val="nil"/>
              <w:bottom w:val="nil"/>
              <w:right w:val="nil"/>
            </w:tcBorders>
          </w:tcPr>
          <w:p w14:paraId="654E135A"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2634,1</w:t>
            </w:r>
          </w:p>
        </w:tc>
        <w:tc>
          <w:tcPr>
            <w:tcW w:w="648" w:type="dxa"/>
            <w:tcBorders>
              <w:left w:val="nil"/>
              <w:bottom w:val="nil"/>
              <w:right w:val="nil"/>
            </w:tcBorders>
          </w:tcPr>
          <w:p w14:paraId="7F4951E9"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10165973</w:t>
            </w:r>
          </w:p>
        </w:tc>
        <w:tc>
          <w:tcPr>
            <w:tcW w:w="1077" w:type="dxa"/>
            <w:tcBorders>
              <w:left w:val="nil"/>
              <w:bottom w:val="nil"/>
              <w:right w:val="nil"/>
            </w:tcBorders>
          </w:tcPr>
          <w:p w14:paraId="3AD85F44"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9820800</w:t>
            </w:r>
          </w:p>
        </w:tc>
        <w:tc>
          <w:tcPr>
            <w:tcW w:w="1077" w:type="dxa"/>
            <w:tcBorders>
              <w:left w:val="nil"/>
              <w:bottom w:val="nil"/>
              <w:right w:val="nil"/>
            </w:tcBorders>
          </w:tcPr>
          <w:p w14:paraId="19CB84DA"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23085,6</w:t>
            </w:r>
          </w:p>
        </w:tc>
        <w:tc>
          <w:tcPr>
            <w:tcW w:w="1077" w:type="dxa"/>
            <w:tcBorders>
              <w:left w:val="nil"/>
              <w:bottom w:val="nil"/>
              <w:right w:val="nil"/>
            </w:tcBorders>
          </w:tcPr>
          <w:p w14:paraId="2FB46E2C"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8,8</w:t>
            </w:r>
          </w:p>
        </w:tc>
        <w:tc>
          <w:tcPr>
            <w:tcW w:w="1077" w:type="dxa"/>
            <w:tcBorders>
              <w:left w:val="nil"/>
              <w:bottom w:val="nil"/>
              <w:right w:val="nil"/>
            </w:tcBorders>
          </w:tcPr>
          <w:p w14:paraId="37F352B2"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2,4</w:t>
            </w:r>
          </w:p>
        </w:tc>
      </w:tr>
      <w:tr w:rsidR="003801E8" w14:paraId="6F246C04" w14:textId="77777777">
        <w:tc>
          <w:tcPr>
            <w:tcW w:w="1117" w:type="dxa"/>
            <w:tcBorders>
              <w:top w:val="nil"/>
              <w:left w:val="nil"/>
              <w:bottom w:val="nil"/>
              <w:right w:val="nil"/>
            </w:tcBorders>
          </w:tcPr>
          <w:p w14:paraId="13743361"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2016</w:t>
            </w:r>
          </w:p>
        </w:tc>
        <w:tc>
          <w:tcPr>
            <w:tcW w:w="1524" w:type="dxa"/>
            <w:tcBorders>
              <w:top w:val="nil"/>
              <w:left w:val="nil"/>
              <w:bottom w:val="nil"/>
              <w:right w:val="nil"/>
            </w:tcBorders>
          </w:tcPr>
          <w:p w14:paraId="6BE3C18A"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2860,4</w:t>
            </w:r>
          </w:p>
        </w:tc>
        <w:tc>
          <w:tcPr>
            <w:tcW w:w="1465" w:type="dxa"/>
            <w:tcBorders>
              <w:top w:val="nil"/>
              <w:left w:val="nil"/>
              <w:bottom w:val="nil"/>
              <w:right w:val="nil"/>
            </w:tcBorders>
          </w:tcPr>
          <w:p w14:paraId="1B84B8E8"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2781,9</w:t>
            </w:r>
          </w:p>
        </w:tc>
        <w:tc>
          <w:tcPr>
            <w:tcW w:w="648" w:type="dxa"/>
            <w:tcBorders>
              <w:top w:val="nil"/>
              <w:left w:val="nil"/>
              <w:bottom w:val="nil"/>
              <w:right w:val="nil"/>
            </w:tcBorders>
          </w:tcPr>
          <w:p w14:paraId="4DB653CD"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10924332</w:t>
            </w:r>
          </w:p>
        </w:tc>
        <w:tc>
          <w:tcPr>
            <w:tcW w:w="1077" w:type="dxa"/>
            <w:tcBorders>
              <w:top w:val="nil"/>
              <w:left w:val="nil"/>
              <w:bottom w:val="nil"/>
              <w:right w:val="nil"/>
            </w:tcBorders>
          </w:tcPr>
          <w:p w14:paraId="66B9D02A"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11010517</w:t>
            </w:r>
          </w:p>
        </w:tc>
        <w:tc>
          <w:tcPr>
            <w:tcW w:w="1077" w:type="dxa"/>
            <w:tcBorders>
              <w:top w:val="nil"/>
              <w:left w:val="nil"/>
              <w:bottom w:val="nil"/>
              <w:right w:val="nil"/>
            </w:tcBorders>
          </w:tcPr>
          <w:p w14:paraId="0173BC4B"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28925,4</w:t>
            </w:r>
          </w:p>
        </w:tc>
        <w:tc>
          <w:tcPr>
            <w:tcW w:w="1077" w:type="dxa"/>
            <w:tcBorders>
              <w:top w:val="nil"/>
              <w:left w:val="nil"/>
              <w:bottom w:val="nil"/>
              <w:right w:val="nil"/>
            </w:tcBorders>
          </w:tcPr>
          <w:p w14:paraId="500B4557"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10,4</w:t>
            </w:r>
          </w:p>
        </w:tc>
        <w:tc>
          <w:tcPr>
            <w:tcW w:w="1077" w:type="dxa"/>
            <w:tcBorders>
              <w:top w:val="nil"/>
              <w:left w:val="nil"/>
              <w:bottom w:val="nil"/>
              <w:right w:val="nil"/>
            </w:tcBorders>
          </w:tcPr>
          <w:p w14:paraId="5B6FE802"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2,6</w:t>
            </w:r>
          </w:p>
        </w:tc>
      </w:tr>
      <w:tr w:rsidR="003801E8" w14:paraId="4DF918AE" w14:textId="77777777">
        <w:tc>
          <w:tcPr>
            <w:tcW w:w="1117" w:type="dxa"/>
            <w:tcBorders>
              <w:top w:val="nil"/>
              <w:left w:val="nil"/>
              <w:bottom w:val="nil"/>
              <w:right w:val="nil"/>
            </w:tcBorders>
          </w:tcPr>
          <w:p w14:paraId="6350C6BE"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2017</w:t>
            </w:r>
          </w:p>
        </w:tc>
        <w:tc>
          <w:tcPr>
            <w:tcW w:w="1524" w:type="dxa"/>
            <w:tcBorders>
              <w:top w:val="nil"/>
              <w:left w:val="nil"/>
              <w:bottom w:val="nil"/>
              <w:right w:val="nil"/>
            </w:tcBorders>
          </w:tcPr>
          <w:p w14:paraId="2CE55971"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2850,0</w:t>
            </w:r>
          </w:p>
        </w:tc>
        <w:tc>
          <w:tcPr>
            <w:tcW w:w="1465" w:type="dxa"/>
            <w:tcBorders>
              <w:top w:val="nil"/>
              <w:left w:val="nil"/>
              <w:bottom w:val="nil"/>
              <w:right w:val="nil"/>
            </w:tcBorders>
          </w:tcPr>
          <w:p w14:paraId="75A50589"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2804,2</w:t>
            </w:r>
          </w:p>
        </w:tc>
        <w:tc>
          <w:tcPr>
            <w:tcW w:w="648" w:type="dxa"/>
            <w:tcBorders>
              <w:top w:val="nil"/>
              <w:left w:val="nil"/>
              <w:bottom w:val="nil"/>
              <w:right w:val="nil"/>
            </w:tcBorders>
          </w:tcPr>
          <w:p w14:paraId="56D24F88"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10827775</w:t>
            </w:r>
          </w:p>
        </w:tc>
        <w:tc>
          <w:tcPr>
            <w:tcW w:w="1077" w:type="dxa"/>
            <w:tcBorders>
              <w:top w:val="nil"/>
              <w:left w:val="nil"/>
              <w:bottom w:val="nil"/>
              <w:right w:val="nil"/>
            </w:tcBorders>
          </w:tcPr>
          <w:p w14:paraId="5D41EA7F"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10634011</w:t>
            </w:r>
          </w:p>
        </w:tc>
        <w:tc>
          <w:tcPr>
            <w:tcW w:w="1077" w:type="dxa"/>
            <w:tcBorders>
              <w:top w:val="nil"/>
              <w:left w:val="nil"/>
              <w:bottom w:val="nil"/>
              <w:right w:val="nil"/>
            </w:tcBorders>
          </w:tcPr>
          <w:p w14:paraId="44CDFF06"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22201,9</w:t>
            </w:r>
          </w:p>
        </w:tc>
        <w:tc>
          <w:tcPr>
            <w:tcW w:w="1077" w:type="dxa"/>
            <w:tcBorders>
              <w:top w:val="nil"/>
              <w:left w:val="nil"/>
              <w:bottom w:val="nil"/>
              <w:right w:val="nil"/>
            </w:tcBorders>
          </w:tcPr>
          <w:p w14:paraId="2DBD70CF"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7,9</w:t>
            </w:r>
          </w:p>
        </w:tc>
        <w:tc>
          <w:tcPr>
            <w:tcW w:w="1077" w:type="dxa"/>
            <w:tcBorders>
              <w:top w:val="nil"/>
              <w:left w:val="nil"/>
              <w:bottom w:val="nil"/>
              <w:right w:val="nil"/>
            </w:tcBorders>
          </w:tcPr>
          <w:p w14:paraId="579D70B1"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2,1</w:t>
            </w:r>
          </w:p>
        </w:tc>
      </w:tr>
      <w:tr w:rsidR="003801E8" w14:paraId="6ABDA473" w14:textId="77777777">
        <w:tc>
          <w:tcPr>
            <w:tcW w:w="1117" w:type="dxa"/>
            <w:tcBorders>
              <w:top w:val="nil"/>
              <w:left w:val="nil"/>
              <w:bottom w:val="nil"/>
              <w:right w:val="nil"/>
            </w:tcBorders>
          </w:tcPr>
          <w:p w14:paraId="6834B801"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2018</w:t>
            </w:r>
          </w:p>
        </w:tc>
        <w:tc>
          <w:tcPr>
            <w:tcW w:w="1524" w:type="dxa"/>
            <w:tcBorders>
              <w:top w:val="nil"/>
              <w:left w:val="nil"/>
              <w:bottom w:val="nil"/>
              <w:right w:val="nil"/>
            </w:tcBorders>
          </w:tcPr>
          <w:p w14:paraId="4983F4AD"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2837,9</w:t>
            </w:r>
          </w:p>
        </w:tc>
        <w:tc>
          <w:tcPr>
            <w:tcW w:w="1465" w:type="dxa"/>
            <w:tcBorders>
              <w:top w:val="nil"/>
              <w:left w:val="nil"/>
              <w:bottom w:val="nil"/>
              <w:right w:val="nil"/>
            </w:tcBorders>
          </w:tcPr>
          <w:p w14:paraId="664E636B"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2790,2</w:t>
            </w:r>
          </w:p>
        </w:tc>
        <w:tc>
          <w:tcPr>
            <w:tcW w:w="648" w:type="dxa"/>
            <w:tcBorders>
              <w:top w:val="nil"/>
              <w:left w:val="nil"/>
              <w:bottom w:val="nil"/>
              <w:right w:val="nil"/>
            </w:tcBorders>
          </w:tcPr>
          <w:p w14:paraId="6848E027"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10835527</w:t>
            </w:r>
          </w:p>
        </w:tc>
        <w:tc>
          <w:tcPr>
            <w:tcW w:w="1077" w:type="dxa"/>
            <w:tcBorders>
              <w:top w:val="nil"/>
              <w:left w:val="nil"/>
              <w:bottom w:val="nil"/>
              <w:right w:val="nil"/>
            </w:tcBorders>
          </w:tcPr>
          <w:p w14:paraId="4ECC21AB"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10629873</w:t>
            </w:r>
          </w:p>
        </w:tc>
        <w:tc>
          <w:tcPr>
            <w:tcW w:w="1077" w:type="dxa"/>
            <w:tcBorders>
              <w:top w:val="nil"/>
              <w:left w:val="nil"/>
              <w:bottom w:val="nil"/>
              <w:right w:val="nil"/>
            </w:tcBorders>
          </w:tcPr>
          <w:p w14:paraId="08346D5F"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24440,6</w:t>
            </w:r>
          </w:p>
        </w:tc>
        <w:tc>
          <w:tcPr>
            <w:tcW w:w="1077" w:type="dxa"/>
            <w:tcBorders>
              <w:top w:val="nil"/>
              <w:left w:val="nil"/>
              <w:bottom w:val="nil"/>
              <w:right w:val="nil"/>
            </w:tcBorders>
          </w:tcPr>
          <w:p w14:paraId="5E549D97"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8,8</w:t>
            </w:r>
          </w:p>
        </w:tc>
        <w:tc>
          <w:tcPr>
            <w:tcW w:w="1077" w:type="dxa"/>
            <w:tcBorders>
              <w:top w:val="nil"/>
              <w:left w:val="nil"/>
              <w:bottom w:val="nil"/>
              <w:right w:val="nil"/>
            </w:tcBorders>
          </w:tcPr>
          <w:p w14:paraId="6F2EA004"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2,3</w:t>
            </w:r>
          </w:p>
        </w:tc>
      </w:tr>
      <w:tr w:rsidR="003801E8" w14:paraId="6F3AB12A" w14:textId="77777777">
        <w:tc>
          <w:tcPr>
            <w:tcW w:w="1117" w:type="dxa"/>
            <w:tcBorders>
              <w:top w:val="nil"/>
              <w:left w:val="nil"/>
              <w:bottom w:val="nil"/>
              <w:right w:val="nil"/>
            </w:tcBorders>
          </w:tcPr>
          <w:p w14:paraId="085AB84E"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2019</w:t>
            </w:r>
          </w:p>
        </w:tc>
        <w:tc>
          <w:tcPr>
            <w:tcW w:w="1524" w:type="dxa"/>
            <w:tcBorders>
              <w:top w:val="nil"/>
              <w:left w:val="nil"/>
              <w:bottom w:val="nil"/>
              <w:right w:val="nil"/>
            </w:tcBorders>
          </w:tcPr>
          <w:p w14:paraId="1B5D4ABA"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2880,0</w:t>
            </w:r>
          </w:p>
        </w:tc>
        <w:tc>
          <w:tcPr>
            <w:tcW w:w="1465" w:type="dxa"/>
            <w:tcBorders>
              <w:top w:val="nil"/>
              <w:left w:val="nil"/>
              <w:bottom w:val="nil"/>
              <w:right w:val="nil"/>
            </w:tcBorders>
          </w:tcPr>
          <w:p w14:paraId="6508727F"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2825,4</w:t>
            </w:r>
          </w:p>
        </w:tc>
        <w:tc>
          <w:tcPr>
            <w:tcW w:w="648" w:type="dxa"/>
            <w:tcBorders>
              <w:top w:val="nil"/>
              <w:left w:val="nil"/>
              <w:bottom w:val="nil"/>
              <w:right w:val="nil"/>
            </w:tcBorders>
          </w:tcPr>
          <w:p w14:paraId="101D636E"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10868281</w:t>
            </w:r>
          </w:p>
        </w:tc>
        <w:tc>
          <w:tcPr>
            <w:tcW w:w="1077" w:type="dxa"/>
            <w:tcBorders>
              <w:top w:val="nil"/>
              <w:left w:val="nil"/>
              <w:bottom w:val="nil"/>
              <w:right w:val="nil"/>
            </w:tcBorders>
          </w:tcPr>
          <w:p w14:paraId="527C3F03"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10614620</w:t>
            </w:r>
          </w:p>
        </w:tc>
        <w:tc>
          <w:tcPr>
            <w:tcW w:w="1077" w:type="dxa"/>
            <w:tcBorders>
              <w:top w:val="nil"/>
              <w:left w:val="nil"/>
              <w:bottom w:val="nil"/>
              <w:right w:val="nil"/>
            </w:tcBorders>
          </w:tcPr>
          <w:p w14:paraId="038A3DF2"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21865,0</w:t>
            </w:r>
          </w:p>
        </w:tc>
        <w:tc>
          <w:tcPr>
            <w:tcW w:w="1077" w:type="dxa"/>
            <w:tcBorders>
              <w:top w:val="nil"/>
              <w:left w:val="nil"/>
              <w:bottom w:val="nil"/>
              <w:right w:val="nil"/>
            </w:tcBorders>
          </w:tcPr>
          <w:p w14:paraId="697716F2"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7,4</w:t>
            </w:r>
          </w:p>
        </w:tc>
        <w:tc>
          <w:tcPr>
            <w:tcW w:w="1077" w:type="dxa"/>
            <w:tcBorders>
              <w:top w:val="nil"/>
              <w:left w:val="nil"/>
              <w:bottom w:val="nil"/>
              <w:right w:val="nil"/>
            </w:tcBorders>
          </w:tcPr>
          <w:p w14:paraId="18B83E4C"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2,0</w:t>
            </w:r>
          </w:p>
        </w:tc>
      </w:tr>
      <w:tr w:rsidR="003801E8" w14:paraId="61AD81AC" w14:textId="77777777">
        <w:tc>
          <w:tcPr>
            <w:tcW w:w="1117" w:type="dxa"/>
            <w:tcBorders>
              <w:top w:val="nil"/>
              <w:left w:val="nil"/>
              <w:right w:val="nil"/>
            </w:tcBorders>
          </w:tcPr>
          <w:p w14:paraId="39AB8401" w14:textId="77777777" w:rsidR="003801E8" w:rsidRDefault="00E44AAE">
            <w:pPr>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2020</w:t>
            </w:r>
          </w:p>
        </w:tc>
        <w:tc>
          <w:tcPr>
            <w:tcW w:w="1524" w:type="dxa"/>
            <w:tcBorders>
              <w:top w:val="nil"/>
              <w:left w:val="nil"/>
              <w:right w:val="nil"/>
            </w:tcBorders>
          </w:tcPr>
          <w:p w14:paraId="03F3FC00"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2880,0</w:t>
            </w:r>
          </w:p>
        </w:tc>
        <w:tc>
          <w:tcPr>
            <w:tcW w:w="1465" w:type="dxa"/>
            <w:tcBorders>
              <w:top w:val="nil"/>
              <w:left w:val="nil"/>
              <w:right w:val="nil"/>
            </w:tcBorders>
          </w:tcPr>
          <w:p w14:paraId="4217331D"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2831,9</w:t>
            </w:r>
          </w:p>
        </w:tc>
        <w:tc>
          <w:tcPr>
            <w:tcW w:w="648" w:type="dxa"/>
            <w:tcBorders>
              <w:top w:val="nil"/>
              <w:left w:val="nil"/>
              <w:right w:val="nil"/>
            </w:tcBorders>
          </w:tcPr>
          <w:p w14:paraId="0F10B256"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11146120</w:t>
            </w:r>
          </w:p>
        </w:tc>
        <w:tc>
          <w:tcPr>
            <w:tcW w:w="1077" w:type="dxa"/>
            <w:tcBorders>
              <w:top w:val="nil"/>
              <w:left w:val="nil"/>
              <w:right w:val="nil"/>
            </w:tcBorders>
          </w:tcPr>
          <w:p w14:paraId="0E9635B5"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10884796</w:t>
            </w:r>
          </w:p>
        </w:tc>
        <w:tc>
          <w:tcPr>
            <w:tcW w:w="1077" w:type="dxa"/>
            <w:tcBorders>
              <w:top w:val="nil"/>
              <w:left w:val="nil"/>
              <w:right w:val="nil"/>
            </w:tcBorders>
          </w:tcPr>
          <w:p w14:paraId="33971787"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22711,1</w:t>
            </w:r>
          </w:p>
        </w:tc>
        <w:tc>
          <w:tcPr>
            <w:tcW w:w="1077" w:type="dxa"/>
            <w:tcBorders>
              <w:top w:val="nil"/>
              <w:left w:val="nil"/>
              <w:right w:val="nil"/>
            </w:tcBorders>
          </w:tcPr>
          <w:p w14:paraId="466E676A"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7,5</w:t>
            </w:r>
          </w:p>
        </w:tc>
        <w:tc>
          <w:tcPr>
            <w:tcW w:w="1077" w:type="dxa"/>
            <w:tcBorders>
              <w:top w:val="nil"/>
              <w:left w:val="nil"/>
              <w:right w:val="nil"/>
            </w:tcBorders>
          </w:tcPr>
          <w:p w14:paraId="14823164" w14:textId="77777777" w:rsidR="003801E8" w:rsidRDefault="00E44AAE">
            <w:pPr>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2,0</w:t>
            </w:r>
          </w:p>
        </w:tc>
      </w:tr>
    </w:tbl>
    <w:p w14:paraId="5854941A" w14:textId="77777777" w:rsidR="003801E8" w:rsidRDefault="003801E8">
      <w:pPr>
        <w:spacing w:line="360" w:lineRule="auto"/>
        <w:jc w:val="both"/>
        <w:rPr>
          <w:rFonts w:ascii="Book Antiqua" w:hAnsi="Book Antiqua" w:cs="Times New Roman"/>
          <w:sz w:val="24"/>
          <w:szCs w:val="24"/>
        </w:rPr>
      </w:pPr>
    </w:p>
    <w:p w14:paraId="3FC28382"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Prema </w:t>
      </w:r>
      <w:r>
        <w:rPr>
          <w:rFonts w:ascii="Book Antiqua" w:hAnsi="Book Antiqua" w:cs="Times New Roman"/>
          <w:b/>
          <w:bCs/>
          <w:sz w:val="24"/>
          <w:szCs w:val="24"/>
        </w:rPr>
        <w:t>Maraš i sar. (2017)</w:t>
      </w:r>
      <w:r>
        <w:rPr>
          <w:rFonts w:ascii="Book Antiqua" w:hAnsi="Book Antiqua" w:cs="Times New Roman"/>
          <w:sz w:val="24"/>
          <w:szCs w:val="24"/>
        </w:rPr>
        <w:t>, novom rejonizacijom crnogorskih vinogradarskih proizvodnih područja definisana su četiri vinogradarska regiona sa subregionima: Crnogorski basen Skadarskog jezera, Crnogorsko primorje, Nudo i Crnogorski sjever. U sortimentu vinove loze u Crnoj Gori dominiraju sorte za proizvodnju crvenih vina (69,01%). Sorte za proizvodnju bijelih vina čine 23,11%, a pod stonim sortama je 7,89%. U crnogorskim vinogradima dominiraju autohtone sorte i one su zastupljene sa 86,25%, dok je zastupljenost introdukovanih sorti 13,75%.</w:t>
      </w:r>
    </w:p>
    <w:p w14:paraId="243BF8CE"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Prema podacima MONSTAT-a za period 2015-2019., prosječna godišnja vrijednost izvoza svih poljoprivredno-prehrambenih proizvoda iznosila je 54.544.465€, od čega je prosječna godišnja vrijednost izvoza vina iznosila 14.200.772€, što predstavlja 26,04% ukupne vrijednosti izvezenih proizvoda.</w:t>
      </w:r>
    </w:p>
    <w:p w14:paraId="2BC4C3DD" w14:textId="77777777" w:rsidR="003801E8" w:rsidRDefault="003801E8">
      <w:pPr>
        <w:spacing w:line="360" w:lineRule="auto"/>
        <w:jc w:val="both"/>
        <w:rPr>
          <w:rFonts w:ascii="Book Antiqua" w:hAnsi="Book Antiqua" w:cs="Times New Roman"/>
          <w:sz w:val="24"/>
          <w:szCs w:val="24"/>
        </w:rPr>
      </w:pPr>
    </w:p>
    <w:p w14:paraId="369AC4A3" w14:textId="77777777" w:rsidR="003801E8" w:rsidRDefault="003801E8">
      <w:pPr>
        <w:spacing w:line="360" w:lineRule="auto"/>
        <w:jc w:val="both"/>
        <w:rPr>
          <w:rFonts w:ascii="Book Antiqua" w:hAnsi="Book Antiqua" w:cs="Times New Roman"/>
          <w:sz w:val="24"/>
          <w:szCs w:val="24"/>
        </w:rPr>
      </w:pPr>
    </w:p>
    <w:p w14:paraId="6A766266" w14:textId="77777777" w:rsidR="003801E8" w:rsidRDefault="00E44AAE">
      <w:pPr>
        <w:pStyle w:val="teza1"/>
        <w:spacing w:before="0" w:after="200"/>
        <w:jc w:val="left"/>
        <w:rPr>
          <w:rFonts w:ascii="Book Antiqua" w:hAnsi="Book Antiqua" w:cs="Times New Roman"/>
          <w:bCs w:val="0"/>
          <w:color w:val="auto"/>
          <w:sz w:val="24"/>
        </w:rPr>
      </w:pPr>
      <w:r>
        <w:rPr>
          <w:rFonts w:ascii="Book Antiqua" w:hAnsi="Book Antiqua" w:cs="Times New Roman"/>
          <w:bCs w:val="0"/>
          <w:color w:val="auto"/>
          <w:sz w:val="24"/>
        </w:rPr>
        <w:lastRenderedPageBreak/>
        <w:t>3.5 Najznačajnije bolesti vinove loze</w:t>
      </w:r>
    </w:p>
    <w:p w14:paraId="5AA9E44E" w14:textId="77777777" w:rsidR="003801E8" w:rsidRDefault="00E44AAE">
      <w:pPr>
        <w:pStyle w:val="teza1"/>
        <w:jc w:val="both"/>
        <w:rPr>
          <w:rFonts w:ascii="Book Antiqua" w:hAnsi="Book Antiqua" w:cs="Times New Roman"/>
          <w:b w:val="0"/>
          <w:bCs w:val="0"/>
          <w:color w:val="auto"/>
          <w:sz w:val="24"/>
        </w:rPr>
      </w:pPr>
      <w:r>
        <w:rPr>
          <w:rFonts w:ascii="Book Antiqua" w:hAnsi="Book Antiqua" w:cs="Times New Roman"/>
          <w:b w:val="0"/>
          <w:bCs w:val="0"/>
          <w:color w:val="auto"/>
          <w:sz w:val="24"/>
        </w:rPr>
        <w:t>Bolesti vinove loze mogu biti mikozne, bakteriozne ili virusne prirode. Od mikoza i pseudomikoza, na vinovoj lozi najzastupljenije su: plamenjača (</w:t>
      </w:r>
      <w:r>
        <w:rPr>
          <w:rFonts w:ascii="Book Antiqua" w:hAnsi="Book Antiqua" w:cs="Times New Roman"/>
          <w:b w:val="0"/>
          <w:bCs w:val="0"/>
          <w:i/>
          <w:color w:val="auto"/>
          <w:sz w:val="24"/>
        </w:rPr>
        <w:t>Plasmopara viticola</w:t>
      </w:r>
      <w:r>
        <w:rPr>
          <w:rFonts w:ascii="Book Antiqua" w:hAnsi="Book Antiqua" w:cs="Times New Roman"/>
          <w:b w:val="0"/>
          <w:bCs w:val="0"/>
          <w:color w:val="auto"/>
          <w:sz w:val="24"/>
        </w:rPr>
        <w:t>), pepelnica (</w:t>
      </w:r>
      <w:r>
        <w:rPr>
          <w:rFonts w:ascii="Book Antiqua" w:hAnsi="Book Antiqua" w:cs="Times New Roman"/>
          <w:b w:val="0"/>
          <w:bCs w:val="0"/>
          <w:i/>
          <w:color w:val="auto"/>
          <w:sz w:val="24"/>
        </w:rPr>
        <w:t>Erysiphe necator</w:t>
      </w:r>
      <w:r>
        <w:rPr>
          <w:rFonts w:ascii="Book Antiqua" w:hAnsi="Book Antiqua" w:cs="Times New Roman"/>
          <w:b w:val="0"/>
          <w:bCs w:val="0"/>
          <w:color w:val="auto"/>
          <w:sz w:val="24"/>
        </w:rPr>
        <w:t>), siva trulež (</w:t>
      </w:r>
      <w:r>
        <w:rPr>
          <w:rFonts w:ascii="Book Antiqua" w:hAnsi="Book Antiqua" w:cs="Times New Roman"/>
          <w:b w:val="0"/>
          <w:bCs w:val="0"/>
          <w:i/>
          <w:color w:val="auto"/>
          <w:sz w:val="24"/>
        </w:rPr>
        <w:t>Botryotinia fuckeliana</w:t>
      </w:r>
      <w:r>
        <w:rPr>
          <w:rFonts w:ascii="Book Antiqua" w:hAnsi="Book Antiqua" w:cs="Times New Roman"/>
          <w:b w:val="0"/>
          <w:bCs w:val="0"/>
          <w:color w:val="auto"/>
          <w:sz w:val="24"/>
        </w:rPr>
        <w:t>), crna pjegavost vinove loze (</w:t>
      </w:r>
      <w:r>
        <w:rPr>
          <w:rFonts w:ascii="Book Antiqua" w:hAnsi="Book Antiqua" w:cs="Times New Roman"/>
          <w:b w:val="0"/>
          <w:bCs w:val="0"/>
          <w:i/>
          <w:iCs/>
          <w:color w:val="auto"/>
          <w:sz w:val="24"/>
        </w:rPr>
        <w:t>Diaporthe ampelina</w:t>
      </w:r>
      <w:r>
        <w:rPr>
          <w:rFonts w:ascii="Book Antiqua" w:hAnsi="Book Antiqua" w:cs="Times New Roman"/>
          <w:b w:val="0"/>
          <w:bCs w:val="0"/>
          <w:color w:val="auto"/>
          <w:sz w:val="24"/>
        </w:rPr>
        <w:t xml:space="preserve"> sin. </w:t>
      </w:r>
      <w:r>
        <w:rPr>
          <w:rFonts w:ascii="Book Antiqua" w:hAnsi="Book Antiqua" w:cs="Times New Roman"/>
          <w:b w:val="0"/>
          <w:bCs w:val="0"/>
          <w:i/>
          <w:color w:val="auto"/>
          <w:sz w:val="24"/>
        </w:rPr>
        <w:t>Phomopsis viticola</w:t>
      </w:r>
      <w:r>
        <w:rPr>
          <w:rFonts w:ascii="Book Antiqua" w:hAnsi="Book Antiqua" w:cs="Times New Roman"/>
          <w:b w:val="0"/>
          <w:bCs w:val="0"/>
          <w:color w:val="auto"/>
          <w:sz w:val="24"/>
        </w:rPr>
        <w:t>) (</w:t>
      </w:r>
      <w:r>
        <w:rPr>
          <w:rFonts w:ascii="Book Antiqua" w:hAnsi="Book Antiqua" w:cs="Times New Roman"/>
          <w:bCs w:val="0"/>
          <w:color w:val="auto"/>
          <w:sz w:val="24"/>
        </w:rPr>
        <w:t>Delibašić i sar., 2019</w:t>
      </w:r>
      <w:r>
        <w:rPr>
          <w:rFonts w:ascii="Book Antiqua" w:hAnsi="Book Antiqua" w:cs="Times New Roman"/>
          <w:b w:val="0"/>
          <w:bCs w:val="0"/>
          <w:color w:val="auto"/>
          <w:sz w:val="24"/>
        </w:rPr>
        <w:t>). Shodno nazivima prema novoj zvaničnoj nomenklaturi značajno je istaći i patogene prouzrokovače gljivičnih oboljenja vinove loze kao što su: crna trulež bobica (</w:t>
      </w:r>
      <w:r>
        <w:rPr>
          <w:rFonts w:ascii="Book Antiqua" w:hAnsi="Book Antiqua" w:cs="Times New Roman"/>
          <w:b w:val="0"/>
          <w:bCs w:val="0"/>
          <w:i/>
          <w:color w:val="auto"/>
          <w:sz w:val="24"/>
        </w:rPr>
        <w:t>Phyllosticta ampelicida</w:t>
      </w:r>
      <w:r>
        <w:rPr>
          <w:rFonts w:ascii="Book Antiqua" w:hAnsi="Book Antiqua" w:cs="Times New Roman"/>
          <w:b w:val="0"/>
          <w:bCs w:val="0"/>
          <w:color w:val="auto"/>
          <w:sz w:val="24"/>
        </w:rPr>
        <w:t xml:space="preserve"> sin. </w:t>
      </w:r>
      <w:r>
        <w:rPr>
          <w:rFonts w:ascii="Book Antiqua" w:hAnsi="Book Antiqua" w:cs="Times New Roman"/>
          <w:b w:val="0"/>
          <w:bCs w:val="0"/>
          <w:i/>
          <w:color w:val="auto"/>
          <w:sz w:val="24"/>
        </w:rPr>
        <w:t>Guignardia bidwellii</w:t>
      </w:r>
      <w:r>
        <w:rPr>
          <w:rFonts w:ascii="Book Antiqua" w:hAnsi="Book Antiqua" w:cs="Times New Roman"/>
          <w:b w:val="0"/>
          <w:bCs w:val="0"/>
          <w:color w:val="auto"/>
          <w:sz w:val="24"/>
        </w:rPr>
        <w:t xml:space="preserve"> ); crvena palež (</w:t>
      </w:r>
      <w:r>
        <w:rPr>
          <w:rFonts w:ascii="Book Antiqua" w:hAnsi="Book Antiqua" w:cs="Times New Roman"/>
          <w:b w:val="0"/>
          <w:bCs w:val="0"/>
          <w:i/>
          <w:color w:val="auto"/>
          <w:sz w:val="24"/>
        </w:rPr>
        <w:t>Pseudopezicula tracheiphila</w:t>
      </w:r>
      <w:r>
        <w:rPr>
          <w:rFonts w:ascii="Book Antiqua" w:hAnsi="Book Antiqua" w:cs="Times New Roman"/>
          <w:b w:val="0"/>
          <w:bCs w:val="0"/>
          <w:color w:val="auto"/>
          <w:sz w:val="24"/>
        </w:rPr>
        <w:t xml:space="preserve"> sin. </w:t>
      </w:r>
      <w:r>
        <w:rPr>
          <w:rFonts w:ascii="Book Antiqua" w:hAnsi="Book Antiqua" w:cs="Times New Roman"/>
          <w:b w:val="0"/>
          <w:bCs w:val="0"/>
          <w:i/>
          <w:color w:val="auto"/>
          <w:sz w:val="24"/>
        </w:rPr>
        <w:t>Pseudopeziza tracheiphila</w:t>
      </w:r>
      <w:r>
        <w:rPr>
          <w:rFonts w:ascii="Book Antiqua" w:hAnsi="Book Antiqua" w:cs="Times New Roman"/>
          <w:b w:val="0"/>
          <w:bCs w:val="0"/>
          <w:color w:val="auto"/>
          <w:sz w:val="24"/>
        </w:rPr>
        <w:t>) (</w:t>
      </w:r>
      <w:r>
        <w:rPr>
          <w:rFonts w:ascii="Book Antiqua" w:hAnsi="Book Antiqua" w:cs="Times New Roman"/>
          <w:bCs w:val="0"/>
          <w:color w:val="auto"/>
          <w:sz w:val="24"/>
        </w:rPr>
        <w:t>Cvjetković, 2021</w:t>
      </w:r>
      <w:r>
        <w:rPr>
          <w:rFonts w:ascii="Book Antiqua" w:hAnsi="Book Antiqua" w:cs="Times New Roman"/>
          <w:b w:val="0"/>
          <w:bCs w:val="0"/>
          <w:color w:val="auto"/>
          <w:sz w:val="24"/>
        </w:rPr>
        <w:t>).</w:t>
      </w:r>
    </w:p>
    <w:p w14:paraId="42A86AD7" w14:textId="77777777" w:rsidR="003801E8" w:rsidRDefault="00E44AAE">
      <w:pPr>
        <w:pStyle w:val="teza1"/>
        <w:jc w:val="both"/>
        <w:rPr>
          <w:rFonts w:ascii="Book Antiqua" w:hAnsi="Book Antiqua" w:cs="Times New Roman"/>
          <w:b w:val="0"/>
          <w:bCs w:val="0"/>
          <w:color w:val="auto"/>
          <w:sz w:val="24"/>
        </w:rPr>
      </w:pPr>
      <w:r>
        <w:rPr>
          <w:rFonts w:ascii="Book Antiqua" w:hAnsi="Book Antiqua" w:cs="Times New Roman"/>
          <w:b w:val="0"/>
          <w:bCs w:val="0"/>
          <w:color w:val="auto"/>
          <w:sz w:val="24"/>
        </w:rPr>
        <w:t>Osim pomenutih  patogena, vinovu lozu takođe parazitiraju i drugi patogeni mikozne prirode, prouzrokujući bolesti drveta vinove loze (eutipoza vinove loze, eska oboljenje, botriosferijsko sušenje vinove loze). U okviru ove grupe su identifikovana 33 roda gljiva, sa preko 1200 vrsta (</w:t>
      </w:r>
      <w:r>
        <w:rPr>
          <w:rFonts w:ascii="Book Antiqua" w:hAnsi="Book Antiqua" w:cs="Times New Roman"/>
          <w:bCs w:val="0"/>
          <w:color w:val="auto"/>
          <w:sz w:val="24"/>
        </w:rPr>
        <w:t>Schoch et al., 2020</w:t>
      </w:r>
      <w:r>
        <w:rPr>
          <w:rFonts w:ascii="Book Antiqua" w:hAnsi="Book Antiqua" w:cs="Times New Roman"/>
          <w:b w:val="0"/>
          <w:bCs w:val="0"/>
          <w:color w:val="auto"/>
          <w:sz w:val="24"/>
        </w:rPr>
        <w:t xml:space="preserve">). </w:t>
      </w:r>
    </w:p>
    <w:p w14:paraId="5217802A" w14:textId="77777777" w:rsidR="003801E8" w:rsidRDefault="00E44AAE">
      <w:pPr>
        <w:pStyle w:val="teza1"/>
        <w:jc w:val="both"/>
        <w:rPr>
          <w:rFonts w:ascii="Book Antiqua" w:hAnsi="Book Antiqua" w:cs="Times New Roman"/>
          <w:b w:val="0"/>
          <w:bCs w:val="0"/>
          <w:color w:val="auto"/>
          <w:sz w:val="24"/>
          <w:lang w:val="sr-Latn-RS"/>
        </w:rPr>
      </w:pPr>
      <w:r>
        <w:rPr>
          <w:rFonts w:ascii="Book Antiqua" w:hAnsi="Book Antiqua" w:cs="Times New Roman"/>
          <w:b w:val="0"/>
          <w:bCs w:val="0"/>
          <w:color w:val="auto"/>
          <w:sz w:val="24"/>
        </w:rPr>
        <w:t>Među bolestima vinove loze, bakterioze su veoma važne u većini vinogradarskih zemalja. Sve bakterije prouzrokovači bolesti vinove loze su vaskularni patogeni, koji dovode do latentnih infekcija (</w:t>
      </w:r>
      <w:r>
        <w:rPr>
          <w:rFonts w:ascii="Book Antiqua" w:hAnsi="Book Antiqua" w:cs="Times New Roman"/>
          <w:bCs w:val="0"/>
          <w:color w:val="auto"/>
          <w:sz w:val="24"/>
        </w:rPr>
        <w:t>Szegedi i Civerolo, 2011</w:t>
      </w:r>
      <w:r>
        <w:rPr>
          <w:rFonts w:ascii="Book Antiqua" w:hAnsi="Book Antiqua" w:cs="Times New Roman"/>
          <w:b w:val="0"/>
          <w:bCs w:val="0"/>
          <w:color w:val="auto"/>
          <w:sz w:val="24"/>
        </w:rPr>
        <w:t>). Najznačajnije bakterioze na vinovoj lozi su bakteriozna plamenja</w:t>
      </w:r>
      <w:r>
        <w:rPr>
          <w:rFonts w:ascii="Book Antiqua" w:hAnsi="Book Antiqua" w:cs="Times New Roman"/>
          <w:b w:val="0"/>
          <w:bCs w:val="0"/>
          <w:color w:val="auto"/>
          <w:sz w:val="24"/>
          <w:lang w:val="sr-Latn-RS"/>
        </w:rPr>
        <w:t>ča (</w:t>
      </w:r>
      <w:r>
        <w:rPr>
          <w:rFonts w:ascii="Book Antiqua" w:hAnsi="Book Antiqua" w:cs="Times New Roman"/>
          <w:b w:val="0"/>
          <w:bCs w:val="0"/>
          <w:i/>
          <w:color w:val="auto"/>
          <w:sz w:val="24"/>
        </w:rPr>
        <w:t>Xylophilus ampelinus</w:t>
      </w:r>
      <w:r>
        <w:rPr>
          <w:rFonts w:ascii="Book Antiqua" w:hAnsi="Book Antiqua" w:cs="Times New Roman"/>
          <w:b w:val="0"/>
          <w:bCs w:val="0"/>
          <w:color w:val="auto"/>
          <w:sz w:val="24"/>
          <w:lang w:val="sr-Latn-RS"/>
        </w:rPr>
        <w:t xml:space="preserve">), </w:t>
      </w:r>
      <w:r>
        <w:rPr>
          <w:rFonts w:ascii="Book Antiqua" w:hAnsi="Book Antiqua" w:cs="Times New Roman"/>
          <w:b w:val="0"/>
          <w:bCs w:val="0"/>
          <w:color w:val="auto"/>
          <w:sz w:val="24"/>
        </w:rPr>
        <w:t xml:space="preserve"> i Pirsova bolest (</w:t>
      </w:r>
      <w:r>
        <w:rPr>
          <w:rFonts w:ascii="Book Antiqua" w:hAnsi="Book Antiqua" w:cs="Times New Roman"/>
          <w:b w:val="0"/>
          <w:bCs w:val="0"/>
          <w:i/>
          <w:color w:val="auto"/>
          <w:sz w:val="24"/>
        </w:rPr>
        <w:t>Xylella fastidiosa</w:t>
      </w:r>
      <w:r>
        <w:rPr>
          <w:rFonts w:ascii="Book Antiqua" w:hAnsi="Book Antiqua" w:cs="Times New Roman"/>
          <w:b w:val="0"/>
          <w:bCs w:val="0"/>
          <w:iCs/>
          <w:color w:val="auto"/>
          <w:sz w:val="24"/>
        </w:rPr>
        <w:t>)</w:t>
      </w:r>
      <w:r>
        <w:rPr>
          <w:rFonts w:ascii="Book Antiqua" w:hAnsi="Book Antiqua" w:cs="Times New Roman"/>
          <w:b w:val="0"/>
          <w:bCs w:val="0"/>
          <w:color w:val="auto"/>
          <w:sz w:val="24"/>
        </w:rPr>
        <w:t xml:space="preserve">. Smanjenu produktivnost vinove loze takođe mogu prouzrokovati bakterije: </w:t>
      </w:r>
      <w:r>
        <w:rPr>
          <w:rFonts w:ascii="Book Antiqua" w:hAnsi="Book Antiqua" w:cs="Times New Roman"/>
          <w:b w:val="0"/>
          <w:bCs w:val="0"/>
          <w:i/>
          <w:color w:val="auto"/>
          <w:sz w:val="24"/>
        </w:rPr>
        <w:t>Pseudomonas syringae</w:t>
      </w:r>
      <w:r>
        <w:rPr>
          <w:rFonts w:ascii="Book Antiqua" w:hAnsi="Book Antiqua" w:cs="Times New Roman"/>
          <w:b w:val="0"/>
          <w:bCs w:val="0"/>
          <w:color w:val="auto"/>
          <w:sz w:val="24"/>
        </w:rPr>
        <w:t xml:space="preserve">, </w:t>
      </w:r>
      <w:r>
        <w:rPr>
          <w:rFonts w:ascii="Book Antiqua" w:hAnsi="Book Antiqua" w:cs="Times New Roman"/>
          <w:b w:val="0"/>
          <w:bCs w:val="0"/>
          <w:i/>
          <w:color w:val="auto"/>
          <w:sz w:val="24"/>
        </w:rPr>
        <w:t>Xanthomonas campestris pv. viticola</w:t>
      </w:r>
      <w:r>
        <w:rPr>
          <w:rFonts w:ascii="Book Antiqua" w:hAnsi="Book Antiqua" w:cs="Times New Roman"/>
          <w:b w:val="0"/>
          <w:bCs w:val="0"/>
          <w:color w:val="auto"/>
          <w:sz w:val="24"/>
        </w:rPr>
        <w:t xml:space="preserve">, </w:t>
      </w:r>
      <w:r>
        <w:rPr>
          <w:rFonts w:ascii="Book Antiqua" w:hAnsi="Book Antiqua" w:cs="Times New Roman"/>
          <w:b w:val="0"/>
          <w:bCs w:val="0"/>
          <w:i/>
          <w:color w:val="auto"/>
          <w:sz w:val="24"/>
        </w:rPr>
        <w:t>Agrobacterium vitis</w:t>
      </w:r>
      <w:r>
        <w:rPr>
          <w:rFonts w:ascii="Book Antiqua" w:hAnsi="Book Antiqua" w:cs="Times New Roman"/>
          <w:b w:val="0"/>
          <w:bCs w:val="0"/>
          <w:color w:val="auto"/>
          <w:sz w:val="24"/>
        </w:rPr>
        <w:t xml:space="preserve"> (</w:t>
      </w:r>
      <w:r>
        <w:rPr>
          <w:rFonts w:ascii="Book Antiqua" w:hAnsi="Book Antiqua" w:cs="Times New Roman"/>
          <w:bCs w:val="0"/>
          <w:color w:val="auto"/>
          <w:sz w:val="24"/>
        </w:rPr>
        <w:t>Mikicinski et al., 2020</w:t>
      </w:r>
      <w:r>
        <w:rPr>
          <w:rFonts w:ascii="Book Antiqua" w:hAnsi="Book Antiqua" w:cs="Times New Roman"/>
          <w:b w:val="0"/>
          <w:bCs w:val="0"/>
          <w:color w:val="auto"/>
          <w:sz w:val="24"/>
        </w:rPr>
        <w:t xml:space="preserve">). </w:t>
      </w:r>
      <w:r>
        <w:rPr>
          <w:rFonts w:ascii="Book Antiqua" w:hAnsi="Book Antiqua" w:cs="Times New Roman"/>
          <w:b w:val="0"/>
          <w:bCs w:val="0"/>
          <w:color w:val="auto"/>
          <w:sz w:val="24"/>
          <w:lang w:val="sr-Latn-RS"/>
        </w:rPr>
        <w:t>Danas je veliki broj infektivnih intracelularnih agenasa, uključujući viruse i viroide, rasprostranjeno širom svijeta, prouzrokujući oboljenja vinove loze, narušavajući zdravstveni status biljke i kvalitet grožđa (</w:t>
      </w:r>
      <w:r>
        <w:rPr>
          <w:rFonts w:ascii="Book Antiqua" w:hAnsi="Book Antiqua" w:cs="Times New Roman"/>
          <w:bCs w:val="0"/>
          <w:color w:val="auto"/>
          <w:sz w:val="24"/>
          <w:lang w:val="sr-Latn-RS"/>
        </w:rPr>
        <w:t>Elbakidze et al., 2021</w:t>
      </w:r>
      <w:r>
        <w:rPr>
          <w:rFonts w:ascii="Book Antiqua" w:hAnsi="Book Antiqua" w:cs="Times New Roman"/>
          <w:b w:val="0"/>
          <w:bCs w:val="0"/>
          <w:color w:val="auto"/>
          <w:sz w:val="24"/>
          <w:lang w:val="sr-Latn-RS"/>
        </w:rPr>
        <w:t xml:space="preserve">). </w:t>
      </w:r>
    </w:p>
    <w:p w14:paraId="6A9C9EBA" w14:textId="77777777" w:rsidR="003801E8" w:rsidRDefault="003801E8">
      <w:pPr>
        <w:pStyle w:val="teza1"/>
        <w:jc w:val="both"/>
        <w:rPr>
          <w:rFonts w:ascii="Book Antiqua" w:hAnsi="Book Antiqua" w:cs="Times New Roman"/>
          <w:b w:val="0"/>
          <w:bCs w:val="0"/>
          <w:color w:val="auto"/>
          <w:sz w:val="24"/>
        </w:rPr>
      </w:pPr>
    </w:p>
    <w:p w14:paraId="15822CC0" w14:textId="77777777" w:rsidR="003801E8" w:rsidRDefault="00E44AAE">
      <w:pPr>
        <w:pStyle w:val="teza1"/>
        <w:spacing w:before="0" w:after="200"/>
        <w:jc w:val="both"/>
        <w:rPr>
          <w:rFonts w:ascii="Book Antiqua" w:hAnsi="Book Antiqua" w:cs="Times New Roman"/>
          <w:b w:val="0"/>
          <w:bCs w:val="0"/>
          <w:color w:val="auto"/>
          <w:sz w:val="24"/>
          <w:lang w:val="sr-Latn-RS"/>
        </w:rPr>
      </w:pPr>
      <w:r>
        <w:rPr>
          <w:rFonts w:ascii="Book Antiqua" w:hAnsi="Book Antiqua" w:cs="Times New Roman"/>
          <w:b w:val="0"/>
          <w:bCs w:val="0"/>
          <w:color w:val="auto"/>
          <w:sz w:val="24"/>
          <w:lang w:val="sr-Latn-RS"/>
        </w:rPr>
        <w:lastRenderedPageBreak/>
        <w:t>Uvijanje lišća vinove loze, kompleks rugoznog drveta, degeneracija listova i pjegavost listova su četiri glavna simptoma oboljenja virusne prirode na vinovoj lozi (</w:t>
      </w:r>
      <w:r>
        <w:rPr>
          <w:rFonts w:ascii="Book Antiqua" w:hAnsi="Book Antiqua" w:cs="Times New Roman"/>
          <w:bCs w:val="0"/>
          <w:color w:val="auto"/>
          <w:sz w:val="24"/>
          <w:lang w:val="sr-Latn-RS"/>
        </w:rPr>
        <w:t>Basso et al., 2017</w:t>
      </w:r>
      <w:r>
        <w:rPr>
          <w:rFonts w:ascii="Book Antiqua" w:hAnsi="Book Antiqua" w:cs="Times New Roman"/>
          <w:b w:val="0"/>
          <w:bCs w:val="0"/>
          <w:color w:val="auto"/>
          <w:sz w:val="24"/>
          <w:lang w:val="sr-Latn-RS"/>
        </w:rPr>
        <w:t xml:space="preserve">). Do sada potvrđeni virusi, prouzrokovači oboljenja na vinovoj lozi pripadaju porodicama </w:t>
      </w:r>
      <w:r>
        <w:rPr>
          <w:rFonts w:ascii="Book Antiqua" w:hAnsi="Book Antiqua" w:cs="Times New Roman"/>
          <w:b w:val="0"/>
          <w:bCs w:val="0"/>
          <w:i/>
          <w:color w:val="auto"/>
          <w:sz w:val="24"/>
          <w:lang w:val="sr-Latn-RS"/>
        </w:rPr>
        <w:t>Betaflexiviridae</w:t>
      </w:r>
      <w:r>
        <w:rPr>
          <w:rFonts w:ascii="Book Antiqua" w:hAnsi="Book Antiqua" w:cs="Times New Roman"/>
          <w:b w:val="0"/>
          <w:bCs w:val="0"/>
          <w:color w:val="auto"/>
          <w:sz w:val="24"/>
          <w:lang w:val="sr-Latn-RS"/>
        </w:rPr>
        <w:t xml:space="preserve">, </w:t>
      </w:r>
      <w:r>
        <w:rPr>
          <w:rFonts w:ascii="Book Antiqua" w:hAnsi="Book Antiqua" w:cs="Times New Roman"/>
          <w:b w:val="0"/>
          <w:bCs w:val="0"/>
          <w:i/>
          <w:color w:val="auto"/>
          <w:sz w:val="24"/>
          <w:lang w:val="sr-Latn-RS"/>
        </w:rPr>
        <w:t>Caulimoviridae</w:t>
      </w:r>
      <w:r>
        <w:rPr>
          <w:rFonts w:ascii="Book Antiqua" w:hAnsi="Book Antiqua" w:cs="Times New Roman"/>
          <w:b w:val="0"/>
          <w:bCs w:val="0"/>
          <w:color w:val="auto"/>
          <w:sz w:val="24"/>
          <w:lang w:val="sr-Latn-RS"/>
        </w:rPr>
        <w:t xml:space="preserve">, </w:t>
      </w:r>
      <w:r>
        <w:rPr>
          <w:rFonts w:ascii="Book Antiqua" w:hAnsi="Book Antiqua" w:cs="Times New Roman"/>
          <w:b w:val="0"/>
          <w:bCs w:val="0"/>
          <w:i/>
          <w:color w:val="auto"/>
          <w:sz w:val="24"/>
          <w:lang w:val="sr-Latn-RS"/>
        </w:rPr>
        <w:t>Closteroviridae</w:t>
      </w:r>
      <w:r>
        <w:rPr>
          <w:rFonts w:ascii="Book Antiqua" w:hAnsi="Book Antiqua" w:cs="Times New Roman"/>
          <w:b w:val="0"/>
          <w:bCs w:val="0"/>
          <w:color w:val="auto"/>
          <w:sz w:val="24"/>
          <w:lang w:val="sr-Latn-RS"/>
        </w:rPr>
        <w:t xml:space="preserve">, </w:t>
      </w:r>
      <w:r>
        <w:rPr>
          <w:rFonts w:ascii="Book Antiqua" w:hAnsi="Book Antiqua" w:cs="Times New Roman"/>
          <w:b w:val="0"/>
          <w:bCs w:val="0"/>
          <w:i/>
          <w:color w:val="auto"/>
          <w:sz w:val="24"/>
          <w:lang w:val="sr-Latn-RS"/>
        </w:rPr>
        <w:t>Secoviridae</w:t>
      </w:r>
      <w:r>
        <w:rPr>
          <w:rFonts w:ascii="Book Antiqua" w:hAnsi="Book Antiqua" w:cs="Times New Roman"/>
          <w:b w:val="0"/>
          <w:bCs w:val="0"/>
          <w:color w:val="auto"/>
          <w:sz w:val="24"/>
          <w:lang w:val="sr-Latn-RS"/>
        </w:rPr>
        <w:t xml:space="preserve">, </w:t>
      </w:r>
      <w:r>
        <w:rPr>
          <w:rFonts w:ascii="Book Antiqua" w:hAnsi="Book Antiqua" w:cs="Times New Roman"/>
          <w:b w:val="0"/>
          <w:bCs w:val="0"/>
          <w:i/>
          <w:color w:val="auto"/>
          <w:sz w:val="24"/>
          <w:lang w:val="sr-Latn-RS"/>
        </w:rPr>
        <w:t>Geminiviridae</w:t>
      </w:r>
      <w:r>
        <w:rPr>
          <w:rFonts w:ascii="Book Antiqua" w:hAnsi="Book Antiqua" w:cs="Times New Roman"/>
          <w:b w:val="0"/>
          <w:bCs w:val="0"/>
          <w:color w:val="auto"/>
          <w:sz w:val="24"/>
          <w:lang w:val="sr-Latn-RS"/>
        </w:rPr>
        <w:t xml:space="preserve">, a prenose se različitim vektorima, insekatskim vrstama iz familija: </w:t>
      </w:r>
      <w:r>
        <w:rPr>
          <w:rFonts w:ascii="Book Antiqua" w:hAnsi="Book Antiqua" w:cs="Times New Roman"/>
          <w:b w:val="0"/>
          <w:bCs w:val="0"/>
          <w:i/>
          <w:color w:val="auto"/>
          <w:sz w:val="24"/>
          <w:lang w:val="sr-Latn-RS"/>
        </w:rPr>
        <w:t>Pseudococcidae</w:t>
      </w:r>
      <w:r>
        <w:rPr>
          <w:rFonts w:ascii="Book Antiqua" w:hAnsi="Book Antiqua" w:cs="Times New Roman"/>
          <w:b w:val="0"/>
          <w:bCs w:val="0"/>
          <w:color w:val="auto"/>
          <w:sz w:val="24"/>
          <w:lang w:val="sr-Latn-RS"/>
        </w:rPr>
        <w:t xml:space="preserve">, </w:t>
      </w:r>
      <w:r>
        <w:rPr>
          <w:rFonts w:ascii="Book Antiqua" w:hAnsi="Book Antiqua" w:cs="Times New Roman"/>
          <w:b w:val="0"/>
          <w:bCs w:val="0"/>
          <w:i/>
          <w:color w:val="auto"/>
          <w:sz w:val="24"/>
          <w:lang w:val="sr-Latn-RS"/>
        </w:rPr>
        <w:t>Coccidae</w:t>
      </w:r>
      <w:r>
        <w:rPr>
          <w:rFonts w:ascii="Book Antiqua" w:hAnsi="Book Antiqua" w:cs="Times New Roman"/>
          <w:b w:val="0"/>
          <w:bCs w:val="0"/>
          <w:color w:val="auto"/>
          <w:sz w:val="24"/>
          <w:lang w:val="sr-Latn-RS"/>
        </w:rPr>
        <w:t xml:space="preserve">, </w:t>
      </w:r>
      <w:r>
        <w:rPr>
          <w:rFonts w:ascii="Book Antiqua" w:hAnsi="Book Antiqua" w:cs="Times New Roman"/>
          <w:b w:val="0"/>
          <w:bCs w:val="0"/>
          <w:i/>
          <w:color w:val="auto"/>
          <w:sz w:val="24"/>
          <w:lang w:val="sr-Latn-RS"/>
        </w:rPr>
        <w:t>Aphididae</w:t>
      </w:r>
      <w:r>
        <w:rPr>
          <w:rFonts w:ascii="Book Antiqua" w:hAnsi="Book Antiqua" w:cs="Times New Roman"/>
          <w:b w:val="0"/>
          <w:bCs w:val="0"/>
          <w:color w:val="auto"/>
          <w:sz w:val="24"/>
          <w:lang w:val="sr-Latn-RS"/>
        </w:rPr>
        <w:t xml:space="preserve">, </w:t>
      </w:r>
      <w:r>
        <w:rPr>
          <w:rFonts w:ascii="Book Antiqua" w:hAnsi="Book Antiqua" w:cs="Times New Roman"/>
          <w:b w:val="0"/>
          <w:bCs w:val="0"/>
          <w:i/>
          <w:color w:val="auto"/>
          <w:sz w:val="24"/>
          <w:lang w:val="sr-Latn-RS"/>
        </w:rPr>
        <w:t>Membracidae</w:t>
      </w:r>
      <w:r>
        <w:rPr>
          <w:rFonts w:ascii="Book Antiqua" w:hAnsi="Book Antiqua" w:cs="Times New Roman"/>
          <w:b w:val="0"/>
          <w:bCs w:val="0"/>
          <w:color w:val="auto"/>
          <w:sz w:val="24"/>
          <w:lang w:val="sr-Latn-RS"/>
        </w:rPr>
        <w:t xml:space="preserve">, </w:t>
      </w:r>
      <w:r>
        <w:rPr>
          <w:rFonts w:ascii="Book Antiqua" w:hAnsi="Book Antiqua" w:cs="Times New Roman"/>
          <w:b w:val="0"/>
          <w:bCs w:val="0"/>
          <w:i/>
          <w:color w:val="auto"/>
          <w:sz w:val="24"/>
          <w:lang w:val="sr-Latn-RS"/>
        </w:rPr>
        <w:t>Eryophidae</w:t>
      </w:r>
      <w:r>
        <w:rPr>
          <w:rFonts w:ascii="Book Antiqua" w:hAnsi="Book Antiqua" w:cs="Times New Roman"/>
          <w:b w:val="0"/>
          <w:bCs w:val="0"/>
          <w:color w:val="auto"/>
          <w:sz w:val="24"/>
          <w:lang w:val="sr-Latn-RS"/>
        </w:rPr>
        <w:t xml:space="preserve">, </w:t>
      </w:r>
      <w:r>
        <w:rPr>
          <w:rFonts w:ascii="Book Antiqua" w:hAnsi="Book Antiqua" w:cs="Times New Roman"/>
          <w:b w:val="0"/>
          <w:bCs w:val="0"/>
          <w:i/>
          <w:color w:val="auto"/>
          <w:sz w:val="24"/>
          <w:lang w:val="sr-Latn-RS"/>
        </w:rPr>
        <w:t>Longidoridae</w:t>
      </w:r>
      <w:r>
        <w:rPr>
          <w:rFonts w:ascii="Book Antiqua" w:hAnsi="Book Antiqua" w:cs="Times New Roman"/>
          <w:b w:val="0"/>
          <w:bCs w:val="0"/>
          <w:color w:val="auto"/>
          <w:sz w:val="24"/>
          <w:lang w:val="sr-Latn-RS"/>
        </w:rPr>
        <w:t xml:space="preserve"> (</w:t>
      </w:r>
      <w:r>
        <w:rPr>
          <w:rFonts w:ascii="Book Antiqua" w:hAnsi="Book Antiqua" w:cs="Times New Roman"/>
          <w:bCs w:val="0"/>
          <w:color w:val="auto"/>
          <w:sz w:val="24"/>
          <w:lang w:val="sr-Latn-RS"/>
        </w:rPr>
        <w:t>Fuchs, 2020</w:t>
      </w:r>
      <w:r>
        <w:rPr>
          <w:rFonts w:ascii="Book Antiqua" w:hAnsi="Book Antiqua" w:cs="Times New Roman"/>
          <w:b w:val="0"/>
          <w:bCs w:val="0"/>
          <w:color w:val="auto"/>
          <w:sz w:val="24"/>
          <w:lang w:val="sr-Latn-RS"/>
        </w:rPr>
        <w:t xml:space="preserve">). </w:t>
      </w:r>
    </w:p>
    <w:p w14:paraId="3DFB79CC" w14:textId="77777777" w:rsidR="003801E8" w:rsidRDefault="00E44AAE">
      <w:pPr>
        <w:tabs>
          <w:tab w:val="left" w:pos="3315"/>
        </w:tabs>
        <w:spacing w:line="360" w:lineRule="auto"/>
        <w:rPr>
          <w:rFonts w:ascii="Book Antiqua" w:hAnsi="Book Antiqua" w:cs="Times New Roman"/>
          <w:b/>
          <w:bCs/>
          <w:sz w:val="24"/>
          <w:szCs w:val="24"/>
        </w:rPr>
      </w:pPr>
      <w:r>
        <w:rPr>
          <w:rFonts w:ascii="Book Antiqua" w:hAnsi="Book Antiqua" w:cs="Times New Roman"/>
          <w:b/>
          <w:bCs/>
          <w:sz w:val="24"/>
          <w:szCs w:val="24"/>
        </w:rPr>
        <w:t xml:space="preserve">3.6 Bolesti stabla vinove loze </w:t>
      </w:r>
    </w:p>
    <w:p w14:paraId="737C5BDA"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Prvi formalni zapisi o bolestima stabla vinove loze (BSVL) datiraju sa kraja XIX vijeka u Francuskoj, gdje su opisani folijarni simptomi eska oboljenja, nazvani „follet age“ i „apoplexy“. Kasnije 1912. godine italijanski naučnik Lionel Petri je po prvi put kompletirao Kohove postulate i potvrdio da su gljive </w:t>
      </w:r>
      <w:r>
        <w:rPr>
          <w:rFonts w:ascii="Book Antiqua" w:hAnsi="Book Antiqua" w:cs="Times New Roman"/>
          <w:i/>
          <w:iCs/>
          <w:sz w:val="24"/>
          <w:szCs w:val="24"/>
          <w:lang w:val="sr-Latn-RS"/>
        </w:rPr>
        <w:t>Cephalosporium</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Acremonum</w:t>
      </w:r>
      <w:r>
        <w:rPr>
          <w:rFonts w:ascii="Book Antiqua" w:hAnsi="Book Antiqua" w:cs="Times New Roman"/>
          <w:sz w:val="24"/>
          <w:szCs w:val="24"/>
          <w:lang w:val="sr-Latn-RS"/>
        </w:rPr>
        <w:t xml:space="preserve"> spp. odgovorne za vaskularne nekroze mladih biljaka vinove loze. Tokom prve decenije 1900–ih u Sjevernoj Americi fitopatolog Donald Redik je na državnoj eksperimentalnoj stanici za poljoprivredu Univerziteta Korvel u Ženevi, dokazao da je gljiva </w:t>
      </w:r>
      <w:r>
        <w:rPr>
          <w:rFonts w:ascii="Book Antiqua" w:hAnsi="Book Antiqua" w:cs="Times New Roman"/>
          <w:i/>
          <w:iCs/>
          <w:sz w:val="24"/>
          <w:szCs w:val="24"/>
          <w:lang w:val="sr-Latn-RS"/>
        </w:rPr>
        <w:t>Fusiococcum viticolum</w:t>
      </w:r>
      <w:r>
        <w:rPr>
          <w:rFonts w:ascii="Book Antiqua" w:hAnsi="Book Antiqua" w:cs="Times New Roman"/>
          <w:sz w:val="24"/>
          <w:szCs w:val="24"/>
          <w:lang w:val="sr-Latn-RS"/>
        </w:rPr>
        <w:t xml:space="preserve">, trenutno poznata kao </w:t>
      </w:r>
      <w:r>
        <w:rPr>
          <w:rFonts w:ascii="Book Antiqua" w:hAnsi="Book Antiqua" w:cs="Times New Roman"/>
          <w:i/>
          <w:iCs/>
          <w:sz w:val="24"/>
          <w:szCs w:val="24"/>
          <w:lang w:val="sr-Latn-RS"/>
        </w:rPr>
        <w:t>Diaporthe ampelina</w:t>
      </w:r>
      <w:r>
        <w:rPr>
          <w:rFonts w:ascii="Book Antiqua" w:hAnsi="Book Antiqua" w:cs="Times New Roman"/>
          <w:sz w:val="24"/>
          <w:szCs w:val="24"/>
          <w:lang w:val="sr-Latn-RS"/>
        </w:rPr>
        <w:t>, bila povezana sa rakom vinove loze (</w:t>
      </w:r>
      <w:r>
        <w:rPr>
          <w:rFonts w:ascii="Book Antiqua" w:hAnsi="Book Antiqua" w:cs="Times New Roman"/>
          <w:b/>
          <w:bCs/>
          <w:color w:val="212121"/>
          <w:sz w:val="24"/>
          <w:szCs w:val="24"/>
          <w:lang w:val="sr-Latn-RS"/>
        </w:rPr>
        <w:t>Gramaje et al., 2018</w:t>
      </w:r>
      <w:r>
        <w:rPr>
          <w:rFonts w:ascii="Book Antiqua" w:hAnsi="Book Antiqua" w:cs="Times New Roman"/>
          <w:sz w:val="24"/>
          <w:szCs w:val="24"/>
          <w:lang w:val="sr-Latn-RS"/>
        </w:rPr>
        <w:t>). Bolesti stabla vinove loze su opisane kao „biotički stres vijeka“, imaju veliku geografsku rasprostranjenost (Slika 2) i pričinjavaju značajne finansijske gubitke (</w:t>
      </w:r>
      <w:r>
        <w:rPr>
          <w:rFonts w:ascii="Book Antiqua" w:hAnsi="Book Antiqua" w:cs="Times New Roman"/>
          <w:b/>
          <w:bCs/>
          <w:sz w:val="24"/>
          <w:szCs w:val="24"/>
          <w:lang w:val="sr-Latn-RS"/>
        </w:rPr>
        <w:t>Songy et al., 2019</w:t>
      </w:r>
      <w:r>
        <w:rPr>
          <w:rFonts w:ascii="Book Antiqua" w:hAnsi="Book Antiqua" w:cs="Times New Roman"/>
          <w:sz w:val="24"/>
          <w:szCs w:val="24"/>
          <w:lang w:val="sr-Latn-RS"/>
        </w:rPr>
        <w:t xml:space="preserve">). </w:t>
      </w:r>
    </w:p>
    <w:p w14:paraId="04DCA4BF" w14:textId="77777777" w:rsidR="003801E8" w:rsidRDefault="00E44AAE">
      <w:pPr>
        <w:tabs>
          <w:tab w:val="left" w:pos="3315"/>
        </w:tabs>
        <w:spacing w:line="360" w:lineRule="auto"/>
        <w:jc w:val="center"/>
        <w:rPr>
          <w:rFonts w:ascii="Book Antiqua" w:hAnsi="Book Antiqua" w:cs="Times New Roman"/>
          <w:sz w:val="24"/>
          <w:szCs w:val="24"/>
          <w:lang w:val="sr-Latn-RS"/>
        </w:rPr>
      </w:pPr>
      <w:r>
        <w:rPr>
          <w:rFonts w:ascii="Book Antiqua" w:hAnsi="Book Antiqua" w:cs="Times New Roman"/>
          <w:noProof/>
          <w:sz w:val="24"/>
          <w:szCs w:val="24"/>
          <w:lang w:val="en-US"/>
        </w:rPr>
        <w:drawing>
          <wp:inline distT="0" distB="0" distL="0" distR="0" wp14:anchorId="766C2243" wp14:editId="2D6B630C">
            <wp:extent cx="3604260" cy="2026920"/>
            <wp:effectExtent l="0" t="0" r="0" b="0"/>
            <wp:docPr id="3189528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52852" name="Picture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3658378" cy="2057300"/>
                    </a:xfrm>
                    <a:prstGeom prst="rect">
                      <a:avLst/>
                    </a:prstGeom>
                  </pic:spPr>
                </pic:pic>
              </a:graphicData>
            </a:graphic>
          </wp:inline>
        </w:drawing>
      </w:r>
    </w:p>
    <w:p w14:paraId="1FA8F241" w14:textId="77777777" w:rsidR="003801E8" w:rsidRDefault="00E44AAE">
      <w:pPr>
        <w:tabs>
          <w:tab w:val="left" w:pos="3315"/>
        </w:tabs>
        <w:spacing w:line="360" w:lineRule="auto"/>
        <w:jc w:val="center"/>
        <w:rPr>
          <w:rFonts w:ascii="Book Antiqua" w:hAnsi="Book Antiqua" w:cs="Times New Roman"/>
          <w:sz w:val="22"/>
          <w:szCs w:val="22"/>
          <w:lang w:val="sr-Latn-RS"/>
        </w:rPr>
      </w:pPr>
      <w:r>
        <w:rPr>
          <w:rFonts w:ascii="Book Antiqua" w:hAnsi="Book Antiqua" w:cs="Times New Roman"/>
          <w:b/>
          <w:bCs/>
          <w:sz w:val="22"/>
          <w:szCs w:val="22"/>
          <w:lang w:val="sr-Latn-RS"/>
        </w:rPr>
        <w:t>Slika 2</w:t>
      </w:r>
      <w:r>
        <w:rPr>
          <w:rFonts w:ascii="Book Antiqua" w:hAnsi="Book Antiqua" w:cs="Times New Roman"/>
          <w:sz w:val="22"/>
          <w:szCs w:val="22"/>
          <w:lang w:val="sr-Latn-RS"/>
        </w:rPr>
        <w:t>. Geografska rasprostranjenost bolesti stabla vinove loze (</w:t>
      </w:r>
      <w:r>
        <w:rPr>
          <w:rFonts w:ascii="Book Antiqua" w:hAnsi="Book Antiqua" w:cs="Times New Roman"/>
          <w:b/>
          <w:bCs/>
          <w:sz w:val="22"/>
          <w:szCs w:val="22"/>
          <w:lang w:val="sr-Latn-RS"/>
        </w:rPr>
        <w:t>Kenfaoui et al., 2022</w:t>
      </w:r>
      <w:r>
        <w:rPr>
          <w:rFonts w:ascii="Book Antiqua" w:hAnsi="Book Antiqua" w:cs="Times New Roman"/>
          <w:sz w:val="22"/>
          <w:szCs w:val="22"/>
          <w:lang w:val="sr-Latn-RS"/>
        </w:rPr>
        <w:t>)</w:t>
      </w:r>
    </w:p>
    <w:p w14:paraId="2F626A4D"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lastRenderedPageBreak/>
        <w:t>Na svjetskom nivou se godišnji troškovi zamjene osušenih čokota vinove loze procjenuju na oko 1.132 milijarde EUR (</w:t>
      </w:r>
      <w:r>
        <w:rPr>
          <w:rFonts w:ascii="Book Antiqua" w:hAnsi="Book Antiqua" w:cs="Times New Roman"/>
          <w:b/>
          <w:bCs/>
          <w:sz w:val="24"/>
          <w:szCs w:val="24"/>
          <w:lang w:val="sr-Latn-RS"/>
        </w:rPr>
        <w:t>Hofstetter et al., 2012</w:t>
      </w:r>
      <w:r>
        <w:rPr>
          <w:rFonts w:ascii="Book Antiqua" w:hAnsi="Book Antiqua" w:cs="Times New Roman"/>
          <w:sz w:val="24"/>
          <w:szCs w:val="24"/>
          <w:lang w:val="sr-Latn-RS"/>
        </w:rPr>
        <w:t xml:space="preserve">). </w:t>
      </w:r>
      <w:r>
        <w:rPr>
          <w:rFonts w:ascii="Book Antiqua" w:hAnsi="Book Antiqua" w:cs="Times New Roman"/>
          <w:sz w:val="24"/>
          <w:szCs w:val="24"/>
        </w:rPr>
        <w:t>Različitim bolestima stabla</w:t>
      </w:r>
      <w:r>
        <w:rPr>
          <w:rFonts w:ascii="Book Antiqua" w:hAnsi="Book Antiqua" w:cs="Times New Roman"/>
          <w:sz w:val="24"/>
          <w:szCs w:val="24"/>
          <w:lang w:val="sr-Latn-RS"/>
        </w:rPr>
        <w:t xml:space="preserve"> je pogođeno 13% produktivne loze u Francuskoj (</w:t>
      </w:r>
      <w:r>
        <w:rPr>
          <w:rFonts w:ascii="Book Antiqua" w:hAnsi="Book Antiqua" w:cs="Times New Roman"/>
          <w:b/>
          <w:sz w:val="24"/>
          <w:szCs w:val="24"/>
          <w:lang w:val="sr-Latn-RS"/>
        </w:rPr>
        <w:t>Grosman, 2008; Grosman &amp; Doublet, 2012</w:t>
      </w:r>
      <w:r>
        <w:rPr>
          <w:rFonts w:ascii="Book Antiqua" w:hAnsi="Book Antiqua" w:cs="Times New Roman"/>
          <w:sz w:val="24"/>
          <w:szCs w:val="24"/>
          <w:lang w:val="sr-Latn-RS"/>
        </w:rPr>
        <w:t>). Prosječna incidenca simptoma bolesti stabla vinove loze u italijanskim vinogradima iznosi između 8-19% (</w:t>
      </w:r>
      <w:r>
        <w:rPr>
          <w:rFonts w:ascii="Book Antiqua" w:hAnsi="Book Antiqua" w:cs="Times New Roman"/>
          <w:b/>
          <w:sz w:val="24"/>
          <w:szCs w:val="24"/>
          <w:lang w:val="sr-Latn-RS"/>
        </w:rPr>
        <w:t>Romanazzi et al., 2009</w:t>
      </w:r>
      <w:r>
        <w:rPr>
          <w:rFonts w:ascii="Book Antiqua" w:hAnsi="Book Antiqua" w:cs="Times New Roman"/>
          <w:sz w:val="24"/>
          <w:szCs w:val="24"/>
          <w:lang w:val="sr-Latn-RS"/>
        </w:rPr>
        <w:t>), a kumulativna incidenca čak i do 63% u vinogradima starosti 30 godina (</w:t>
      </w:r>
      <w:r>
        <w:rPr>
          <w:rFonts w:ascii="Book Antiqua" w:hAnsi="Book Antiqua" w:cs="Times New Roman"/>
          <w:b/>
          <w:sz w:val="24"/>
          <w:szCs w:val="24"/>
          <w:lang w:val="sr-Latn-RS"/>
        </w:rPr>
        <w:t>Surico et al., 2000</w:t>
      </w:r>
      <w:r>
        <w:rPr>
          <w:rFonts w:ascii="Book Antiqua" w:hAnsi="Book Antiqua" w:cs="Times New Roman"/>
          <w:sz w:val="24"/>
          <w:szCs w:val="24"/>
          <w:lang w:val="sr-Latn-RS"/>
        </w:rPr>
        <w:t xml:space="preserve">). O sve većoj učestalosti bolesti stabla vinove loze u španskim vinogradima izvještavaju </w:t>
      </w:r>
      <w:r>
        <w:rPr>
          <w:rFonts w:ascii="Book Antiqua" w:hAnsi="Book Antiqua" w:cs="Times New Roman"/>
          <w:b/>
          <w:bCs/>
          <w:sz w:val="24"/>
          <w:szCs w:val="24"/>
          <w:lang w:val="sr-Latn-RS"/>
        </w:rPr>
        <w:t>Martin &amp; Cobos (2007)</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Rabai et al. (2008)</w:t>
      </w:r>
      <w:r>
        <w:rPr>
          <w:rFonts w:ascii="Book Antiqua" w:hAnsi="Book Antiqua" w:cs="Times New Roman"/>
          <w:sz w:val="24"/>
          <w:szCs w:val="24"/>
          <w:lang w:val="sr-Latn-RS"/>
        </w:rPr>
        <w:t xml:space="preserve"> ističu da u Mađarskoj većina vinograda starijih od 12 godina pokazuju simptome bolesti stabla vinove loze, dok u Rumuniji u periodu 1983 – 2006. godine, usled razvoja bolesti stabla je došlo do sušenja preko 50% vinove loze (</w:t>
      </w:r>
      <w:r>
        <w:rPr>
          <w:rFonts w:ascii="Book Antiqua" w:hAnsi="Book Antiqua" w:cs="Times New Roman"/>
          <w:b/>
          <w:bCs/>
          <w:sz w:val="24"/>
          <w:szCs w:val="24"/>
          <w:lang w:val="sr-Latn-RS"/>
        </w:rPr>
        <w:t>Muntean et al., 2022</w:t>
      </w:r>
      <w:r>
        <w:rPr>
          <w:rFonts w:ascii="Book Antiqua" w:hAnsi="Book Antiqua" w:cs="Times New Roman"/>
          <w:sz w:val="24"/>
          <w:szCs w:val="24"/>
          <w:lang w:val="sr-Latn-RS"/>
        </w:rPr>
        <w:t>). U Češkoj, šteta prouzrokovana ovom grupom bolesti procjenjuje se na oko 150 miliona ČZK godišnje (oko 6 miliona eura) (</w:t>
      </w:r>
      <w:r>
        <w:rPr>
          <w:rFonts w:ascii="Book Antiqua" w:hAnsi="Book Antiqua" w:cs="Times New Roman"/>
          <w:b/>
          <w:bCs/>
          <w:sz w:val="24"/>
          <w:szCs w:val="24"/>
          <w:lang w:val="sr-Latn-RS"/>
        </w:rPr>
        <w:t>Štuskova et al., 2023)</w:t>
      </w:r>
      <w:r>
        <w:rPr>
          <w:rFonts w:ascii="Book Antiqua" w:hAnsi="Book Antiqua" w:cs="Times New Roman"/>
          <w:sz w:val="24"/>
          <w:szCs w:val="24"/>
          <w:lang w:val="sr-Latn-RS"/>
        </w:rPr>
        <w:t>. Bolesti stabla vinove loze su široko rasprostranjene i van evropskog kontinenta. Procijenjeni finansijski gubici su oko 260 miliona dolara u Kaliforniji generalno za sve bolesti stabla vinove loze, odnosno 2000-3000 $ po hektaru za esku (</w:t>
      </w:r>
      <w:r>
        <w:rPr>
          <w:rFonts w:ascii="Book Antiqua" w:hAnsi="Book Antiqua" w:cs="Times New Roman"/>
          <w:b/>
          <w:sz w:val="24"/>
          <w:szCs w:val="24"/>
          <w:lang w:val="sr-Latn-RS"/>
        </w:rPr>
        <w:t>Siebert, 2001</w:t>
      </w:r>
      <w:r>
        <w:rPr>
          <w:rFonts w:ascii="Book Antiqua" w:hAnsi="Book Antiqua" w:cs="Times New Roman"/>
          <w:sz w:val="24"/>
          <w:szCs w:val="24"/>
          <w:lang w:val="sr-Latn-RS"/>
        </w:rPr>
        <w:t xml:space="preserve">). </w:t>
      </w:r>
    </w:p>
    <w:p w14:paraId="6D94D8C6"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lang w:val="sr-Latn-RS"/>
        </w:rPr>
        <w:t>U Sjevernoj Americi bolesti stabla vinove loze u pojedinim vinogradima izazvale su infekcije 30-50%, a u nekim lokalitetima i do 94% (</w:t>
      </w:r>
      <w:r>
        <w:rPr>
          <w:rFonts w:ascii="Book Antiqua" w:hAnsi="Book Antiqua" w:cs="Times New Roman"/>
          <w:b/>
          <w:bCs/>
          <w:sz w:val="24"/>
          <w:szCs w:val="24"/>
          <w:lang w:val="sr-Latn-RS"/>
        </w:rPr>
        <w:t>Gramaje et al., 2018</w:t>
      </w:r>
      <w:r>
        <w:rPr>
          <w:rFonts w:ascii="Book Antiqua" w:hAnsi="Book Antiqua" w:cs="Times New Roman"/>
          <w:sz w:val="24"/>
          <w:szCs w:val="24"/>
          <w:lang w:val="sr-Latn-RS"/>
        </w:rPr>
        <w:t>). Jedna su od glavnih prijetnji dugoročnoj ekonomskoj održivosti vinogradarstva i vinarstva u Britanskoj Kolumbiji (Kanada) (</w:t>
      </w:r>
      <w:r>
        <w:rPr>
          <w:rFonts w:ascii="Book Antiqua" w:hAnsi="Book Antiqua" w:cs="Times New Roman"/>
          <w:b/>
          <w:bCs/>
          <w:sz w:val="24"/>
          <w:szCs w:val="24"/>
          <w:lang w:val="sr-Latn-RS"/>
        </w:rPr>
        <w:t>Úrbez Torres et al., 2014</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Úrbez Torres et al., 2023</w:t>
      </w:r>
      <w:r>
        <w:rPr>
          <w:rFonts w:ascii="Book Antiqua" w:hAnsi="Book Antiqua" w:cs="Times New Roman"/>
          <w:sz w:val="24"/>
          <w:szCs w:val="24"/>
          <w:lang w:val="sr-Latn-RS"/>
        </w:rPr>
        <w:t>). Široko su rasprostranjene u čileanskim tradicionalnim vinogradima, sa procjenom da je od ovih bolesti ugroženo preko 75% čileanskih vinograda (</w:t>
      </w:r>
      <w:r>
        <w:rPr>
          <w:rFonts w:ascii="Book Antiqua" w:hAnsi="Book Antiqua" w:cs="Times New Roman"/>
          <w:b/>
          <w:sz w:val="24"/>
          <w:szCs w:val="24"/>
          <w:lang w:val="sr-Latn-RS"/>
        </w:rPr>
        <w:t>Grinbergs et al., 2023</w:t>
      </w:r>
      <w:r>
        <w:rPr>
          <w:rFonts w:ascii="Book Antiqua" w:hAnsi="Book Antiqua" w:cs="Times New Roman"/>
          <w:bCs/>
          <w:sz w:val="24"/>
          <w:szCs w:val="24"/>
          <w:lang w:val="sr-Latn-RS"/>
        </w:rPr>
        <w:t>;</w:t>
      </w:r>
      <w:r>
        <w:rPr>
          <w:rFonts w:ascii="Book Antiqua" w:hAnsi="Book Antiqua" w:cs="Times New Roman"/>
          <w:b/>
          <w:sz w:val="24"/>
          <w:szCs w:val="24"/>
          <w:lang w:val="sr-Latn-RS"/>
        </w:rPr>
        <w:t xml:space="preserve"> Silva-Valderama et al., 2021</w:t>
      </w:r>
      <w:r>
        <w:rPr>
          <w:rFonts w:ascii="Book Antiqua" w:hAnsi="Book Antiqua" w:cs="Times New Roman"/>
          <w:sz w:val="24"/>
          <w:szCs w:val="24"/>
          <w:lang w:val="sr-Latn-RS"/>
        </w:rPr>
        <w:t xml:space="preserve">). Pod nazivom „hoja de </w:t>
      </w:r>
      <w:r>
        <w:rPr>
          <w:rFonts w:ascii="Book Antiqua" w:hAnsi="Book Antiqua" w:cs="Times New Roman"/>
          <w:sz w:val="24"/>
          <w:szCs w:val="24"/>
        </w:rPr>
        <w:t>malvón (HDM)“ su prisutne i na teritoriji Argentine (</w:t>
      </w:r>
      <w:r>
        <w:rPr>
          <w:rFonts w:ascii="Book Antiqua" w:hAnsi="Book Antiqua" w:cs="Times New Roman"/>
          <w:b/>
          <w:sz w:val="24"/>
          <w:szCs w:val="24"/>
        </w:rPr>
        <w:t>Paolinelli et al., 2022</w:t>
      </w:r>
      <w:r>
        <w:rPr>
          <w:rFonts w:ascii="Book Antiqua" w:hAnsi="Book Antiqua" w:cs="Times New Roman"/>
          <w:sz w:val="24"/>
          <w:szCs w:val="24"/>
        </w:rPr>
        <w:t xml:space="preserve">). </w:t>
      </w:r>
    </w:p>
    <w:p w14:paraId="024D04BE"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b/>
          <w:sz w:val="24"/>
          <w:szCs w:val="24"/>
          <w:lang w:val="sr-Latn-RS"/>
        </w:rPr>
        <w:t>El Samen et al. (2023)</w:t>
      </w:r>
      <w:r>
        <w:rPr>
          <w:rFonts w:ascii="Book Antiqua" w:hAnsi="Book Antiqua" w:cs="Times New Roman"/>
          <w:sz w:val="24"/>
          <w:szCs w:val="24"/>
          <w:lang w:val="sr-Latn-RS"/>
        </w:rPr>
        <w:t xml:space="preserve"> izvještavaju da je srednja učestalost bolesti stabla vinove loze u Jordanu 44%, dok na Novom Zelandu velike probleme prouzrokuju patogeni </w:t>
      </w:r>
      <w:r>
        <w:rPr>
          <w:rFonts w:ascii="Book Antiqua" w:hAnsi="Book Antiqua" w:cs="Times New Roman"/>
          <w:i/>
          <w:sz w:val="24"/>
          <w:szCs w:val="24"/>
          <w:lang w:val="sr-Latn-RS"/>
        </w:rPr>
        <w:t>Neofusicoccum parvum</w:t>
      </w:r>
      <w:r>
        <w:rPr>
          <w:rFonts w:ascii="Book Antiqua" w:hAnsi="Book Antiqua" w:cs="Times New Roman"/>
          <w:sz w:val="24"/>
          <w:szCs w:val="24"/>
          <w:lang w:val="sr-Latn-RS"/>
        </w:rPr>
        <w:t xml:space="preserve"> i </w:t>
      </w:r>
      <w:r>
        <w:rPr>
          <w:rFonts w:ascii="Book Antiqua" w:hAnsi="Book Antiqua" w:cs="Times New Roman"/>
          <w:i/>
          <w:sz w:val="24"/>
          <w:szCs w:val="24"/>
          <w:lang w:val="sr-Latn-RS"/>
        </w:rPr>
        <w:t>Neofusicoccum luteum</w:t>
      </w:r>
      <w:r>
        <w:rPr>
          <w:rFonts w:ascii="Book Antiqua" w:hAnsi="Book Antiqua" w:cs="Times New Roman"/>
          <w:sz w:val="24"/>
          <w:szCs w:val="24"/>
          <w:lang w:val="sr-Latn-RS"/>
        </w:rPr>
        <w:t xml:space="preserve"> (</w:t>
      </w:r>
      <w:r>
        <w:rPr>
          <w:rFonts w:ascii="Book Antiqua" w:hAnsi="Book Antiqua" w:cs="Times New Roman"/>
          <w:b/>
          <w:sz w:val="24"/>
          <w:szCs w:val="24"/>
          <w:lang w:val="sr-Latn-RS"/>
        </w:rPr>
        <w:t>Baskarathevan et al., 2012</w:t>
      </w:r>
      <w:r>
        <w:rPr>
          <w:rFonts w:ascii="Book Antiqua" w:hAnsi="Book Antiqua" w:cs="Times New Roman"/>
          <w:sz w:val="24"/>
          <w:szCs w:val="24"/>
          <w:lang w:val="sr-Latn-RS"/>
        </w:rPr>
        <w:t xml:space="preserve">). Sa problemima koji prouzrokuje ova grupa oboljenja, suočava se i Kina, </w:t>
      </w:r>
      <w:r>
        <w:rPr>
          <w:rFonts w:ascii="Book Antiqua" w:hAnsi="Book Antiqua" w:cs="Times New Roman"/>
          <w:sz w:val="24"/>
          <w:szCs w:val="24"/>
          <w:lang w:val="sr-Latn-RS"/>
        </w:rPr>
        <w:lastRenderedPageBreak/>
        <w:t>gdje su vinogradi posebno pogođeni botriosfernim odumiranjem (</w:t>
      </w:r>
      <w:r>
        <w:rPr>
          <w:rFonts w:ascii="Book Antiqua" w:hAnsi="Book Antiqua" w:cs="Times New Roman"/>
          <w:b/>
          <w:sz w:val="24"/>
          <w:szCs w:val="24"/>
          <w:lang w:val="sr-Latn-RS"/>
        </w:rPr>
        <w:t>Yan et al., 2013</w:t>
      </w:r>
      <w:r>
        <w:rPr>
          <w:rFonts w:ascii="Book Antiqua" w:hAnsi="Book Antiqua" w:cs="Times New Roman"/>
          <w:sz w:val="24"/>
          <w:szCs w:val="24"/>
          <w:lang w:val="sr-Latn-RS"/>
        </w:rPr>
        <w:t>). Bolesti stabla vinove loze prisutne su i u vinogradarskim regionima Balkana, gdje o prisustvu eska oboljenja u Srbiji izvještavaju (</w:t>
      </w:r>
      <w:r>
        <w:rPr>
          <w:rFonts w:ascii="Book Antiqua" w:hAnsi="Book Antiqua" w:cs="Times New Roman"/>
          <w:b/>
          <w:bCs/>
          <w:sz w:val="24"/>
          <w:szCs w:val="24"/>
          <w:lang w:val="sr-Latn-RS"/>
        </w:rPr>
        <w:t>Delibašić i sar., 2006</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Aćimović i sar., 2008</w:t>
      </w:r>
      <w:r>
        <w:rPr>
          <w:rFonts w:ascii="Book Antiqua" w:hAnsi="Book Antiqua" w:cs="Times New Roman"/>
          <w:sz w:val="24"/>
          <w:szCs w:val="24"/>
          <w:lang w:val="sr-Latn-RS"/>
        </w:rPr>
        <w:t>), Hrvatskoj</w:t>
      </w:r>
      <w:r>
        <w:rPr>
          <w:rFonts w:ascii="Book Antiqua" w:hAnsi="Book Antiqua" w:cs="Times New Roman"/>
          <w:b/>
          <w:bCs/>
          <w:sz w:val="24"/>
          <w:szCs w:val="24"/>
          <w:lang w:val="sr-Latn-RS"/>
        </w:rPr>
        <w:t xml:space="preserve"> Ivić i sar. (2017), </w:t>
      </w:r>
      <w:r>
        <w:rPr>
          <w:rFonts w:ascii="Book Antiqua" w:hAnsi="Book Antiqua" w:cs="Times New Roman"/>
          <w:sz w:val="24"/>
          <w:szCs w:val="24"/>
          <w:lang w:val="sr-Latn-RS"/>
        </w:rPr>
        <w:t>Crnoj Gori (</w:t>
      </w:r>
      <w:r>
        <w:rPr>
          <w:rFonts w:ascii="Book Antiqua" w:hAnsi="Book Antiqua" w:cs="Times New Roman"/>
          <w:b/>
          <w:bCs/>
          <w:sz w:val="24"/>
          <w:szCs w:val="24"/>
          <w:lang w:val="sr-Latn-RS"/>
        </w:rPr>
        <w:t>Latinović i sar., 2005</w:t>
      </w:r>
      <w:r>
        <w:rPr>
          <w:rFonts w:ascii="Book Antiqua" w:hAnsi="Book Antiqua" w:cs="Times New Roman"/>
          <w:sz w:val="24"/>
          <w:szCs w:val="24"/>
          <w:lang w:val="sr-Latn-RS"/>
        </w:rPr>
        <w:t>), Makedoniji (</w:t>
      </w:r>
      <w:r>
        <w:rPr>
          <w:rFonts w:ascii="Book Antiqua" w:hAnsi="Book Antiqua" w:cs="Times New Roman"/>
          <w:b/>
          <w:bCs/>
          <w:sz w:val="24"/>
          <w:szCs w:val="24"/>
          <w:lang w:val="sr-Latn-RS"/>
        </w:rPr>
        <w:t>Bojkov et al., 2024</w:t>
      </w:r>
      <w:r>
        <w:rPr>
          <w:rFonts w:ascii="Book Antiqua" w:hAnsi="Book Antiqua" w:cs="Times New Roman"/>
          <w:sz w:val="24"/>
          <w:szCs w:val="24"/>
          <w:lang w:val="sr-Latn-RS"/>
        </w:rPr>
        <w:t>), Sloveniji (</w:t>
      </w:r>
      <w:r>
        <w:rPr>
          <w:rFonts w:ascii="Book Antiqua" w:hAnsi="Book Antiqua" w:cs="Times New Roman"/>
          <w:b/>
          <w:bCs/>
          <w:sz w:val="24"/>
          <w:szCs w:val="24"/>
          <w:lang w:val="sr-Latn-RS"/>
        </w:rPr>
        <w:t>Bukovec et al., 2005</w:t>
      </w:r>
      <w:r>
        <w:rPr>
          <w:rFonts w:ascii="Book Antiqua" w:hAnsi="Book Antiqua" w:cs="Times New Roman"/>
          <w:sz w:val="24"/>
          <w:szCs w:val="24"/>
          <w:lang w:val="sr-Latn-RS"/>
        </w:rPr>
        <w:t xml:space="preserve">). </w:t>
      </w:r>
    </w:p>
    <w:p w14:paraId="5FBB9436" w14:textId="77777777" w:rsidR="003801E8" w:rsidRDefault="00E44AAE">
      <w:pPr>
        <w:tabs>
          <w:tab w:val="left" w:pos="3315"/>
        </w:tabs>
        <w:spacing w:line="360" w:lineRule="auto"/>
        <w:jc w:val="both"/>
        <w:rPr>
          <w:rFonts w:ascii="Times New Roman" w:hAnsi="Times New Roman" w:cs="Times New Roman"/>
          <w:sz w:val="18"/>
          <w:szCs w:val="18"/>
          <w:lang w:val="sr-Latn-RS"/>
        </w:rPr>
      </w:pPr>
      <w:r>
        <w:rPr>
          <w:rFonts w:ascii="Book Antiqua" w:hAnsi="Book Antiqua" w:cs="Times New Roman"/>
          <w:sz w:val="24"/>
          <w:szCs w:val="24"/>
          <w:lang w:val="sr-Latn-RS"/>
        </w:rPr>
        <w:t>Uprkos naporima učinjenim od ranih 90-ih godina da se istraže etilogija i epidemiologija bolesti stabla vinove loze, one i dalje predstavljaju ozbiljnu prijetnju za vinogradarstvo (</w:t>
      </w:r>
      <w:r>
        <w:rPr>
          <w:rFonts w:ascii="Book Antiqua" w:hAnsi="Book Antiqua" w:cs="Times New Roman"/>
          <w:b/>
          <w:bCs/>
          <w:sz w:val="24"/>
          <w:szCs w:val="24"/>
          <w:lang w:val="sr-Latn-RS"/>
        </w:rPr>
        <w:t>Berbegal et al., 2020</w:t>
      </w:r>
      <w:r>
        <w:rPr>
          <w:rFonts w:ascii="Book Antiqua" w:hAnsi="Book Antiqua" w:cs="Times New Roman"/>
          <w:sz w:val="24"/>
          <w:szCs w:val="24"/>
          <w:lang w:val="sr-Latn-RS"/>
        </w:rPr>
        <w:t>). Globalno sve veća zastupljenost bolesti stabla vinove loze u vinogradima širom svijeta poslednjih 30 godina povezana je sa velikim brojem patogena, osjetljivim biljkama domaćinima i ekološkim uticajima, koji sinergistički djeluju (</w:t>
      </w:r>
      <w:r>
        <w:rPr>
          <w:rFonts w:ascii="Book Antiqua" w:hAnsi="Book Antiqua" w:cs="Times New Roman"/>
          <w:b/>
          <w:bCs/>
          <w:sz w:val="24"/>
          <w:szCs w:val="24"/>
          <w:lang w:val="sr-Latn-RS"/>
        </w:rPr>
        <w:t>Mondello et al., 2018</w:t>
      </w:r>
      <w:r>
        <w:rPr>
          <w:rFonts w:ascii="Book Antiqua" w:hAnsi="Book Antiqua" w:cs="Times New Roman"/>
          <w:sz w:val="24"/>
          <w:szCs w:val="24"/>
          <w:lang w:val="sr-Latn-RS"/>
        </w:rPr>
        <w:t>).</w:t>
      </w:r>
      <w:r>
        <w:rPr>
          <w:rFonts w:ascii="Book Antiqua" w:hAnsi="Book Antiqua" w:cs="Times New Roman"/>
          <w:sz w:val="24"/>
          <w:szCs w:val="24"/>
          <w:lang w:val="en-US"/>
        </w:rPr>
        <w:t xml:space="preserve"> </w:t>
      </w:r>
      <w:r>
        <w:rPr>
          <w:rFonts w:ascii="Book Antiqua" w:hAnsi="Book Antiqua" w:cs="Times New Roman"/>
          <w:sz w:val="24"/>
          <w:szCs w:val="24"/>
          <w:lang w:val="sr-Latn-RS"/>
        </w:rPr>
        <w:t>Infekcija se najčešće ostvaruje putem vazdušnog inokuluma (</w:t>
      </w:r>
      <w:r>
        <w:rPr>
          <w:rFonts w:ascii="Book Antiqua" w:hAnsi="Book Antiqua" w:cs="Times New Roman"/>
          <w:b/>
          <w:bCs/>
          <w:sz w:val="24"/>
          <w:szCs w:val="24"/>
          <w:lang w:val="sr-Latn-RS"/>
        </w:rPr>
        <w:t>Billones Baaijens et al., 2017</w:t>
      </w:r>
      <w:r>
        <w:rPr>
          <w:rFonts w:ascii="Book Antiqua" w:hAnsi="Book Antiqua" w:cs="Times New Roman"/>
          <w:sz w:val="24"/>
          <w:szCs w:val="24"/>
          <w:lang w:val="sr-Latn-RS"/>
        </w:rPr>
        <w:t>), kapima kiše (</w:t>
      </w:r>
      <w:r>
        <w:rPr>
          <w:rFonts w:ascii="Book Antiqua" w:hAnsi="Book Antiqua" w:cs="Times New Roman"/>
          <w:b/>
          <w:bCs/>
          <w:sz w:val="24"/>
          <w:szCs w:val="24"/>
          <w:lang w:val="sr-Latn-RS"/>
        </w:rPr>
        <w:t>Larignon &amp; Dubois, 2000</w:t>
      </w:r>
      <w:r>
        <w:rPr>
          <w:rFonts w:ascii="Book Antiqua" w:hAnsi="Book Antiqua" w:cs="Times New Roman"/>
          <w:sz w:val="24"/>
          <w:szCs w:val="24"/>
          <w:lang w:val="sr-Latn-RS"/>
        </w:rPr>
        <w:t>) ili zglavkarima (</w:t>
      </w:r>
      <w:r>
        <w:rPr>
          <w:rFonts w:ascii="Book Antiqua" w:hAnsi="Book Antiqua" w:cs="Times New Roman"/>
          <w:b/>
          <w:bCs/>
          <w:sz w:val="24"/>
          <w:szCs w:val="24"/>
          <w:lang w:val="sr-Latn-RS"/>
        </w:rPr>
        <w:t>Moyo et al., 2014; Kalvelage et al., 2021</w:t>
      </w:r>
      <w:r>
        <w:rPr>
          <w:rFonts w:ascii="Book Antiqua" w:hAnsi="Book Antiqua" w:cs="Times New Roman"/>
          <w:sz w:val="24"/>
          <w:szCs w:val="24"/>
          <w:lang w:val="sr-Latn-RS"/>
        </w:rPr>
        <w:t>), a patogeni prouzrokova</w:t>
      </w:r>
      <w:r>
        <w:rPr>
          <w:rFonts w:ascii="Book Antiqua" w:hAnsi="Book Antiqua" w:cs="Times New Roman"/>
          <w:sz w:val="24"/>
          <w:szCs w:val="24"/>
        </w:rPr>
        <w:t xml:space="preserve">či bolesti mogu ostati vitalni u ostacima vinove loze i do 48 mjeseci nakon rezidbe </w:t>
      </w:r>
      <w:r>
        <w:rPr>
          <w:rFonts w:ascii="Book Antiqua" w:hAnsi="Book Antiqua" w:cs="Times New Roman"/>
          <w:sz w:val="24"/>
          <w:szCs w:val="24"/>
          <w:lang w:val="sr-Latn-RS"/>
        </w:rPr>
        <w:t>(</w:t>
      </w:r>
      <w:r>
        <w:rPr>
          <w:rFonts w:ascii="Book Antiqua" w:hAnsi="Book Antiqua" w:cs="Times New Roman"/>
          <w:b/>
          <w:bCs/>
          <w:sz w:val="24"/>
          <w:szCs w:val="24"/>
          <w:lang w:val="sr-Latn-RS"/>
        </w:rPr>
        <w:t>Elena &amp; Luque, 2016</w:t>
      </w:r>
      <w:r>
        <w:rPr>
          <w:rFonts w:ascii="Book Antiqua" w:hAnsi="Book Antiqua" w:cs="Times New Roman"/>
          <w:sz w:val="24"/>
          <w:szCs w:val="24"/>
          <w:lang w:val="sr-Latn-RS"/>
        </w:rPr>
        <w:t>).</w:t>
      </w:r>
      <w:r>
        <w:rPr>
          <w:rFonts w:ascii="Book Antiqua" w:hAnsi="Book Antiqua" w:cs="Times New Roman"/>
          <w:sz w:val="24"/>
          <w:szCs w:val="24"/>
        </w:rPr>
        <w:t xml:space="preserve"> </w:t>
      </w:r>
      <w:r>
        <w:rPr>
          <w:rFonts w:ascii="Book Antiqua" w:hAnsi="Book Antiqua" w:cs="Times New Roman"/>
          <w:b/>
          <w:bCs/>
          <w:sz w:val="24"/>
          <w:szCs w:val="24"/>
          <w:lang w:val="sr-Latn-RS"/>
        </w:rPr>
        <w:t>Rego et al. (2000)</w:t>
      </w:r>
      <w:r>
        <w:rPr>
          <w:rFonts w:ascii="Book Antiqua" w:hAnsi="Book Antiqua" w:cs="Times New Roman"/>
          <w:sz w:val="24"/>
          <w:szCs w:val="24"/>
          <w:lang w:val="sr-Latn-RS"/>
        </w:rPr>
        <w:t xml:space="preserve"> u Portugalu, </w:t>
      </w:r>
      <w:r>
        <w:rPr>
          <w:rFonts w:ascii="Book Antiqua" w:hAnsi="Book Antiqua" w:cs="Times New Roman"/>
          <w:b/>
          <w:bCs/>
          <w:sz w:val="24"/>
          <w:szCs w:val="24"/>
          <w:lang w:val="sr-Latn-RS"/>
        </w:rPr>
        <w:t>Zanzotto et al. (2001)</w:t>
      </w:r>
      <w:r>
        <w:rPr>
          <w:rFonts w:ascii="Book Antiqua" w:hAnsi="Book Antiqua" w:cs="Times New Roman"/>
          <w:sz w:val="24"/>
          <w:szCs w:val="24"/>
          <w:lang w:val="sr-Latn-RS"/>
        </w:rPr>
        <w:t xml:space="preserve"> u Italiji, </w:t>
      </w:r>
      <w:r>
        <w:rPr>
          <w:rFonts w:ascii="Book Antiqua" w:hAnsi="Book Antiqua" w:cs="Times New Roman"/>
          <w:b/>
          <w:bCs/>
          <w:sz w:val="24"/>
          <w:szCs w:val="24"/>
          <w:lang w:val="sr-Latn-RS"/>
        </w:rPr>
        <w:t>Ridgway et al. (2002)</w:t>
      </w:r>
      <w:r>
        <w:rPr>
          <w:rFonts w:ascii="Book Antiqua" w:hAnsi="Book Antiqua" w:cs="Times New Roman"/>
          <w:sz w:val="24"/>
          <w:szCs w:val="24"/>
          <w:lang w:val="sr-Latn-RS"/>
        </w:rPr>
        <w:t xml:space="preserve"> i </w:t>
      </w:r>
      <w:r>
        <w:rPr>
          <w:rFonts w:ascii="Book Antiqua" w:hAnsi="Book Antiqua" w:cs="Times New Roman"/>
          <w:b/>
          <w:bCs/>
          <w:sz w:val="24"/>
          <w:szCs w:val="24"/>
          <w:lang w:val="sr-Latn-RS"/>
        </w:rPr>
        <w:t>Gimenez-Jaime et al. (2006)</w:t>
      </w:r>
      <w:r>
        <w:rPr>
          <w:rFonts w:ascii="Book Antiqua" w:hAnsi="Book Antiqua" w:cs="Times New Roman"/>
          <w:sz w:val="24"/>
          <w:szCs w:val="24"/>
          <w:lang w:val="sr-Latn-RS"/>
        </w:rPr>
        <w:t xml:space="preserve"> u Južnoj Africi i Novom Zelandu ukazuju na značaj sadnog materijala u širenju bolesti stabla vinove</w:t>
      </w:r>
      <w:r>
        <w:rPr>
          <w:rFonts w:ascii="Times New Roman" w:hAnsi="Times New Roman" w:cs="Times New Roman"/>
          <w:sz w:val="18"/>
          <w:szCs w:val="18"/>
          <w:lang w:val="sr-Latn-RS"/>
        </w:rPr>
        <w:t xml:space="preserve">. </w:t>
      </w:r>
    </w:p>
    <w:p w14:paraId="3A31B562"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Prema International Council on Grapevine Trunk Disease (ICGTD) u kompleks bolesti stabla vinove loze ubrajaju se: botriosferijsko sušenje vinove loze, crna noga vinove loze, eska, eutipoza, Petrijeva bolest i crna pjegavost vinove loze (</w:t>
      </w:r>
      <w:r>
        <w:rPr>
          <w:rFonts w:ascii="Book Antiqua" w:hAnsi="Book Antiqua" w:cs="Times New Roman"/>
          <w:b/>
          <w:bCs/>
          <w:sz w:val="24"/>
          <w:szCs w:val="24"/>
          <w:lang w:val="sr-Latn-RS"/>
        </w:rPr>
        <w:t>Grozić et al., 2019</w:t>
      </w:r>
      <w:r>
        <w:rPr>
          <w:rFonts w:ascii="Book Antiqua" w:hAnsi="Book Antiqua" w:cs="Times New Roman"/>
          <w:sz w:val="24"/>
          <w:szCs w:val="24"/>
          <w:lang w:val="sr-Latn-RS"/>
        </w:rPr>
        <w:t xml:space="preserve">). Osim već navedenih oboljenja, gljivični patogeni koji mogu prouzrokovati različite promjene u drvetu vinove loze pripadaju i rodovima </w:t>
      </w:r>
      <w:r>
        <w:rPr>
          <w:rFonts w:ascii="Book Antiqua" w:hAnsi="Book Antiqua" w:cs="Times New Roman"/>
          <w:i/>
          <w:iCs/>
          <w:sz w:val="24"/>
          <w:szCs w:val="24"/>
          <w:lang w:val="sr-Latn-RS"/>
        </w:rPr>
        <w:t>Fusarium</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Verticilium</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Ophiostoma</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Fischer &amp; Kassemeyer, 2012</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Úrbez Torres et al., 2023</w:t>
      </w:r>
      <w:r>
        <w:rPr>
          <w:rFonts w:ascii="Book Antiqua" w:hAnsi="Book Antiqua" w:cs="Times New Roman"/>
          <w:sz w:val="24"/>
          <w:szCs w:val="24"/>
          <w:lang w:val="sr-Latn-RS"/>
        </w:rPr>
        <w:t xml:space="preserve">). Takođe, rijetko izolovani patogeni iz oboljelog drveta vinove loze, ali ipak povezani sa ovom grupom oboljenja su </w:t>
      </w:r>
      <w:r>
        <w:rPr>
          <w:rFonts w:ascii="Book Antiqua" w:hAnsi="Book Antiqua" w:cs="Times New Roman"/>
          <w:i/>
          <w:iCs/>
          <w:sz w:val="24"/>
          <w:szCs w:val="24"/>
          <w:lang w:val="sr-Latn-RS"/>
        </w:rPr>
        <w:t>Neocucurbitaria juglandicola</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Paraconiothirium brasiliense</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Seimatosporium vitis – viniferae</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Truncatela angustata</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Dardani et al., 2023</w:t>
      </w:r>
      <w:r>
        <w:rPr>
          <w:rFonts w:ascii="Book Antiqua" w:hAnsi="Book Antiqua" w:cs="Times New Roman"/>
          <w:sz w:val="24"/>
          <w:szCs w:val="24"/>
          <w:lang w:val="sr-Latn-RS"/>
        </w:rPr>
        <w:t xml:space="preserve">). </w:t>
      </w:r>
    </w:p>
    <w:p w14:paraId="2008524F" w14:textId="77777777" w:rsidR="00F83C53" w:rsidRDefault="00F83C53">
      <w:pPr>
        <w:tabs>
          <w:tab w:val="left" w:pos="3315"/>
        </w:tabs>
        <w:spacing w:line="360" w:lineRule="auto"/>
        <w:jc w:val="both"/>
        <w:rPr>
          <w:rFonts w:ascii="Book Antiqua" w:hAnsi="Book Antiqua" w:cs="Times New Roman"/>
          <w:sz w:val="24"/>
          <w:szCs w:val="24"/>
          <w:lang w:val="sr-Latn-RS"/>
        </w:rPr>
      </w:pPr>
    </w:p>
    <w:p w14:paraId="7A4A7524" w14:textId="77777777" w:rsidR="003801E8" w:rsidRDefault="00E44AAE">
      <w:pPr>
        <w:tabs>
          <w:tab w:val="left" w:pos="3315"/>
        </w:tabs>
        <w:spacing w:line="360" w:lineRule="auto"/>
        <w:jc w:val="both"/>
        <w:rPr>
          <w:rFonts w:ascii="Book Antiqua" w:hAnsi="Book Antiqua" w:cs="Times New Roman"/>
          <w:b/>
          <w:bCs/>
          <w:sz w:val="24"/>
          <w:szCs w:val="24"/>
          <w:lang w:val="sr-Latn-RS"/>
        </w:rPr>
      </w:pPr>
      <w:r>
        <w:rPr>
          <w:rFonts w:ascii="Book Antiqua" w:hAnsi="Book Antiqua" w:cs="Times New Roman"/>
          <w:b/>
          <w:bCs/>
          <w:sz w:val="24"/>
          <w:szCs w:val="24"/>
          <w:lang w:val="sr-Latn-RS"/>
        </w:rPr>
        <w:lastRenderedPageBreak/>
        <w:t>3.7 Petrijeva bolest vinove loze</w:t>
      </w:r>
    </w:p>
    <w:p w14:paraId="157CDB1E"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Petrijeva bolest je prvi put zvanično otkrivena u Australiji 1999. godine kada je došlo do pojave simptoma na lozama starosti 3-7 godina (</w:t>
      </w:r>
      <w:r>
        <w:rPr>
          <w:rFonts w:ascii="Book Antiqua" w:hAnsi="Book Antiqua" w:cs="Times New Roman"/>
          <w:b/>
          <w:bCs/>
          <w:sz w:val="24"/>
          <w:szCs w:val="24"/>
          <w:lang w:val="sr-Latn-RS"/>
        </w:rPr>
        <w:t>Edwards et al., 2001</w:t>
      </w:r>
      <w:r>
        <w:rPr>
          <w:rFonts w:ascii="Book Antiqua" w:hAnsi="Book Antiqua" w:cs="Times New Roman"/>
          <w:sz w:val="24"/>
          <w:szCs w:val="24"/>
          <w:lang w:val="sr-Latn-RS"/>
        </w:rPr>
        <w:t>). Morton je 1995. godine izvijestio o oboljenju mladih biljaka vinove loze u Kaliforniji koje su imale karakteristične crne pruge vaskularnih sudova, slab porast i razvoj, a nekada je dolazilo i do potpunog sušenja. Kao odgovor na infekciju, biljke su proizvodile crnu gumozu, pa je tako nastao naziv „crna žvaka“. Kasnije se ta bolest povezivala sa eska oboljenjem sve dok nije ustanovljen naziv Petri oboljenje vinove loze (</w:t>
      </w:r>
      <w:r>
        <w:rPr>
          <w:rFonts w:ascii="Book Antiqua" w:hAnsi="Book Antiqua" w:cs="Times New Roman"/>
          <w:b/>
          <w:bCs/>
          <w:sz w:val="24"/>
          <w:szCs w:val="24"/>
          <w:lang w:val="sr-Latn-RS"/>
        </w:rPr>
        <w:t>Groenewald et al., 2000</w:t>
      </w:r>
      <w:r>
        <w:rPr>
          <w:rFonts w:ascii="Book Antiqua" w:hAnsi="Book Antiqua" w:cs="Times New Roman"/>
          <w:sz w:val="24"/>
          <w:szCs w:val="24"/>
          <w:lang w:val="sr-Latn-RS"/>
        </w:rPr>
        <w:t>). Ova bolest je danas široko rasprostranjena u rasadnicima velikog broja zemalja uključujući Australiju (</w:t>
      </w:r>
      <w:r>
        <w:rPr>
          <w:rFonts w:ascii="Book Antiqua" w:hAnsi="Book Antiqua" w:cs="Times New Roman"/>
          <w:b/>
          <w:bCs/>
          <w:sz w:val="24"/>
          <w:szCs w:val="24"/>
          <w:lang w:val="sr-Latn-RS"/>
        </w:rPr>
        <w:t>Whitelav – Weckert et al., 2013</w:t>
      </w:r>
      <w:r>
        <w:rPr>
          <w:rFonts w:ascii="Book Antiqua" w:hAnsi="Book Antiqua" w:cs="Times New Roman"/>
          <w:sz w:val="24"/>
          <w:szCs w:val="24"/>
          <w:lang w:val="sr-Latn-RS"/>
        </w:rPr>
        <w:t>), Novi Zeland (</w:t>
      </w:r>
      <w:r>
        <w:rPr>
          <w:rFonts w:ascii="Book Antiqua" w:hAnsi="Book Antiqua" w:cs="Times New Roman"/>
          <w:b/>
          <w:bCs/>
          <w:sz w:val="24"/>
          <w:szCs w:val="24"/>
          <w:lang w:val="sr-Latn-RS"/>
        </w:rPr>
        <w:t>Ridgway et al., 2002</w:t>
      </w:r>
      <w:r>
        <w:rPr>
          <w:rFonts w:ascii="Book Antiqua" w:hAnsi="Book Antiqua" w:cs="Times New Roman"/>
          <w:sz w:val="24"/>
          <w:szCs w:val="24"/>
          <w:lang w:val="sr-Latn-RS"/>
        </w:rPr>
        <w:t>), Portugal (</w:t>
      </w:r>
      <w:r>
        <w:rPr>
          <w:rFonts w:ascii="Book Antiqua" w:hAnsi="Book Antiqua" w:cs="Times New Roman"/>
          <w:b/>
          <w:bCs/>
          <w:sz w:val="24"/>
          <w:szCs w:val="24"/>
          <w:lang w:val="sr-Latn-RS"/>
        </w:rPr>
        <w:t>Rego et al., 2009</w:t>
      </w:r>
      <w:r>
        <w:rPr>
          <w:rFonts w:ascii="Book Antiqua" w:hAnsi="Book Antiqua" w:cs="Times New Roman"/>
          <w:sz w:val="24"/>
          <w:szCs w:val="24"/>
          <w:lang w:val="sr-Latn-RS"/>
        </w:rPr>
        <w:t>), Francusku (</w:t>
      </w:r>
      <w:r>
        <w:rPr>
          <w:rFonts w:ascii="Book Antiqua" w:hAnsi="Book Antiqua" w:cs="Times New Roman"/>
          <w:b/>
          <w:bCs/>
          <w:sz w:val="24"/>
          <w:szCs w:val="24"/>
          <w:lang w:val="sr-Latn-RS"/>
        </w:rPr>
        <w:t>Lecomte et al., 2018</w:t>
      </w:r>
      <w:r>
        <w:rPr>
          <w:rFonts w:ascii="Book Antiqua" w:hAnsi="Book Antiqua" w:cs="Times New Roman"/>
          <w:sz w:val="24"/>
          <w:szCs w:val="24"/>
          <w:lang w:val="sr-Latn-RS"/>
        </w:rPr>
        <w:t>), Španiju (</w:t>
      </w:r>
      <w:r>
        <w:rPr>
          <w:rFonts w:ascii="Book Antiqua" w:hAnsi="Book Antiqua" w:cs="Times New Roman"/>
          <w:b/>
          <w:bCs/>
          <w:sz w:val="24"/>
          <w:szCs w:val="24"/>
          <w:lang w:val="sr-Latn-RS"/>
        </w:rPr>
        <w:t>Aroca et al., 2010</w:t>
      </w:r>
      <w:r>
        <w:rPr>
          <w:rFonts w:ascii="Book Antiqua" w:hAnsi="Book Antiqua" w:cs="Times New Roman"/>
          <w:sz w:val="24"/>
          <w:szCs w:val="24"/>
          <w:lang w:val="sr-Latn-RS"/>
        </w:rPr>
        <w:t>), Italiju (</w:t>
      </w:r>
      <w:r>
        <w:rPr>
          <w:rFonts w:ascii="Book Antiqua" w:hAnsi="Book Antiqua" w:cs="Times New Roman"/>
          <w:b/>
          <w:bCs/>
          <w:sz w:val="24"/>
          <w:szCs w:val="24"/>
          <w:lang w:val="sr-Latn-RS"/>
        </w:rPr>
        <w:t>Pollastro et al., 2009</w:t>
      </w:r>
      <w:r>
        <w:rPr>
          <w:rFonts w:ascii="Book Antiqua" w:hAnsi="Book Antiqua" w:cs="Times New Roman"/>
          <w:sz w:val="24"/>
          <w:szCs w:val="24"/>
          <w:lang w:val="sr-Latn-RS"/>
        </w:rPr>
        <w:t>), Grčku (</w:t>
      </w:r>
      <w:r>
        <w:rPr>
          <w:rFonts w:ascii="Book Antiqua" w:hAnsi="Book Antiqua" w:cs="Times New Roman"/>
          <w:b/>
          <w:bCs/>
          <w:sz w:val="24"/>
          <w:szCs w:val="24"/>
          <w:lang w:val="sr-Latn-RS"/>
        </w:rPr>
        <w:t>Rumbos, 2003</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Tsoukas et al., 2022</w:t>
      </w:r>
      <w:r>
        <w:rPr>
          <w:rFonts w:ascii="Book Antiqua" w:hAnsi="Book Antiqua" w:cs="Times New Roman"/>
          <w:sz w:val="24"/>
          <w:szCs w:val="24"/>
          <w:lang w:val="sr-Latn-RS"/>
        </w:rPr>
        <w:t>), Kanadu (</w:t>
      </w:r>
      <w:r>
        <w:rPr>
          <w:rFonts w:ascii="Book Antiqua" w:hAnsi="Book Antiqua" w:cs="Times New Roman"/>
          <w:b/>
          <w:bCs/>
          <w:sz w:val="24"/>
          <w:szCs w:val="24"/>
          <w:lang w:val="sr-Latn-RS"/>
        </w:rPr>
        <w:t>Hrycan et al., 2022</w:t>
      </w:r>
      <w:r>
        <w:rPr>
          <w:rFonts w:ascii="Book Antiqua" w:hAnsi="Book Antiqua" w:cs="Times New Roman"/>
          <w:sz w:val="24"/>
          <w:szCs w:val="24"/>
          <w:lang w:val="sr-Latn-RS"/>
        </w:rPr>
        <w:t>), Kaliforniju (</w:t>
      </w:r>
      <w:r>
        <w:rPr>
          <w:rFonts w:ascii="Book Antiqua" w:hAnsi="Book Antiqua" w:cs="Times New Roman"/>
          <w:b/>
          <w:bCs/>
          <w:sz w:val="24"/>
          <w:szCs w:val="24"/>
          <w:lang w:val="sr-Latn-RS"/>
        </w:rPr>
        <w:t>Todd et al., 2022</w:t>
      </w:r>
      <w:r>
        <w:rPr>
          <w:rFonts w:ascii="Book Antiqua" w:hAnsi="Book Antiqua" w:cs="Times New Roman"/>
          <w:sz w:val="24"/>
          <w:szCs w:val="24"/>
          <w:lang w:val="sr-Latn-RS"/>
        </w:rPr>
        <w:t>), Urugvaj (</w:t>
      </w:r>
      <w:r>
        <w:rPr>
          <w:rFonts w:ascii="Book Antiqua" w:hAnsi="Book Antiqua" w:cs="Times New Roman"/>
          <w:b/>
          <w:bCs/>
          <w:sz w:val="24"/>
          <w:szCs w:val="24"/>
          <w:lang w:val="sr-Latn-RS"/>
        </w:rPr>
        <w:t>Carbone et al., 2022</w:t>
      </w:r>
      <w:r>
        <w:rPr>
          <w:rFonts w:ascii="Book Antiqua" w:hAnsi="Book Antiqua" w:cs="Times New Roman"/>
          <w:sz w:val="24"/>
          <w:szCs w:val="24"/>
          <w:lang w:val="sr-Latn-RS"/>
        </w:rPr>
        <w:t>), Tursku (</w:t>
      </w:r>
      <w:r>
        <w:rPr>
          <w:rFonts w:ascii="Book Antiqua" w:hAnsi="Book Antiqua" w:cs="Times New Roman"/>
          <w:b/>
          <w:bCs/>
          <w:sz w:val="24"/>
          <w:szCs w:val="24"/>
          <w:lang w:val="sr-Latn-RS"/>
        </w:rPr>
        <w:t>Akgul et al., 2023</w:t>
      </w:r>
      <w:r>
        <w:rPr>
          <w:rFonts w:ascii="Book Antiqua" w:hAnsi="Book Antiqua" w:cs="Times New Roman"/>
          <w:sz w:val="24"/>
          <w:szCs w:val="24"/>
          <w:lang w:val="sr-Latn-RS"/>
        </w:rPr>
        <w:t>), Južnu Afriku (</w:t>
      </w:r>
      <w:r>
        <w:rPr>
          <w:rFonts w:ascii="Book Antiqua" w:hAnsi="Book Antiqua" w:cs="Times New Roman"/>
          <w:b/>
          <w:bCs/>
          <w:sz w:val="24"/>
          <w:szCs w:val="24"/>
          <w:lang w:val="sr-Latn-RS"/>
        </w:rPr>
        <w:t>Fereira et al., 1999</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Retief et al., 2005</w:t>
      </w:r>
      <w:r>
        <w:rPr>
          <w:rFonts w:ascii="Book Antiqua" w:hAnsi="Book Antiqua" w:cs="Times New Roman"/>
          <w:sz w:val="24"/>
          <w:szCs w:val="24"/>
          <w:lang w:val="sr-Latn-RS"/>
        </w:rPr>
        <w:t xml:space="preserve">). Prema </w:t>
      </w:r>
      <w:r>
        <w:rPr>
          <w:rFonts w:ascii="Book Antiqua" w:hAnsi="Book Antiqua" w:cs="Times New Roman"/>
          <w:b/>
          <w:bCs/>
          <w:sz w:val="24"/>
          <w:szCs w:val="24"/>
          <w:lang w:val="sr-Latn-RS"/>
        </w:rPr>
        <w:t>Gramaje et al. (2018)</w:t>
      </w:r>
      <w:r>
        <w:rPr>
          <w:rFonts w:ascii="Book Antiqua" w:hAnsi="Book Antiqua" w:cs="Times New Roman"/>
          <w:sz w:val="24"/>
          <w:szCs w:val="24"/>
          <w:lang w:val="sr-Latn-RS"/>
        </w:rPr>
        <w:t xml:space="preserve"> sa ovim oboljenjem se povezuje više vrsta gljiva uključujući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29 vrsta gljiva iz roda </w:t>
      </w:r>
      <w:r>
        <w:rPr>
          <w:rFonts w:ascii="Book Antiqua" w:hAnsi="Book Antiqua" w:cs="Times New Roman"/>
          <w:i/>
          <w:iCs/>
          <w:sz w:val="24"/>
          <w:szCs w:val="24"/>
          <w:lang w:val="sr-Latn-RS"/>
        </w:rPr>
        <w:t>Phaeoacremonium</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Pleurostoma richardsiae</w:t>
      </w:r>
      <w:r>
        <w:rPr>
          <w:rFonts w:ascii="Book Antiqua" w:hAnsi="Book Antiqua" w:cs="Times New Roman"/>
          <w:sz w:val="24"/>
          <w:szCs w:val="24"/>
          <w:lang w:val="sr-Latn-RS"/>
        </w:rPr>
        <w:t xml:space="preserve"> i 6 vrsta gljiva iz roda </w:t>
      </w:r>
      <w:r>
        <w:rPr>
          <w:rFonts w:ascii="Book Antiqua" w:hAnsi="Book Antiqua" w:cs="Times New Roman"/>
          <w:i/>
          <w:iCs/>
          <w:sz w:val="24"/>
          <w:szCs w:val="24"/>
          <w:lang w:val="sr-Latn-RS"/>
        </w:rPr>
        <w:t>Cadophora</w:t>
      </w:r>
      <w:r>
        <w:rPr>
          <w:rFonts w:ascii="Book Antiqua" w:hAnsi="Book Antiqua" w:cs="Times New Roman"/>
          <w:sz w:val="24"/>
          <w:szCs w:val="24"/>
          <w:lang w:val="sr-Latn-RS"/>
        </w:rPr>
        <w:t xml:space="preserve">. Međutum, najznačajniji prouzrokovači Petrijeve bolesti su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P. minimum</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C. luteo – olivacea</w:t>
      </w:r>
      <w:r>
        <w:rPr>
          <w:rFonts w:ascii="Book Antiqua" w:hAnsi="Book Antiqua" w:cs="Times New Roman"/>
          <w:sz w:val="24"/>
          <w:szCs w:val="24"/>
          <w:lang w:val="sr-Latn-RS"/>
        </w:rPr>
        <w:t>. Razvoju Petrijeve bolesti u vinogradima najviše doprinosi zaražen sadni materijal (</w:t>
      </w:r>
      <w:r>
        <w:rPr>
          <w:rFonts w:ascii="Book Antiqua" w:hAnsi="Book Antiqua" w:cs="Times New Roman"/>
          <w:b/>
          <w:bCs/>
          <w:sz w:val="24"/>
          <w:szCs w:val="24"/>
          <w:lang w:val="sr-Latn-RS"/>
        </w:rPr>
        <w:t>Monteiro Ferreira et al., 2018</w:t>
      </w:r>
      <w:r>
        <w:rPr>
          <w:rFonts w:ascii="Book Antiqua" w:hAnsi="Book Antiqua" w:cs="Times New Roman"/>
          <w:sz w:val="24"/>
          <w:szCs w:val="24"/>
          <w:lang w:val="sr-Latn-RS"/>
        </w:rPr>
        <w:t xml:space="preserve">). Kako ističu </w:t>
      </w:r>
      <w:r>
        <w:rPr>
          <w:rFonts w:ascii="Book Antiqua" w:hAnsi="Book Antiqua" w:cs="Times New Roman"/>
          <w:b/>
          <w:bCs/>
          <w:sz w:val="24"/>
          <w:szCs w:val="24"/>
          <w:lang w:val="sr-Latn-RS"/>
        </w:rPr>
        <w:t>Gubler et al. (2004)</w:t>
      </w:r>
      <w:r>
        <w:rPr>
          <w:rFonts w:ascii="Book Antiqua" w:hAnsi="Book Antiqua" w:cs="Times New Roman"/>
          <w:sz w:val="24"/>
          <w:szCs w:val="24"/>
          <w:lang w:val="sr-Latn-RS"/>
        </w:rPr>
        <w:t>, jedna od  razlika između eska oboljenja i Petrijeve bolesti je u načinu nastanka infekcije. Infekcija Petrijevom bolesti nastaje u toku kalemljenja ili preko zemljišta, dok infekcija eska oboljenjem nastaje preko rana nakon rezidbe vinove loze (</w:t>
      </w:r>
      <w:r>
        <w:rPr>
          <w:rFonts w:ascii="Book Antiqua" w:hAnsi="Book Antiqua" w:cs="Times New Roman"/>
          <w:b/>
          <w:bCs/>
          <w:sz w:val="24"/>
          <w:szCs w:val="24"/>
          <w:lang w:val="sr-Latn-RS"/>
        </w:rPr>
        <w:t>Gramaje &amp; Armengol, 2011</w:t>
      </w:r>
      <w:r>
        <w:rPr>
          <w:rFonts w:ascii="Book Antiqua" w:hAnsi="Book Antiqua" w:cs="Times New Roman"/>
          <w:sz w:val="24"/>
          <w:szCs w:val="24"/>
          <w:lang w:val="sr-Latn-RS"/>
        </w:rPr>
        <w:t xml:space="preserve">). Proizvodnja sadnog materijala vinove loze je slična širom svijeta i obično počinje zimi sakupljanjem reznica sa matičnih biljaka, a teoretski do infekcije može doći u bilo kojoj fazi razmnožavanja. Patogeni kao što su </w:t>
      </w:r>
      <w:r>
        <w:rPr>
          <w:rFonts w:ascii="Book Antiqua" w:hAnsi="Book Antiqua" w:cs="Times New Roman"/>
          <w:i/>
          <w:iCs/>
          <w:sz w:val="24"/>
          <w:szCs w:val="24"/>
          <w:lang w:val="sr-Latn-RS"/>
        </w:rPr>
        <w:t>P. minimum</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se mogu naći u vodi i rezervoarima za hidrataciju, alatu, mašinama, supstratu (</w:t>
      </w:r>
      <w:r>
        <w:rPr>
          <w:rFonts w:ascii="Book Antiqua" w:hAnsi="Book Antiqua" w:cs="Times New Roman"/>
          <w:b/>
          <w:bCs/>
          <w:sz w:val="24"/>
          <w:szCs w:val="24"/>
          <w:lang w:val="sr-Latn-RS"/>
        </w:rPr>
        <w:t xml:space="preserve">Fourie &amp; </w:t>
      </w:r>
      <w:r>
        <w:rPr>
          <w:rFonts w:ascii="Book Antiqua" w:hAnsi="Book Antiqua" w:cs="Times New Roman"/>
          <w:b/>
          <w:bCs/>
          <w:sz w:val="24"/>
          <w:szCs w:val="24"/>
          <w:lang w:val="sr-Latn-RS"/>
        </w:rPr>
        <w:lastRenderedPageBreak/>
        <w:t>Halleen, 2006</w:t>
      </w:r>
      <w:r>
        <w:rPr>
          <w:rFonts w:ascii="Book Antiqua" w:hAnsi="Book Antiqua" w:cs="Times New Roman"/>
          <w:sz w:val="24"/>
          <w:szCs w:val="24"/>
          <w:lang w:val="sr-Latn-RS"/>
        </w:rPr>
        <w:t xml:space="preserve">). Tokom istraživanja sprovedenog od strane </w:t>
      </w:r>
      <w:r>
        <w:rPr>
          <w:rFonts w:ascii="Book Antiqua" w:hAnsi="Book Antiqua" w:cs="Times New Roman"/>
          <w:b/>
          <w:bCs/>
          <w:sz w:val="24"/>
          <w:szCs w:val="24"/>
          <w:lang w:val="sr-Latn-RS"/>
        </w:rPr>
        <w:t>Retief et al. (2006)</w:t>
      </w:r>
      <w:r>
        <w:rPr>
          <w:rFonts w:ascii="Book Antiqua" w:hAnsi="Book Antiqua" w:cs="Times New Roman"/>
          <w:sz w:val="24"/>
          <w:szCs w:val="24"/>
          <w:lang w:val="sr-Latn-RS"/>
        </w:rPr>
        <w:t xml:space="preserve"> u rasadnicima u Južnoj Africi, gljiva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pronađena je u 25% ispitivanih podloga, 42% reznica, 16% kalemova, 40% uzoraka vode sakupljene nakon hidratacije reznica, 67% uzoraka vode sakupljene tokom kalemljenja i 8% medijuma za kalusiranje kalemova. Često je u rasadnicima inficiran i veliki broj matičnih biljaka. Polja sa matičnim biljkama se uglavnom navodnjavaju plavljenjem ili navodnjavanjem u brazde. Matične biljke se ne uzgajaju na rešetkama, pa su lastari rašireni po površini zemlje. Patogeni prouzrokovači Petri oboljenja koji se nalaze u zemljištu prouzrokuju infekciju lastara matične biljke. Mlade biljke inficirane ovim patogenima mogu pokazati različite simptome, kao što su smanjen porast, odloženo kretanje vegetacije, hloroza, smanjena biomasa korijena, nekroza korijena i sušenje (</w:t>
      </w:r>
      <w:r>
        <w:rPr>
          <w:rFonts w:ascii="Book Antiqua" w:hAnsi="Book Antiqua" w:cs="Times New Roman"/>
          <w:b/>
          <w:bCs/>
          <w:sz w:val="24"/>
          <w:szCs w:val="24"/>
          <w:lang w:val="sr-Latn-RS"/>
        </w:rPr>
        <w:t>Akgul et al., 2023</w:t>
      </w:r>
      <w:r>
        <w:rPr>
          <w:rFonts w:ascii="Book Antiqua" w:hAnsi="Book Antiqua" w:cs="Times New Roman"/>
          <w:sz w:val="24"/>
          <w:szCs w:val="24"/>
          <w:lang w:val="sr-Latn-RS"/>
        </w:rPr>
        <w:t xml:space="preserve">). Simptomi na korijenu se manifestuju u vidu tamnih lezija kako na centralnom tako i na bočnim korjenčićima. </w:t>
      </w:r>
      <w:r>
        <w:rPr>
          <w:rFonts w:ascii="Book Antiqua" w:hAnsi="Book Antiqua" w:cs="Times New Roman"/>
          <w:i/>
          <w:iCs/>
          <w:sz w:val="24"/>
          <w:szCs w:val="24"/>
          <w:lang w:val="sr-Latn-RS"/>
        </w:rPr>
        <w:t>P. minimum</w:t>
      </w:r>
      <w:r>
        <w:rPr>
          <w:rFonts w:ascii="Book Antiqua" w:hAnsi="Book Antiqua" w:cs="Times New Roman"/>
          <w:sz w:val="24"/>
          <w:szCs w:val="24"/>
          <w:lang w:val="sr-Latn-RS"/>
        </w:rPr>
        <w:t xml:space="preserve"> izaziva braon nekrozu vaskularnog tkiva, dok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prouzrokuje tamnu nekrozu, sličnu nekrozi u čokotima starijih biljaka vinove loze (</w:t>
      </w:r>
      <w:r>
        <w:rPr>
          <w:rFonts w:ascii="Book Antiqua" w:hAnsi="Book Antiqua" w:cs="Times New Roman"/>
          <w:b/>
          <w:bCs/>
          <w:sz w:val="24"/>
          <w:szCs w:val="24"/>
          <w:lang w:val="sr-Latn-RS"/>
        </w:rPr>
        <w:t>Gubler et al., 2004</w:t>
      </w:r>
      <w:r>
        <w:rPr>
          <w:rFonts w:ascii="Book Antiqua" w:hAnsi="Book Antiqua" w:cs="Times New Roman"/>
          <w:sz w:val="24"/>
          <w:szCs w:val="24"/>
          <w:lang w:val="sr-Latn-RS"/>
        </w:rPr>
        <w:t xml:space="preserve">).  </w:t>
      </w:r>
    </w:p>
    <w:p w14:paraId="71EEDD3F" w14:textId="77777777" w:rsidR="003801E8" w:rsidRDefault="003801E8">
      <w:pPr>
        <w:tabs>
          <w:tab w:val="left" w:pos="3315"/>
        </w:tabs>
        <w:spacing w:line="360" w:lineRule="auto"/>
        <w:jc w:val="both"/>
        <w:rPr>
          <w:rFonts w:ascii="Book Antiqua" w:hAnsi="Book Antiqua" w:cs="Times New Roman"/>
          <w:sz w:val="24"/>
          <w:szCs w:val="24"/>
          <w:lang w:val="sr-Latn-RS"/>
        </w:rPr>
      </w:pPr>
    </w:p>
    <w:p w14:paraId="73AAA16F"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b/>
          <w:bCs/>
          <w:sz w:val="24"/>
          <w:szCs w:val="24"/>
          <w:lang w:val="sr-Latn-RS"/>
        </w:rPr>
        <w:t xml:space="preserve">3.8 Porijeklo, rasprostranjenost i ekonomski značaj eska oboljenja </w:t>
      </w:r>
    </w:p>
    <w:p w14:paraId="740020B9"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Eska je bolest stara koliko i sama kultivacija vinove loze, a rasprostranjena je u svim regionima gdje se ova biljna vrsta uzgaja. Podaci o simptomima nalik na one koje izaziva eska oboljenje, nalaze se u nekoliko starih grčkih i latinskih djela. Međutim, bolji opisi simptoma mogu se pronaći u srednjevjekovnim djelima kao što su </w:t>
      </w:r>
      <w:r>
        <w:rPr>
          <w:rFonts w:ascii="Book Antiqua" w:hAnsi="Book Antiqua" w:cs="Times New Roman"/>
          <w:i/>
          <w:iCs/>
          <w:sz w:val="24"/>
          <w:szCs w:val="24"/>
          <w:lang w:val="sr-Latn-RS"/>
        </w:rPr>
        <w:t>Kitab al Felahah</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Opus Ruralium Commodorum</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Mugnai et al., 1999</w:t>
      </w:r>
      <w:r>
        <w:rPr>
          <w:rFonts w:ascii="Book Antiqua" w:hAnsi="Book Antiqua" w:cs="Times New Roman"/>
          <w:sz w:val="24"/>
          <w:szCs w:val="24"/>
          <w:lang w:val="sr-Latn-RS"/>
        </w:rPr>
        <w:t>). Istorijski gledano, riječ eska je indoevropskog porijekla i znači hrana, a za opis ove bolesti koristi se i termin „amadou“ tj. bijela trulež (</w:t>
      </w:r>
      <w:r>
        <w:rPr>
          <w:rFonts w:ascii="Book Antiqua" w:hAnsi="Book Antiqua" w:cs="Times New Roman"/>
          <w:b/>
          <w:bCs/>
          <w:sz w:val="24"/>
          <w:szCs w:val="24"/>
          <w:lang w:val="sr-Latn-RS"/>
        </w:rPr>
        <w:t>Montanari, 2010</w:t>
      </w:r>
      <w:r>
        <w:rPr>
          <w:rFonts w:ascii="Book Antiqua" w:hAnsi="Book Antiqua" w:cs="Times New Roman"/>
          <w:sz w:val="24"/>
          <w:szCs w:val="24"/>
          <w:lang w:val="sr-Latn-RS"/>
        </w:rPr>
        <w:t>). Naučna istraživanja o eska oboljenju mogu se podijelti na tri perioda, a počela su krajem XIX vijeka u Francuskoj. Prvi period započeo je 1898. godine sa Ravaz-om (</w:t>
      </w:r>
      <w:r>
        <w:rPr>
          <w:rFonts w:ascii="Book Antiqua" w:hAnsi="Book Antiqua" w:cs="Times New Roman"/>
          <w:b/>
          <w:sz w:val="24"/>
          <w:szCs w:val="24"/>
          <w:lang w:val="sr-Latn-RS"/>
        </w:rPr>
        <w:t>Ravaz, 1989</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Mugnai et al., 1999</w:t>
      </w:r>
      <w:r>
        <w:rPr>
          <w:rFonts w:ascii="Book Antiqua" w:hAnsi="Book Antiqua" w:cs="Times New Roman"/>
          <w:sz w:val="24"/>
          <w:szCs w:val="24"/>
          <w:lang w:val="sr-Latn-RS"/>
        </w:rPr>
        <w:t>) i završio 1926. godine naučnim radovima od strane Viala (</w:t>
      </w:r>
      <w:r>
        <w:rPr>
          <w:rFonts w:ascii="Book Antiqua" w:hAnsi="Book Antiqua" w:cs="Times New Roman"/>
          <w:b/>
          <w:sz w:val="24"/>
          <w:szCs w:val="24"/>
          <w:lang w:val="sr-Latn-RS"/>
        </w:rPr>
        <w:t>Viala, 1926</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Mugnai et al., 1999</w:t>
      </w:r>
      <w:r>
        <w:rPr>
          <w:rFonts w:ascii="Book Antiqua" w:hAnsi="Book Antiqua" w:cs="Times New Roman"/>
          <w:sz w:val="24"/>
          <w:szCs w:val="24"/>
          <w:lang w:val="sr-Latn-RS"/>
        </w:rPr>
        <w:t xml:space="preserve">). Drugi period u istraživanjima </w:t>
      </w:r>
      <w:r>
        <w:rPr>
          <w:rFonts w:ascii="Book Antiqua" w:hAnsi="Book Antiqua" w:cs="Times New Roman"/>
          <w:sz w:val="24"/>
          <w:szCs w:val="24"/>
          <w:lang w:val="sr-Latn-RS"/>
        </w:rPr>
        <w:lastRenderedPageBreak/>
        <w:t>počeo je u Kaliforniji 1957. godine sa Hewitt-om (</w:t>
      </w:r>
      <w:r>
        <w:rPr>
          <w:rFonts w:ascii="Book Antiqua" w:hAnsi="Book Antiqua" w:cs="Times New Roman"/>
          <w:b/>
          <w:sz w:val="24"/>
          <w:szCs w:val="24"/>
          <w:lang w:val="sr-Latn-RS"/>
        </w:rPr>
        <w:t>Hewitt, 1957</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Mugnai et al., 1999</w:t>
      </w:r>
      <w:r>
        <w:rPr>
          <w:rFonts w:ascii="Book Antiqua" w:hAnsi="Book Antiqua" w:cs="Times New Roman"/>
          <w:sz w:val="24"/>
          <w:szCs w:val="24"/>
          <w:lang w:val="sr-Latn-RS"/>
        </w:rPr>
        <w:t>) i trajao sve do 1959. kada je Chiarappa otkrio vezu između unutrašnjeg propadanja drveta i crnih nekroza (</w:t>
      </w:r>
      <w:r>
        <w:rPr>
          <w:rFonts w:ascii="Book Antiqua" w:hAnsi="Book Antiqua" w:cs="Times New Roman"/>
          <w:b/>
          <w:sz w:val="24"/>
          <w:szCs w:val="24"/>
          <w:lang w:val="sr-Latn-RS"/>
        </w:rPr>
        <w:t>Chiarappa, 1959</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Mugnai et al., 1999</w:t>
      </w:r>
      <w:r>
        <w:rPr>
          <w:rFonts w:ascii="Book Antiqua" w:hAnsi="Book Antiqua" w:cs="Times New Roman"/>
          <w:sz w:val="24"/>
          <w:szCs w:val="24"/>
          <w:lang w:val="sr-Latn-RS"/>
        </w:rPr>
        <w:t>). Treći period započeo je naučno istraživačkim aktivnostima Larignon i i Dubos 1987. godine, koji su ispitivali uticaj mitosporičnih gljiva koje djeluju same ili u kombinaciji sa bazidiomicetama prouzrokujući eska oboljenje (</w:t>
      </w:r>
      <w:r>
        <w:rPr>
          <w:rFonts w:ascii="Book Antiqua" w:hAnsi="Book Antiqua" w:cs="Times New Roman"/>
          <w:b/>
          <w:bCs/>
          <w:sz w:val="24"/>
          <w:szCs w:val="24"/>
          <w:lang w:val="sr-Latn-RS"/>
        </w:rPr>
        <w:t>Mugnai et al., 1999</w:t>
      </w:r>
      <w:r>
        <w:rPr>
          <w:rFonts w:ascii="Book Antiqua" w:hAnsi="Book Antiqua" w:cs="Times New Roman"/>
          <w:sz w:val="24"/>
          <w:szCs w:val="24"/>
          <w:lang w:val="sr-Latn-RS"/>
        </w:rPr>
        <w:t>). Intenzitet širenja eska oboljenja se počeo intenzivno pratiti nakon 1986. godine kada je u vinogradima u Toskani došlo do uvenuća 15% vinove loze. U tom periodu taj gubitak je prvobitno pripisan jakom mrazu koji se dogodio tokom zime 1985. godine. Me</w:t>
      </w:r>
      <w:r>
        <w:rPr>
          <w:rFonts w:ascii="Book Antiqua" w:hAnsi="Book Antiqua" w:cs="Times New Roman"/>
          <w:sz w:val="24"/>
          <w:szCs w:val="24"/>
        </w:rPr>
        <w:t xml:space="preserve">đutim, </w:t>
      </w:r>
      <w:r>
        <w:rPr>
          <w:rFonts w:ascii="Book Antiqua" w:hAnsi="Book Antiqua" w:cs="Times New Roman"/>
          <w:sz w:val="24"/>
          <w:szCs w:val="24"/>
          <w:lang w:val="sr-Latn-RS"/>
        </w:rPr>
        <w:t>nakon detaljnijeg ispitivanja ovog fenomena došlo se do zaključka da je loša zaštita od eska oboljenja dovela do sušenja vinove loze (</w:t>
      </w:r>
      <w:r>
        <w:rPr>
          <w:rFonts w:ascii="Book Antiqua" w:hAnsi="Book Antiqua" w:cs="Times New Roman"/>
          <w:b/>
          <w:bCs/>
          <w:sz w:val="24"/>
          <w:szCs w:val="24"/>
          <w:lang w:val="sr-Latn-RS"/>
        </w:rPr>
        <w:t>Surico et al., 2006</w:t>
      </w:r>
      <w:r>
        <w:rPr>
          <w:rFonts w:ascii="Book Antiqua" w:hAnsi="Book Antiqua" w:cs="Times New Roman"/>
          <w:sz w:val="24"/>
          <w:szCs w:val="24"/>
          <w:lang w:val="sr-Latn-RS"/>
        </w:rPr>
        <w:t>). Na osnovu raspoloživih informacija, danas se eska smatra kompleksom bolesti jer je za njen nastanak neophodna međusobna interakcija većeg broja mikroorganizama (</w:t>
      </w:r>
      <w:r>
        <w:rPr>
          <w:rFonts w:ascii="Book Antiqua" w:hAnsi="Book Antiqua" w:cs="Times New Roman"/>
          <w:b/>
          <w:bCs/>
          <w:sz w:val="24"/>
          <w:szCs w:val="24"/>
          <w:lang w:val="sr-Latn-RS"/>
        </w:rPr>
        <w:t>Graniti et al., 2000</w:t>
      </w:r>
      <w:r>
        <w:rPr>
          <w:rFonts w:ascii="Book Antiqua" w:hAnsi="Book Antiqua" w:cs="Times New Roman"/>
          <w:sz w:val="24"/>
          <w:szCs w:val="24"/>
          <w:lang w:val="sr-Latn-RS"/>
        </w:rPr>
        <w:t xml:space="preserve">). </w:t>
      </w:r>
    </w:p>
    <w:p w14:paraId="43F44DB8"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O velikom ekonomskom značaju eska oboljenja ukazuju i podaci da je odgovorna za zamjenu 10% biljaka vinove loze u Aslace-u (Francuska) između 2003-2005. godine (</w:t>
      </w:r>
      <w:r>
        <w:rPr>
          <w:rFonts w:ascii="Book Antiqua" w:hAnsi="Book Antiqua" w:cs="Times New Roman"/>
          <w:b/>
          <w:sz w:val="24"/>
          <w:szCs w:val="24"/>
          <w:lang w:val="sr-Latn-RS"/>
        </w:rPr>
        <w:t>Kuntzmann et al., 2010</w:t>
      </w:r>
      <w:r>
        <w:rPr>
          <w:rFonts w:ascii="Book Antiqua" w:hAnsi="Book Antiqua" w:cs="Times New Roman"/>
          <w:sz w:val="24"/>
          <w:szCs w:val="24"/>
          <w:lang w:val="sr-Latn-RS"/>
        </w:rPr>
        <w:t>). U Austriji se javlja godišnji porast od 2.7% biljaka sa folijarnim simptomima eska oboljenja (</w:t>
      </w:r>
      <w:r>
        <w:rPr>
          <w:rFonts w:ascii="Book Antiqua" w:hAnsi="Book Antiqua" w:cs="Times New Roman"/>
          <w:b/>
          <w:sz w:val="24"/>
          <w:szCs w:val="24"/>
          <w:lang w:val="sr-Latn-RS"/>
        </w:rPr>
        <w:t>Reisenzein et al., 2000</w:t>
      </w:r>
      <w:r>
        <w:rPr>
          <w:rFonts w:ascii="Book Antiqua" w:hAnsi="Book Antiqua" w:cs="Times New Roman"/>
          <w:sz w:val="24"/>
          <w:szCs w:val="24"/>
          <w:lang w:val="sr-Latn-RS"/>
        </w:rPr>
        <w:t>) dok je u starijim vinogradima na jugu Italije utvrđena kumulativna incidenca 60-80% (</w:t>
      </w:r>
      <w:r>
        <w:rPr>
          <w:rFonts w:ascii="Book Antiqua" w:hAnsi="Book Antiqua" w:cs="Times New Roman"/>
          <w:b/>
          <w:sz w:val="24"/>
          <w:szCs w:val="24"/>
          <w:lang w:val="sr-Latn-RS"/>
        </w:rPr>
        <w:t>Romanazzi et al., 2009</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Sofia et al. (2018)</w:t>
      </w:r>
      <w:r>
        <w:rPr>
          <w:rFonts w:ascii="Book Antiqua" w:hAnsi="Book Antiqua" w:cs="Times New Roman"/>
          <w:sz w:val="24"/>
          <w:szCs w:val="24"/>
          <w:lang w:val="sr-Latn-RS"/>
        </w:rPr>
        <w:t xml:space="preserve"> izvještavaju o velikom ekonomskom značaju eska oboljenja u portugalskim vinogradima, prvenstveno zbog visokog stepena osjetljivosti tradicionalnih sorti. Eska je ekonomski značajna bolest drveta vinove loze i van evropskog kontinenta, na šta u Južnoj Africi ukazuju </w:t>
      </w:r>
      <w:r>
        <w:rPr>
          <w:rFonts w:ascii="Book Antiqua" w:hAnsi="Book Antiqua" w:cs="Times New Roman"/>
          <w:b/>
          <w:bCs/>
          <w:sz w:val="24"/>
          <w:szCs w:val="24"/>
          <w:lang w:val="sr-Latn-RS"/>
        </w:rPr>
        <w:t xml:space="preserve">White et al. (2011) </w:t>
      </w:r>
      <w:r>
        <w:rPr>
          <w:rFonts w:ascii="Book Antiqua" w:hAnsi="Book Antiqua" w:cs="Times New Roman"/>
          <w:sz w:val="24"/>
          <w:szCs w:val="24"/>
          <w:lang w:val="sr-Latn-RS"/>
        </w:rPr>
        <w:t>i Novom Zelandu (</w:t>
      </w:r>
      <w:r>
        <w:rPr>
          <w:rFonts w:ascii="Book Antiqua" w:hAnsi="Book Antiqua" w:cs="Times New Roman"/>
          <w:b/>
          <w:bCs/>
          <w:sz w:val="24"/>
          <w:szCs w:val="24"/>
          <w:lang w:val="sr-Latn-RS"/>
        </w:rPr>
        <w:t>Clearwater et al., 2000; Mundy &amp; Manning, 2010</w:t>
      </w:r>
      <w:r>
        <w:rPr>
          <w:rFonts w:ascii="Book Antiqua" w:hAnsi="Book Antiqua" w:cs="Times New Roman"/>
          <w:sz w:val="24"/>
          <w:szCs w:val="24"/>
          <w:lang w:val="sr-Latn-RS"/>
        </w:rPr>
        <w:t xml:space="preserve">). </w:t>
      </w:r>
    </w:p>
    <w:p w14:paraId="0E567712" w14:textId="77777777" w:rsidR="003801E8" w:rsidRDefault="003801E8">
      <w:pPr>
        <w:tabs>
          <w:tab w:val="left" w:pos="3315"/>
        </w:tabs>
        <w:spacing w:line="360" w:lineRule="auto"/>
        <w:jc w:val="both"/>
        <w:rPr>
          <w:rFonts w:ascii="Book Antiqua" w:hAnsi="Book Antiqua" w:cs="Times New Roman"/>
          <w:sz w:val="24"/>
          <w:szCs w:val="24"/>
          <w:lang w:val="sr-Latn-RS"/>
        </w:rPr>
      </w:pPr>
    </w:p>
    <w:p w14:paraId="26229E3F" w14:textId="77777777" w:rsidR="00F83C53" w:rsidRDefault="00F83C53">
      <w:pPr>
        <w:tabs>
          <w:tab w:val="left" w:pos="3315"/>
        </w:tabs>
        <w:spacing w:line="360" w:lineRule="auto"/>
        <w:jc w:val="both"/>
        <w:rPr>
          <w:rFonts w:ascii="Book Antiqua" w:hAnsi="Book Antiqua" w:cs="Times New Roman"/>
          <w:sz w:val="24"/>
          <w:szCs w:val="24"/>
          <w:lang w:val="sr-Latn-RS"/>
        </w:rPr>
      </w:pPr>
    </w:p>
    <w:p w14:paraId="191D8CEA" w14:textId="77777777" w:rsidR="003801E8" w:rsidRDefault="003801E8">
      <w:pPr>
        <w:tabs>
          <w:tab w:val="left" w:pos="3315"/>
        </w:tabs>
        <w:spacing w:line="360" w:lineRule="auto"/>
        <w:jc w:val="both"/>
        <w:rPr>
          <w:rFonts w:ascii="Book Antiqua" w:hAnsi="Book Antiqua" w:cs="Times New Roman"/>
          <w:sz w:val="24"/>
          <w:szCs w:val="24"/>
          <w:lang w:val="sr-Latn-RS"/>
        </w:rPr>
      </w:pPr>
    </w:p>
    <w:p w14:paraId="1DB39F10" w14:textId="77777777" w:rsidR="003801E8" w:rsidRDefault="00E44AAE">
      <w:pPr>
        <w:tabs>
          <w:tab w:val="left" w:pos="3315"/>
        </w:tabs>
        <w:spacing w:line="360" w:lineRule="auto"/>
        <w:jc w:val="both"/>
        <w:rPr>
          <w:rFonts w:ascii="Book Antiqua" w:hAnsi="Book Antiqua" w:cs="Times New Roman"/>
          <w:b/>
          <w:bCs/>
          <w:sz w:val="24"/>
          <w:szCs w:val="24"/>
          <w:lang w:val="sr-Latn-RS"/>
        </w:rPr>
      </w:pPr>
      <w:r>
        <w:rPr>
          <w:rFonts w:ascii="Book Antiqua" w:hAnsi="Book Antiqua" w:cs="Times New Roman"/>
          <w:b/>
          <w:bCs/>
          <w:sz w:val="24"/>
          <w:szCs w:val="24"/>
          <w:lang w:val="sr-Latn-RS"/>
        </w:rPr>
        <w:lastRenderedPageBreak/>
        <w:t>3.9 Simptomi eska oboljenja</w:t>
      </w:r>
    </w:p>
    <w:p w14:paraId="0EE9E92E" w14:textId="77777777" w:rsidR="003801E8" w:rsidRDefault="00E44AAE">
      <w:pPr>
        <w:pStyle w:val="NormalWeb"/>
        <w:spacing w:line="360" w:lineRule="auto"/>
        <w:jc w:val="both"/>
        <w:rPr>
          <w:rFonts w:ascii="Book Antiqua" w:hAnsi="Book Antiqua"/>
        </w:rPr>
      </w:pPr>
      <w:r>
        <w:rPr>
          <w:rFonts w:ascii="Book Antiqua" w:hAnsi="Book Antiqua"/>
          <w:lang w:val="sr-Latn-RS"/>
        </w:rPr>
        <w:t>Simptomi eska oboljenja nastaju zbog niza strukturnih i fizioloških promjena unutar drveta vinove loze. Na sjevernoj hemisferi pojavljuju se u periodu od juna do septembra u vidu hroničnog i akutnog (apoplektičnog) oblika (</w:t>
      </w:r>
      <w:r>
        <w:rPr>
          <w:rFonts w:ascii="Book Antiqua" w:hAnsi="Book Antiqua"/>
          <w:b/>
          <w:lang w:val="sr-Latn-RS"/>
        </w:rPr>
        <w:t>Mugnai et al. 1999</w:t>
      </w:r>
      <w:r>
        <w:rPr>
          <w:rFonts w:ascii="Book Antiqua" w:hAnsi="Book Antiqua"/>
          <w:lang w:val="sr-Latn-RS"/>
        </w:rPr>
        <w:t xml:space="preserve">). Novija istraživanja ističu da </w:t>
      </w:r>
      <w:r>
        <w:rPr>
          <w:rFonts w:ascii="Book Antiqua" w:hAnsi="Book Antiqua"/>
        </w:rPr>
        <w:t>je u okviru esca kompleksa identifikovano pet različitih bolesti ili sindroma, koji se razlikuju prema starosti čokota, tipu simptoma i uključenim gljivama: (1) tamne pruge u drvetu i (2) Petri bolest kod mladih čokota (&lt;7 godina); (3) bijela trulež; (4) prava esca kod starijih čokota (&gt;8 godina); i (5) bolest prugastog lišća vinove loze (GLSD), koja pogađa čokote svih starosnih grupa i često je povezana sa djelimičnom ili potpunom apopleksijom (</w:t>
      </w:r>
      <w:r>
        <w:rPr>
          <w:rFonts w:ascii="Book Antiqua" w:hAnsi="Book Antiqua"/>
          <w:b/>
        </w:rPr>
        <w:t>Calzarano et al., 2021; Kraus et al., 2022; Berris et al., 2022</w:t>
      </w:r>
      <w:r>
        <w:rPr>
          <w:rFonts w:ascii="Book Antiqua" w:hAnsi="Book Antiqua"/>
        </w:rPr>
        <w:t>). Esca je kompleksna bolest kod koje infekcija može ostati latentna unutar čokota, bez vidljivih spoljašnjih simptoma, sve dok biljka ne doživi nepovoljne ili stresne uslove (</w:t>
      </w:r>
      <w:r>
        <w:rPr>
          <w:rFonts w:ascii="Book Antiqua" w:hAnsi="Book Antiqua"/>
          <w:b/>
        </w:rPr>
        <w:t>Fischer, 2019</w:t>
      </w:r>
      <w:r>
        <w:rPr>
          <w:rFonts w:ascii="Book Antiqua" w:hAnsi="Book Antiqua"/>
        </w:rPr>
        <w:t>). Na ispoljavanje folijarnih simptoma utiču različiti faktori, uključujući sortu vinove loze, starost, podlogu i uslove okoline kao što su sposobnost zadržavanja vode u zemljištu i klima tokom ljeta (</w:t>
      </w:r>
      <w:r>
        <w:rPr>
          <w:rFonts w:ascii="Book Antiqua" w:hAnsi="Book Antiqua"/>
          <w:b/>
        </w:rPr>
        <w:t xml:space="preserve">Laveau </w:t>
      </w:r>
      <w:r>
        <w:rPr>
          <w:rFonts w:ascii="Book Antiqua" w:hAnsi="Book Antiqua"/>
          <w:b/>
          <w:bCs/>
          <w:lang w:val="sr-Latn-RS"/>
        </w:rPr>
        <w:t>&amp;</w:t>
      </w:r>
      <w:r>
        <w:rPr>
          <w:rFonts w:ascii="Book Antiqua" w:hAnsi="Book Antiqua"/>
          <w:b/>
        </w:rPr>
        <w:t xml:space="preserve"> Meri, 2015; Latinović </w:t>
      </w:r>
      <w:r>
        <w:rPr>
          <w:rFonts w:ascii="Book Antiqua" w:hAnsi="Book Antiqua"/>
          <w:b/>
          <w:bCs/>
          <w:lang w:val="sr-Latn-RS"/>
        </w:rPr>
        <w:t>&amp;</w:t>
      </w:r>
      <w:r>
        <w:rPr>
          <w:rFonts w:ascii="Book Antiqua" w:hAnsi="Book Antiqua"/>
          <w:b/>
        </w:rPr>
        <w:t xml:space="preserve"> Latinović, 2017; Kovács et al., 2017; Calvo-Garrido et al., 2021; Dewasme et al., 2022</w:t>
      </w:r>
      <w:r>
        <w:rPr>
          <w:rFonts w:ascii="Book Antiqua" w:hAnsi="Book Antiqua"/>
        </w:rPr>
        <w:t xml:space="preserve">). </w:t>
      </w:r>
    </w:p>
    <w:p w14:paraId="3EA33E50" w14:textId="77777777" w:rsidR="003801E8" w:rsidRDefault="00E44AAE">
      <w:pPr>
        <w:pStyle w:val="NormalWeb"/>
        <w:spacing w:line="360" w:lineRule="auto"/>
        <w:jc w:val="both"/>
        <w:rPr>
          <w:rFonts w:ascii="Book Antiqua" w:hAnsi="Book Antiqua"/>
          <w:b/>
        </w:rPr>
      </w:pPr>
      <w:r>
        <w:rPr>
          <w:rStyle w:val="Strong"/>
          <w:rFonts w:ascii="Book Antiqua" w:hAnsi="Book Antiqua"/>
          <w:b w:val="0"/>
        </w:rPr>
        <w:t>Apopleksija predstavlja naglo djelimično ili potpuno uvenuće lastara (</w:t>
      </w:r>
      <w:r>
        <w:rPr>
          <w:rStyle w:val="Strong"/>
          <w:rFonts w:ascii="Book Antiqua" w:hAnsi="Book Antiqua"/>
        </w:rPr>
        <w:t>Goufo et al., 2019</w:t>
      </w:r>
      <w:r>
        <w:rPr>
          <w:rStyle w:val="Strong"/>
          <w:rFonts w:ascii="Book Antiqua" w:hAnsi="Book Antiqua"/>
          <w:b w:val="0"/>
        </w:rPr>
        <w:t>). Tokom apopleksije, djelovi međunervalnog tkiva lista brzo mijenjaju boju, prelazeći iz svijetlozelene u sivu, postaju nekrotični i venu. Zahvaćeni lastari obično izgube sve listove u roku od nekoliko dana (</w:t>
      </w:r>
      <w:r>
        <w:rPr>
          <w:rStyle w:val="Strong"/>
          <w:rFonts w:ascii="Book Antiqua" w:hAnsi="Book Antiqua"/>
        </w:rPr>
        <w:t>Lecomte et al., 2012</w:t>
      </w:r>
      <w:r>
        <w:rPr>
          <w:rStyle w:val="Strong"/>
          <w:rFonts w:ascii="Book Antiqua" w:hAnsi="Book Antiqua"/>
          <w:b w:val="0"/>
        </w:rPr>
        <w:t xml:space="preserve">; </w:t>
      </w:r>
      <w:r>
        <w:rPr>
          <w:rStyle w:val="Strong"/>
          <w:rFonts w:ascii="Book Antiqua" w:hAnsi="Book Antiqua"/>
        </w:rPr>
        <w:t>Magnin Robert et al., 2017</w:t>
      </w:r>
      <w:r>
        <w:rPr>
          <w:rStyle w:val="Strong"/>
          <w:rFonts w:ascii="Book Antiqua" w:hAnsi="Book Antiqua"/>
          <w:b w:val="0"/>
        </w:rPr>
        <w:t>). Simptomi hroničnog oblika bolesti  uključuju nekrozu međunervalnog tkiva lista, često praćenu promjenljivom crvenom pigmentacijom duž ivica, što formira karakteristične „tigrove pruge“ (</w:t>
      </w:r>
      <w:r>
        <w:rPr>
          <w:rStyle w:val="Strong"/>
          <w:rFonts w:ascii="Book Antiqua" w:hAnsi="Book Antiqua"/>
        </w:rPr>
        <w:t>Gramaje et al., 2018; Del Frari et al., 2022; Del Frari et al., 2025</w:t>
      </w:r>
      <w:r>
        <w:rPr>
          <w:rStyle w:val="Strong"/>
          <w:rFonts w:ascii="Book Antiqua" w:hAnsi="Book Antiqua"/>
          <w:b w:val="0"/>
        </w:rPr>
        <w:t xml:space="preserve">). Simptomi se najčešće javljaju sredinom ljeta, ali se pojavljuju sporadično i mogu varirati iz godine u godinu. Mogu da zahvate cijelu lisnu masu čokota ili samo pojedine djelove </w:t>
      </w:r>
      <w:r>
        <w:rPr>
          <w:rStyle w:val="Strong"/>
          <w:rFonts w:ascii="Book Antiqua" w:hAnsi="Book Antiqua"/>
        </w:rPr>
        <w:t>(Serra et al., 2018; Del Frari et al., 2019</w:t>
      </w:r>
      <w:r>
        <w:rPr>
          <w:rStyle w:val="Strong"/>
          <w:rFonts w:ascii="Book Antiqua" w:hAnsi="Book Antiqua"/>
          <w:b w:val="0"/>
        </w:rPr>
        <w:t xml:space="preserve">). Pojava i jačina simptoma zavisi od </w:t>
      </w:r>
      <w:r>
        <w:rPr>
          <w:rStyle w:val="Strong"/>
          <w:rFonts w:ascii="Book Antiqua" w:hAnsi="Book Antiqua"/>
          <w:b w:val="0"/>
        </w:rPr>
        <w:lastRenderedPageBreak/>
        <w:t>brojnih faktora, uključujući veoma složenu interakciju biotičkih i abiotičkih činilaca, kao i poljoprivrednih praksi (</w:t>
      </w:r>
      <w:r>
        <w:rPr>
          <w:rStyle w:val="Strong"/>
          <w:rFonts w:ascii="Book Antiqua" w:hAnsi="Book Antiqua"/>
        </w:rPr>
        <w:t>Claverie et al., 2020; Del Frari et al., 2021</w:t>
      </w:r>
      <w:r>
        <w:rPr>
          <w:rStyle w:val="Strong"/>
          <w:rFonts w:ascii="Book Antiqua" w:hAnsi="Book Antiqua"/>
          <w:b w:val="0"/>
        </w:rPr>
        <w:t>). Iako mehanizmi nastanka i pojave simptoma njesu u potpunosti razjašnjeni, preovlađujuća hipoteza sugeriše da fitotoksična jedinjenja, koja proizvode trakeomicetske gljive, dospijevaju do lisne mase gdje remete fotosintezu i izazivaju odbrambene reakcije biljke (</w:t>
      </w:r>
      <w:r>
        <w:rPr>
          <w:rStyle w:val="Strong"/>
          <w:rFonts w:ascii="Book Antiqua" w:hAnsi="Book Antiqua"/>
        </w:rPr>
        <w:t>Sparapano et al., 2000</w:t>
      </w:r>
      <w:r>
        <w:rPr>
          <w:rStyle w:val="Strong"/>
          <w:rFonts w:ascii="Book Antiqua" w:hAnsi="Book Antiqua"/>
          <w:b w:val="0"/>
        </w:rPr>
        <w:t xml:space="preserve">; </w:t>
      </w:r>
      <w:r>
        <w:rPr>
          <w:rStyle w:val="Strong"/>
          <w:rFonts w:ascii="Book Antiqua" w:hAnsi="Book Antiqua"/>
        </w:rPr>
        <w:t>Costa, 2018</w:t>
      </w:r>
      <w:r>
        <w:rPr>
          <w:rStyle w:val="Strong"/>
          <w:rFonts w:ascii="Book Antiqua" w:hAnsi="Book Antiqua"/>
          <w:b w:val="0"/>
        </w:rPr>
        <w:t xml:space="preserve">; </w:t>
      </w:r>
      <w:r>
        <w:rPr>
          <w:rStyle w:val="Strong"/>
          <w:rFonts w:ascii="Book Antiqua" w:hAnsi="Book Antiqua"/>
          <w:bCs w:val="0"/>
        </w:rPr>
        <w:t>Calzarano et al., 2018</w:t>
      </w:r>
      <w:r>
        <w:rPr>
          <w:rStyle w:val="Strong"/>
          <w:rFonts w:ascii="Book Antiqua" w:hAnsi="Book Antiqua"/>
          <w:b w:val="0"/>
        </w:rPr>
        <w:t>). Osim toga, simptomi na lišću mogu nastati i kao posledica poremećaja u protoku sokova, prouzrokovanom promjenama u strukturi drveta koje izazivaju patogeni, kao što su negasna embolija, začepljenje sprovodnih sudova gelovima i/ili tilozama, ili infekcije jednogodišnjih lastara (</w:t>
      </w:r>
      <w:r>
        <w:rPr>
          <w:rStyle w:val="Strong"/>
          <w:rFonts w:ascii="Book Antiqua" w:hAnsi="Book Antiqua"/>
        </w:rPr>
        <w:t>Larignon, 2017; Bortolami et al., 2019; Pouzoulet et al., 2019</w:t>
      </w:r>
      <w:r>
        <w:rPr>
          <w:rStyle w:val="Strong"/>
          <w:rFonts w:ascii="Book Antiqua" w:hAnsi="Book Antiqua"/>
          <w:b w:val="0"/>
        </w:rPr>
        <w:t xml:space="preserve">). </w:t>
      </w:r>
    </w:p>
    <w:p w14:paraId="179A4A2C" w14:textId="77777777" w:rsidR="003801E8" w:rsidRDefault="00E44AAE">
      <w:pPr>
        <w:tabs>
          <w:tab w:val="left" w:pos="3315"/>
        </w:tabs>
        <w:spacing w:line="360" w:lineRule="auto"/>
        <w:jc w:val="both"/>
        <w:rPr>
          <w:b/>
          <w:sz w:val="24"/>
          <w:szCs w:val="24"/>
        </w:rPr>
      </w:pPr>
      <w:r>
        <w:rPr>
          <w:rStyle w:val="Strong"/>
          <w:rFonts w:ascii="Book Antiqua" w:hAnsi="Book Antiqua"/>
          <w:b w:val="0"/>
          <w:sz w:val="24"/>
          <w:szCs w:val="24"/>
        </w:rPr>
        <w:t>Unutrašnji simptomi esca oboljenja se obično manifestuju kao tamnosmeđe do crne pjege vidljive na poprečnom presjeku, ili kao crne nekrotične lezije duž uzdužnog presjeka čokota (</w:t>
      </w:r>
      <w:r>
        <w:rPr>
          <w:rStyle w:val="Strong"/>
          <w:rFonts w:ascii="Book Antiqua" w:hAnsi="Book Antiqua"/>
          <w:sz w:val="24"/>
          <w:szCs w:val="24"/>
        </w:rPr>
        <w:t>Gramaje et al., 2009</w:t>
      </w:r>
      <w:r>
        <w:rPr>
          <w:rStyle w:val="Strong"/>
          <w:rFonts w:ascii="Book Antiqua" w:hAnsi="Book Antiqua"/>
          <w:b w:val="0"/>
          <w:sz w:val="24"/>
          <w:szCs w:val="24"/>
        </w:rPr>
        <w:t>). Kod starijih čokota u centralnom dijelu debla često se uočava bijela trulež. Ona se ispoljava kao bijelo do svijetlosmeđe trulo drvo, jasno odvojeno od zdravog tkiva tamnom linijom.</w:t>
      </w:r>
      <w:r>
        <w:rPr>
          <w:rStyle w:val="Strong"/>
          <w:rFonts w:ascii="Book Antiqua" w:hAnsi="Book Antiqua"/>
          <w:b w:val="0"/>
        </w:rPr>
        <w:t xml:space="preserve"> </w:t>
      </w:r>
      <w:r>
        <w:rPr>
          <w:rFonts w:ascii="Book Antiqua" w:hAnsi="Book Antiqua" w:cs="Times New Roman"/>
          <w:sz w:val="24"/>
          <w:szCs w:val="24"/>
          <w:lang w:val="sr-Latn-RS"/>
        </w:rPr>
        <w:t xml:space="preserve">Infekcija obično počinje od velikih rana nastalih rezidbom i </w:t>
      </w:r>
      <w:r>
        <w:rPr>
          <w:rFonts w:ascii="Book Antiqua" w:hAnsi="Book Antiqua" w:cs="Times New Roman"/>
          <w:sz w:val="24"/>
          <w:szCs w:val="24"/>
        </w:rPr>
        <w:t>širi se</w:t>
      </w:r>
      <w:r>
        <w:rPr>
          <w:rFonts w:ascii="Book Antiqua" w:hAnsi="Book Antiqua" w:cs="Times New Roman"/>
          <w:sz w:val="24"/>
          <w:szCs w:val="24"/>
          <w:lang w:val="sr-Latn-RS"/>
        </w:rPr>
        <w:t xml:space="preserve"> ka unutrašnjosti čokota. Nekada se infekcija približava površini drveta, prouzrokujući pukotine dužinom čokota, što je u Italiji poznato kao “</w:t>
      </w:r>
      <w:r>
        <w:rPr>
          <w:rFonts w:ascii="Book Antiqua" w:hAnsi="Book Antiqua" w:cs="Times New Roman"/>
          <w:i/>
          <w:iCs/>
          <w:sz w:val="24"/>
          <w:szCs w:val="24"/>
          <w:lang w:val="sr-Latn-RS"/>
        </w:rPr>
        <w:t>mal dello spacco</w:t>
      </w:r>
      <w:r>
        <w:rPr>
          <w:rFonts w:ascii="Book Antiqua" w:hAnsi="Book Antiqua" w:cs="Times New Roman"/>
          <w:sz w:val="24"/>
          <w:szCs w:val="24"/>
          <w:lang w:val="sr-Latn-RS"/>
        </w:rPr>
        <w:t>” – bolest pucanja. Propadanje sprovodnih sudova se širi čitavom dužinom čokota u manjoj ili većoj mjeri u zavisnosti od mjesta nastanka infekcije. Infekcija se rijetko razvija ispod mjesta kalemljenja</w:t>
      </w:r>
      <w:r>
        <w:rPr>
          <w:rFonts w:ascii="Book Antiqua" w:hAnsi="Book Antiqua"/>
          <w:lang w:val="sr-Latn-RS"/>
        </w:rPr>
        <w:t xml:space="preserve">. </w:t>
      </w:r>
      <w:r>
        <w:rPr>
          <w:rFonts w:ascii="Book Antiqua" w:hAnsi="Book Antiqua" w:cs="Times New Roman"/>
          <w:sz w:val="24"/>
          <w:szCs w:val="24"/>
          <w:lang w:val="sr-Latn-RS"/>
        </w:rPr>
        <w:t>Bijela trulež se na lozama koje su mlađe od 8-10 godina, primjećuje jako rijetko</w:t>
      </w:r>
      <w:r>
        <w:rPr>
          <w:rStyle w:val="Strong"/>
          <w:rFonts w:ascii="Book Antiqua" w:hAnsi="Book Antiqua"/>
          <w:b w:val="0"/>
          <w:sz w:val="24"/>
          <w:szCs w:val="24"/>
        </w:rPr>
        <w:t xml:space="preserve"> (</w:t>
      </w:r>
      <w:r>
        <w:rPr>
          <w:rStyle w:val="Strong"/>
          <w:rFonts w:ascii="Book Antiqua" w:hAnsi="Book Antiqua"/>
          <w:sz w:val="24"/>
          <w:szCs w:val="24"/>
        </w:rPr>
        <w:t>Mugnai i sar., 1999</w:t>
      </w:r>
      <w:r>
        <w:rPr>
          <w:rStyle w:val="Strong"/>
          <w:rFonts w:ascii="Book Antiqua" w:hAnsi="Book Antiqua"/>
          <w:b w:val="0"/>
          <w:sz w:val="24"/>
          <w:szCs w:val="24"/>
        </w:rPr>
        <w:t>).</w:t>
      </w:r>
    </w:p>
    <w:p w14:paraId="151C3BED" w14:textId="77777777" w:rsidR="003801E8" w:rsidRDefault="003801E8">
      <w:pPr>
        <w:tabs>
          <w:tab w:val="left" w:pos="3315"/>
        </w:tabs>
        <w:spacing w:line="360" w:lineRule="auto"/>
        <w:jc w:val="both"/>
        <w:rPr>
          <w:rFonts w:ascii="Book Antiqua" w:hAnsi="Book Antiqua" w:cs="Times New Roman"/>
          <w:sz w:val="24"/>
          <w:szCs w:val="24"/>
          <w:highlight w:val="yellow"/>
          <w:lang w:val="sr-Latn-RS"/>
        </w:rPr>
      </w:pPr>
    </w:p>
    <w:p w14:paraId="7733A093" w14:textId="77777777" w:rsidR="003801E8" w:rsidRDefault="003801E8">
      <w:pPr>
        <w:tabs>
          <w:tab w:val="left" w:pos="3315"/>
        </w:tabs>
        <w:spacing w:line="360" w:lineRule="auto"/>
        <w:jc w:val="both"/>
        <w:rPr>
          <w:rFonts w:ascii="Book Antiqua" w:hAnsi="Book Antiqua" w:cs="Times New Roman"/>
          <w:sz w:val="24"/>
          <w:szCs w:val="24"/>
          <w:highlight w:val="yellow"/>
          <w:lang w:val="sr-Latn-RS"/>
        </w:rPr>
      </w:pPr>
    </w:p>
    <w:p w14:paraId="12A4316C" w14:textId="77777777" w:rsidR="003801E8" w:rsidRDefault="003801E8">
      <w:pPr>
        <w:tabs>
          <w:tab w:val="left" w:pos="3315"/>
        </w:tabs>
        <w:spacing w:line="360" w:lineRule="auto"/>
        <w:jc w:val="both"/>
        <w:rPr>
          <w:rFonts w:ascii="Book Antiqua" w:hAnsi="Book Antiqua" w:cs="Times New Roman"/>
          <w:sz w:val="24"/>
          <w:szCs w:val="24"/>
          <w:lang w:val="sr-Latn-RS"/>
        </w:rPr>
      </w:pPr>
    </w:p>
    <w:p w14:paraId="4008C630"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lastRenderedPageBreak/>
        <w:t xml:space="preserve">Veliki broj istraživača je u laboratorijskim uslovima pokušao vještačkom inokulacijom prouzrokovati simptome eska oboljenja. Uspjeh u inokulaciji jedino su imali </w:t>
      </w:r>
      <w:r>
        <w:rPr>
          <w:rFonts w:ascii="Book Antiqua" w:hAnsi="Book Antiqua" w:cs="Times New Roman"/>
          <w:b/>
          <w:bCs/>
          <w:sz w:val="24"/>
          <w:szCs w:val="24"/>
          <w:lang w:val="sr-Latn-RS"/>
        </w:rPr>
        <w:t>Sparapano et al. (2001)</w:t>
      </w:r>
      <w:r>
        <w:rPr>
          <w:rFonts w:ascii="Book Antiqua" w:hAnsi="Book Antiqua" w:cs="Times New Roman"/>
          <w:sz w:val="24"/>
          <w:szCs w:val="24"/>
          <w:lang w:val="sr-Latn-RS"/>
        </w:rPr>
        <w:t xml:space="preserve"> i </w:t>
      </w:r>
      <w:r>
        <w:rPr>
          <w:rFonts w:ascii="Book Antiqua" w:hAnsi="Book Antiqua" w:cs="Times New Roman"/>
          <w:b/>
          <w:bCs/>
          <w:sz w:val="24"/>
          <w:szCs w:val="24"/>
          <w:lang w:val="sr-Latn-RS"/>
        </w:rPr>
        <w:t>Feliciano et al. (2004)</w:t>
      </w:r>
      <w:r>
        <w:rPr>
          <w:rFonts w:ascii="Book Antiqua" w:hAnsi="Book Antiqua" w:cs="Times New Roman"/>
          <w:sz w:val="24"/>
          <w:szCs w:val="24"/>
          <w:lang w:val="sr-Latn-RS"/>
        </w:rPr>
        <w:t xml:space="preserve"> inokulacijom sorti Matilde i Italija starosti 9 i 5 godina, odnosno sorte Thompson seedless, starosti 15godina. Status ishranjenosti vinove loze može uticati na pojavu folijarnih simptoma (</w:t>
      </w:r>
      <w:r>
        <w:rPr>
          <w:rFonts w:ascii="Book Antiqua" w:hAnsi="Book Antiqua" w:cs="Times New Roman"/>
          <w:b/>
          <w:sz w:val="24"/>
          <w:szCs w:val="24"/>
          <w:lang w:val="sr-Latn-RS"/>
        </w:rPr>
        <w:t>Calzarano et al., 2009, Calzarano et al., 2021</w:t>
      </w:r>
      <w:r>
        <w:rPr>
          <w:rFonts w:ascii="Book Antiqua" w:hAnsi="Book Antiqua" w:cs="Times New Roman"/>
          <w:sz w:val="24"/>
          <w:szCs w:val="24"/>
          <w:lang w:val="sr-Latn-RS"/>
        </w:rPr>
        <w:t>). Osim na listovima simptomi bolesti se javljaju i na mladim grozdovima kod kojih bobice u početku zaostaju u porastu, neravnomjerno se razvijaju i u potpunosti osuše. Kod nekih grozdova prije sušenja, na pokožici bobica mogu se primijetiti mrkoljubičaste do sivkaste pjege (</w:t>
      </w:r>
      <w:r>
        <w:rPr>
          <w:rFonts w:ascii="Book Antiqua" w:hAnsi="Book Antiqua" w:cs="Times New Roman"/>
          <w:b/>
          <w:bCs/>
          <w:sz w:val="24"/>
          <w:szCs w:val="24"/>
          <w:lang w:val="sr-Latn-RS"/>
        </w:rPr>
        <w:t>Aćimović i sar., 2008</w:t>
      </w:r>
      <w:r>
        <w:rPr>
          <w:rFonts w:ascii="Book Antiqua" w:hAnsi="Book Antiqua" w:cs="Times New Roman"/>
          <w:sz w:val="24"/>
          <w:szCs w:val="24"/>
          <w:lang w:val="sr-Latn-RS"/>
        </w:rPr>
        <w:t xml:space="preserve">). </w:t>
      </w:r>
    </w:p>
    <w:p w14:paraId="2BA803FE"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Pjegavost bobica kao simptom eska oboljenja prijavljena je u Italiji, Kaliforniji i Francuskoj, posebno kod bijelih sorti vinove loze. Pjegavost se sastoji od tamno smeđih do crnih mrlja koje se javljaju na pokožici bobica pa zbog toga ova bolest u Kaliforniji ima naziv „crne boginje“. Sitne crne tačke su nepravilno raspoređene po površini bobice naročito na njenom distalnom dijelu, a nekada čak i u vidu uzdužnih traka (</w:t>
      </w:r>
      <w:r>
        <w:rPr>
          <w:rFonts w:ascii="Book Antiqua" w:hAnsi="Book Antiqua" w:cs="Times New Roman"/>
          <w:b/>
          <w:bCs/>
          <w:sz w:val="24"/>
          <w:szCs w:val="24"/>
          <w:lang w:val="sr-Latn-RS"/>
        </w:rPr>
        <w:t>Bester, 2006; Andolfi et al., 2011</w:t>
      </w:r>
      <w:r>
        <w:rPr>
          <w:rFonts w:ascii="Book Antiqua" w:hAnsi="Book Antiqua" w:cs="Times New Roman"/>
          <w:sz w:val="24"/>
          <w:szCs w:val="24"/>
          <w:lang w:val="sr-Latn-RS"/>
        </w:rPr>
        <w:t>). Prisustvo pjega na grožđu stonih sorti prouzrokuje gubitak tržišne vrijednosti. Simptomi se mogu javiti samo na nekim bobicama u grozdu ili samo na nekim grozdovima na čokotu vinove loze (</w:t>
      </w:r>
      <w:r>
        <w:rPr>
          <w:rFonts w:ascii="Book Antiqua" w:hAnsi="Book Antiqua" w:cs="Times New Roman"/>
          <w:b/>
          <w:bCs/>
          <w:sz w:val="24"/>
          <w:szCs w:val="24"/>
          <w:lang w:val="sr-Latn-RS"/>
        </w:rPr>
        <w:t>Mugni et al., 1999</w:t>
      </w:r>
      <w:r>
        <w:rPr>
          <w:rFonts w:ascii="Book Antiqua" w:hAnsi="Book Antiqua" w:cs="Times New Roman"/>
          <w:sz w:val="24"/>
          <w:szCs w:val="24"/>
          <w:lang w:val="sr-Latn-RS"/>
        </w:rPr>
        <w:t>). Iako je za sada  dostupno relativno malo saznanja o simptomima eska oboljenja na bobicama vinove loze, bolest utiče na normalno sazrijevanje bobica i metabolizam flavonoida, koji je odgovoran za proizvodnju antocijana i tanina (</w:t>
      </w:r>
      <w:r>
        <w:rPr>
          <w:rFonts w:ascii="Book Antiqua" w:hAnsi="Book Antiqua" w:cs="Times New Roman"/>
          <w:b/>
          <w:sz w:val="24"/>
          <w:szCs w:val="24"/>
          <w:lang w:val="sr-Latn-RS"/>
        </w:rPr>
        <w:t>Lorrain et al., 2012</w:t>
      </w:r>
      <w:r>
        <w:rPr>
          <w:rFonts w:ascii="Book Antiqua" w:hAnsi="Book Antiqua" w:cs="Times New Roman"/>
          <w:sz w:val="24"/>
          <w:szCs w:val="24"/>
          <w:lang w:val="sr-Latn-RS"/>
        </w:rPr>
        <w:t>). Kao posledica toga, šećeri i fenoli se smanjuju, a samim tim je senzorni kvalitet vina značajno slabiji (</w:t>
      </w:r>
      <w:r>
        <w:rPr>
          <w:rFonts w:ascii="Book Antiqua" w:hAnsi="Book Antiqua" w:cs="Times New Roman"/>
          <w:b/>
          <w:sz w:val="24"/>
          <w:szCs w:val="24"/>
          <w:lang w:val="sr-Latn-RS"/>
        </w:rPr>
        <w:t>Calzarano et al., 2001; Calzarano et al., 2004</w:t>
      </w:r>
      <w:r>
        <w:rPr>
          <w:rFonts w:ascii="Book Antiqua" w:hAnsi="Book Antiqua" w:cs="Times New Roman"/>
          <w:sz w:val="24"/>
          <w:szCs w:val="24"/>
          <w:lang w:val="sr-Latn-RS"/>
        </w:rPr>
        <w:t>). Za sada još uvijek nema podataka o uticaju eska oboljenja na cvasti i korjenov sistem vinove loze (</w:t>
      </w:r>
      <w:r>
        <w:rPr>
          <w:rFonts w:ascii="Book Antiqua" w:hAnsi="Book Antiqua" w:cs="Times New Roman"/>
          <w:b/>
          <w:sz w:val="24"/>
          <w:szCs w:val="24"/>
          <w:lang w:val="sr-Latn-RS"/>
        </w:rPr>
        <w:t>Fontaine et al., 2015</w:t>
      </w:r>
      <w:r>
        <w:rPr>
          <w:rFonts w:ascii="Book Antiqua" w:hAnsi="Book Antiqua" w:cs="Times New Roman"/>
          <w:sz w:val="24"/>
          <w:szCs w:val="24"/>
          <w:lang w:val="sr-Latn-RS"/>
        </w:rPr>
        <w:t xml:space="preserve">). </w:t>
      </w:r>
    </w:p>
    <w:p w14:paraId="67ADF7F8" w14:textId="77777777" w:rsidR="003801E8" w:rsidRDefault="003801E8">
      <w:pPr>
        <w:tabs>
          <w:tab w:val="left" w:pos="3315"/>
        </w:tabs>
        <w:spacing w:line="360" w:lineRule="auto"/>
        <w:jc w:val="both"/>
        <w:rPr>
          <w:rFonts w:ascii="Book Antiqua" w:hAnsi="Book Antiqua" w:cs="Times New Roman"/>
          <w:color w:val="1F3864" w:themeColor="accent1" w:themeShade="80"/>
          <w:sz w:val="24"/>
          <w:szCs w:val="24"/>
          <w:lang w:val="sr-Latn-RS"/>
        </w:rPr>
      </w:pPr>
    </w:p>
    <w:p w14:paraId="180ED6FD" w14:textId="77777777" w:rsidR="003801E8" w:rsidRDefault="003801E8">
      <w:pPr>
        <w:tabs>
          <w:tab w:val="left" w:pos="3315"/>
        </w:tabs>
        <w:spacing w:line="360" w:lineRule="auto"/>
        <w:jc w:val="both"/>
        <w:rPr>
          <w:rFonts w:ascii="Book Antiqua" w:hAnsi="Book Antiqua" w:cs="Times New Roman"/>
          <w:color w:val="1F3864" w:themeColor="accent1" w:themeShade="80"/>
          <w:sz w:val="24"/>
          <w:szCs w:val="24"/>
          <w:lang w:val="sr-Latn-RS"/>
        </w:rPr>
      </w:pPr>
    </w:p>
    <w:p w14:paraId="0C5A5EFC" w14:textId="77777777" w:rsidR="003801E8" w:rsidRDefault="00E44AAE">
      <w:pPr>
        <w:tabs>
          <w:tab w:val="left" w:pos="3315"/>
        </w:tabs>
        <w:spacing w:line="360" w:lineRule="auto"/>
        <w:jc w:val="both"/>
        <w:rPr>
          <w:rFonts w:ascii="Book Antiqua" w:hAnsi="Book Antiqua" w:cs="Times New Roman"/>
          <w:b/>
          <w:bCs/>
          <w:sz w:val="24"/>
          <w:szCs w:val="24"/>
          <w:lang w:val="sr-Latn-RS"/>
        </w:rPr>
      </w:pPr>
      <w:r>
        <w:rPr>
          <w:rFonts w:ascii="Book Antiqua" w:hAnsi="Book Antiqua" w:cs="Times New Roman"/>
          <w:b/>
          <w:bCs/>
          <w:sz w:val="24"/>
          <w:szCs w:val="24"/>
          <w:lang w:val="sr-Latn-RS"/>
        </w:rPr>
        <w:lastRenderedPageBreak/>
        <w:t>3.10 Patogeni prouzrokovači eska oboljenja</w:t>
      </w:r>
    </w:p>
    <w:p w14:paraId="01FAB06F"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Patogeni mikroorganizmi koji se najčešće povezuju sa eska oboljenjem su: </w:t>
      </w:r>
      <w:r>
        <w:rPr>
          <w:rFonts w:ascii="Book Antiqua" w:hAnsi="Book Antiqua" w:cs="Times New Roman"/>
          <w:i/>
          <w:sz w:val="24"/>
          <w:szCs w:val="24"/>
          <w:lang w:val="sr-Latn-RS"/>
        </w:rPr>
        <w:t>Phaeomoniella chlamydospora</w:t>
      </w:r>
      <w:r>
        <w:rPr>
          <w:rFonts w:ascii="Book Antiqua" w:hAnsi="Book Antiqua" w:cs="Times New Roman"/>
          <w:iCs/>
          <w:sz w:val="24"/>
          <w:szCs w:val="24"/>
          <w:lang w:val="sr-Latn-RS"/>
        </w:rPr>
        <w:t>,</w:t>
      </w:r>
      <w:r>
        <w:rPr>
          <w:rFonts w:ascii="Book Antiqua" w:hAnsi="Book Antiqua" w:cs="Times New Roman"/>
          <w:sz w:val="24"/>
          <w:szCs w:val="24"/>
          <w:lang w:val="sr-Latn-RS"/>
        </w:rPr>
        <w:t xml:space="preserve"> </w:t>
      </w:r>
      <w:r>
        <w:rPr>
          <w:rFonts w:ascii="Book Antiqua" w:hAnsi="Book Antiqua" w:cs="Times New Roman"/>
          <w:i/>
          <w:sz w:val="24"/>
          <w:szCs w:val="24"/>
          <w:lang w:val="sr-Latn-RS"/>
        </w:rPr>
        <w:t>Phaeoacremonium minimum</w:t>
      </w:r>
      <w:r>
        <w:rPr>
          <w:rFonts w:ascii="Book Antiqua" w:hAnsi="Book Antiqua" w:cs="Times New Roman"/>
          <w:sz w:val="24"/>
          <w:szCs w:val="24"/>
          <w:lang w:val="sr-Latn-RS"/>
        </w:rPr>
        <w:t xml:space="preserve"> i najčešće izolovana bazidiomiceta u Evropi </w:t>
      </w:r>
      <w:r>
        <w:rPr>
          <w:rFonts w:ascii="Book Antiqua" w:hAnsi="Book Antiqua" w:cs="Times New Roman"/>
          <w:i/>
          <w:sz w:val="24"/>
          <w:szCs w:val="24"/>
          <w:lang w:val="sr-Latn-RS"/>
        </w:rPr>
        <w:t>Fomitiporia mediterranea</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Crous &amp; Gams, 2000</w:t>
      </w:r>
      <w:r>
        <w:rPr>
          <w:rFonts w:ascii="Book Antiqua" w:hAnsi="Book Antiqua" w:cs="Times New Roman"/>
          <w:sz w:val="24"/>
          <w:szCs w:val="24"/>
          <w:lang w:val="sr-Latn-RS"/>
        </w:rPr>
        <w:t xml:space="preserve">; </w:t>
      </w:r>
      <w:r>
        <w:rPr>
          <w:rFonts w:ascii="Book Antiqua" w:hAnsi="Book Antiqua" w:cs="Times New Roman"/>
          <w:b/>
          <w:sz w:val="24"/>
          <w:szCs w:val="24"/>
          <w:lang w:val="sr-Latn-RS"/>
        </w:rPr>
        <w:t>Ficher, 2002; Gramaje et al., 2015</w:t>
      </w:r>
      <w:r>
        <w:rPr>
          <w:rFonts w:ascii="Book Antiqua" w:hAnsi="Book Antiqua" w:cs="Times New Roman"/>
          <w:sz w:val="24"/>
          <w:szCs w:val="24"/>
          <w:lang w:val="sr-Latn-RS"/>
        </w:rPr>
        <w:t xml:space="preserve">). </w:t>
      </w:r>
    </w:p>
    <w:p w14:paraId="094F3F5C"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Međutim u vezu sa eska oboljenjem, istorijski gledano, dovodio se veći broj bazidiomiceta. Na osnovu fruktifikacije patogena na inficiranim biljkama vinove loze u Francuskoj, prva opisana bazidiomiceta je bila </w:t>
      </w:r>
      <w:r>
        <w:rPr>
          <w:rFonts w:ascii="Book Antiqua" w:hAnsi="Book Antiqua" w:cs="Times New Roman"/>
          <w:i/>
          <w:sz w:val="24"/>
          <w:szCs w:val="24"/>
          <w:lang w:val="sr-Latn-RS"/>
        </w:rPr>
        <w:t xml:space="preserve">Phellinus igniarius </w:t>
      </w:r>
      <w:r>
        <w:rPr>
          <w:rFonts w:ascii="Book Antiqua" w:hAnsi="Book Antiqua" w:cs="Times New Roman"/>
          <w:sz w:val="24"/>
          <w:szCs w:val="24"/>
          <w:lang w:val="sr-Latn-RS"/>
        </w:rPr>
        <w:t xml:space="preserve">(u to vrijeme </w:t>
      </w:r>
      <w:r>
        <w:rPr>
          <w:rFonts w:ascii="Book Antiqua" w:hAnsi="Book Antiqua" w:cs="Times New Roman"/>
          <w:i/>
          <w:sz w:val="24"/>
          <w:szCs w:val="24"/>
          <w:lang w:val="sr-Latn-RS"/>
        </w:rPr>
        <w:t>Phomes ignarius</w:t>
      </w:r>
      <w:r>
        <w:rPr>
          <w:rFonts w:ascii="Book Antiqua" w:hAnsi="Book Antiqua" w:cs="Times New Roman"/>
          <w:sz w:val="24"/>
          <w:szCs w:val="24"/>
          <w:lang w:val="sr-Latn-RS"/>
        </w:rPr>
        <w:t xml:space="preserve">), a ranije </w:t>
      </w:r>
      <w:r>
        <w:rPr>
          <w:rFonts w:ascii="Book Antiqua" w:hAnsi="Book Antiqua" w:cs="Times New Roman"/>
          <w:i/>
          <w:sz w:val="24"/>
          <w:szCs w:val="24"/>
          <w:lang w:val="sr-Latn-RS"/>
        </w:rPr>
        <w:t>Polyporus ignarius</w:t>
      </w:r>
      <w:r>
        <w:rPr>
          <w:rFonts w:ascii="Book Antiqua" w:hAnsi="Book Antiqua" w:cs="Times New Roman"/>
          <w:sz w:val="24"/>
          <w:szCs w:val="24"/>
          <w:lang w:val="sr-Latn-RS"/>
        </w:rPr>
        <w:t xml:space="preserve">. Vinet (1909) i Viala (1926) su takođe prijavili prisustvo </w:t>
      </w:r>
      <w:r>
        <w:rPr>
          <w:rFonts w:ascii="Book Antiqua" w:hAnsi="Book Antiqua" w:cs="Times New Roman"/>
          <w:i/>
          <w:sz w:val="24"/>
          <w:szCs w:val="24"/>
          <w:lang w:val="sr-Latn-RS"/>
        </w:rPr>
        <w:t>Stereum hirsutum</w:t>
      </w:r>
      <w:r>
        <w:rPr>
          <w:rFonts w:ascii="Book Antiqua" w:hAnsi="Book Antiqua" w:cs="Times New Roman"/>
          <w:sz w:val="24"/>
          <w:szCs w:val="24"/>
          <w:lang w:val="sr-Latn-RS"/>
        </w:rPr>
        <w:t xml:space="preserve"> u Francuskim vinogradima. Pomenute bazidiomicete su dugo smatrane glavnim uzročnicima eska oboljenja na vinovoj lozi ali je patogenost potvrđena samo za </w:t>
      </w:r>
      <w:r>
        <w:rPr>
          <w:rFonts w:ascii="Book Antiqua" w:hAnsi="Book Antiqua" w:cs="Times New Roman"/>
          <w:i/>
          <w:sz w:val="24"/>
          <w:szCs w:val="24"/>
          <w:lang w:val="sr-Latn-RS"/>
        </w:rPr>
        <w:t>Stereum hirsutum</w:t>
      </w:r>
      <w:r>
        <w:rPr>
          <w:rFonts w:ascii="Book Antiqua" w:hAnsi="Book Antiqua" w:cs="Times New Roman"/>
          <w:sz w:val="24"/>
          <w:szCs w:val="24"/>
          <w:lang w:val="sr-Latn-RS"/>
        </w:rPr>
        <w:t xml:space="preserve"> (</w:t>
      </w:r>
      <w:r>
        <w:rPr>
          <w:rFonts w:ascii="Book Antiqua" w:hAnsi="Book Antiqua" w:cs="Times New Roman"/>
          <w:b/>
          <w:sz w:val="24"/>
          <w:szCs w:val="24"/>
          <w:lang w:val="sr-Latn-RS"/>
        </w:rPr>
        <w:t>Moretti et al., 2021</w:t>
      </w:r>
      <w:r>
        <w:rPr>
          <w:rFonts w:ascii="Book Antiqua" w:hAnsi="Book Antiqua" w:cs="Times New Roman"/>
          <w:sz w:val="24"/>
          <w:szCs w:val="24"/>
          <w:lang w:val="sr-Latn-RS"/>
        </w:rPr>
        <w:t>). U svakom slučaju ova gljiva može djelovati kao slab fakultativni patogen, koji povremeno može prouzrokovati ograničenu infekciju i propadanje unutrašnjeg tkiva (</w:t>
      </w:r>
      <w:r>
        <w:rPr>
          <w:rFonts w:ascii="Book Antiqua" w:hAnsi="Book Antiqua" w:cs="Times New Roman"/>
          <w:b/>
          <w:sz w:val="24"/>
          <w:szCs w:val="24"/>
          <w:lang w:val="sr-Latn-RS"/>
        </w:rPr>
        <w:t>Fischer and Gonzales-Garcia, 2015</w:t>
      </w:r>
      <w:r>
        <w:rPr>
          <w:rFonts w:ascii="Book Antiqua" w:hAnsi="Book Antiqua" w:cs="Times New Roman"/>
          <w:sz w:val="24"/>
          <w:szCs w:val="24"/>
          <w:lang w:val="sr-Latn-RS"/>
        </w:rPr>
        <w:t xml:space="preserve">). </w:t>
      </w:r>
    </w:p>
    <w:p w14:paraId="403E6645"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Danas sa pojavom metagenomskih analiza, broj izvještaja o bazidiomicetama povezanih sa eska oboljenjem se pove</w:t>
      </w:r>
      <w:r>
        <w:rPr>
          <w:rFonts w:ascii="Book Antiqua" w:hAnsi="Book Antiqua" w:cs="Times New Roman"/>
          <w:sz w:val="24"/>
          <w:szCs w:val="24"/>
        </w:rPr>
        <w:t>ć</w:t>
      </w:r>
      <w:r>
        <w:rPr>
          <w:rFonts w:ascii="Book Antiqua" w:hAnsi="Book Antiqua" w:cs="Times New Roman"/>
          <w:sz w:val="24"/>
          <w:szCs w:val="24"/>
          <w:lang w:val="sr-Latn-RS"/>
        </w:rPr>
        <w:t>ava (</w:t>
      </w:r>
      <w:r>
        <w:rPr>
          <w:rFonts w:ascii="Book Antiqua" w:hAnsi="Book Antiqua" w:cs="Times New Roman"/>
          <w:b/>
          <w:sz w:val="24"/>
          <w:szCs w:val="24"/>
          <w:lang w:val="sr-Latn-RS"/>
        </w:rPr>
        <w:t>Brown et al., 2020)</w:t>
      </w:r>
      <w:r>
        <w:rPr>
          <w:rFonts w:ascii="Book Antiqua" w:hAnsi="Book Antiqua" w:cs="Times New Roman"/>
          <w:sz w:val="24"/>
          <w:szCs w:val="24"/>
          <w:lang w:val="sr-Latn-RS"/>
        </w:rPr>
        <w:t xml:space="preserve">. Samo u okviru roda </w:t>
      </w:r>
      <w:r>
        <w:rPr>
          <w:rFonts w:ascii="Book Antiqua" w:hAnsi="Book Antiqua" w:cs="Times New Roman"/>
          <w:i/>
          <w:sz w:val="24"/>
          <w:szCs w:val="24"/>
          <w:lang w:val="sr-Latn-RS"/>
        </w:rPr>
        <w:t>Fomitiporia</w:t>
      </w:r>
      <w:r>
        <w:rPr>
          <w:rFonts w:ascii="Book Antiqua" w:hAnsi="Book Antiqua" w:cs="Times New Roman"/>
          <w:sz w:val="24"/>
          <w:szCs w:val="24"/>
          <w:lang w:val="sr-Latn-RS"/>
        </w:rPr>
        <w:t xml:space="preserve"> opisan je veći broj vrsta povezanih sa eskom: </w:t>
      </w:r>
      <w:r>
        <w:rPr>
          <w:rFonts w:ascii="Book Antiqua" w:hAnsi="Book Antiqua" w:cs="Times New Roman"/>
          <w:i/>
          <w:sz w:val="24"/>
          <w:szCs w:val="24"/>
          <w:lang w:val="sr-Latn-RS"/>
        </w:rPr>
        <w:t>Fomitiporia australiensis</w:t>
      </w:r>
      <w:r>
        <w:rPr>
          <w:rFonts w:ascii="Book Antiqua" w:hAnsi="Book Antiqua" w:cs="Times New Roman"/>
          <w:sz w:val="24"/>
          <w:szCs w:val="24"/>
          <w:lang w:val="sr-Latn-RS"/>
        </w:rPr>
        <w:t xml:space="preserve"> u Australiji (</w:t>
      </w:r>
      <w:r>
        <w:rPr>
          <w:rFonts w:ascii="Book Antiqua" w:hAnsi="Book Antiqua" w:cs="Times New Roman"/>
          <w:b/>
          <w:sz w:val="24"/>
          <w:szCs w:val="24"/>
          <w:lang w:val="sr-Latn-RS"/>
        </w:rPr>
        <w:t>Fischer et al., 2005</w:t>
      </w:r>
      <w:r>
        <w:rPr>
          <w:rFonts w:ascii="Book Antiqua" w:hAnsi="Book Antiqua" w:cs="Times New Roman"/>
          <w:sz w:val="24"/>
          <w:szCs w:val="24"/>
          <w:lang w:val="sr-Latn-RS"/>
        </w:rPr>
        <w:t xml:space="preserve">), </w:t>
      </w:r>
      <w:r>
        <w:rPr>
          <w:rFonts w:ascii="Book Antiqua" w:hAnsi="Book Antiqua" w:cs="Times New Roman"/>
          <w:i/>
          <w:sz w:val="24"/>
          <w:szCs w:val="24"/>
          <w:lang w:val="sr-Latn-RS"/>
        </w:rPr>
        <w:t>Fomitiporia polymorpha</w:t>
      </w:r>
      <w:r>
        <w:rPr>
          <w:rFonts w:ascii="Book Antiqua" w:hAnsi="Book Antiqua" w:cs="Times New Roman"/>
          <w:sz w:val="24"/>
          <w:szCs w:val="24"/>
          <w:lang w:val="sr-Latn-RS"/>
        </w:rPr>
        <w:t xml:space="preserve"> u Kaliforniji (</w:t>
      </w:r>
      <w:r>
        <w:rPr>
          <w:rFonts w:ascii="Book Antiqua" w:hAnsi="Book Antiqua" w:cs="Times New Roman"/>
          <w:b/>
          <w:sz w:val="24"/>
          <w:szCs w:val="24"/>
          <w:lang w:val="sr-Latn-RS"/>
        </w:rPr>
        <w:t>Fischer &amp; Binder, 2004</w:t>
      </w:r>
      <w:r>
        <w:rPr>
          <w:rFonts w:ascii="Book Antiqua" w:hAnsi="Book Antiqua" w:cs="Times New Roman"/>
          <w:sz w:val="24"/>
          <w:szCs w:val="24"/>
          <w:lang w:val="sr-Latn-RS"/>
        </w:rPr>
        <w:t xml:space="preserve">), </w:t>
      </w:r>
      <w:r>
        <w:rPr>
          <w:rFonts w:ascii="Book Antiqua" w:hAnsi="Book Antiqua" w:cs="Times New Roman"/>
          <w:i/>
          <w:sz w:val="24"/>
          <w:szCs w:val="24"/>
          <w:lang w:val="sr-Latn-RS"/>
        </w:rPr>
        <w:t>Fomitiporia capensis</w:t>
      </w:r>
      <w:r>
        <w:rPr>
          <w:rFonts w:ascii="Book Antiqua" w:hAnsi="Book Antiqua" w:cs="Times New Roman"/>
          <w:sz w:val="24"/>
          <w:szCs w:val="24"/>
          <w:lang w:val="sr-Latn-RS"/>
        </w:rPr>
        <w:t xml:space="preserve"> u Južnoj Africi (</w:t>
      </w:r>
      <w:r>
        <w:rPr>
          <w:rFonts w:ascii="Book Antiqua" w:hAnsi="Book Antiqua" w:cs="Times New Roman"/>
          <w:b/>
          <w:sz w:val="24"/>
          <w:szCs w:val="24"/>
          <w:lang w:val="sr-Latn-RS"/>
        </w:rPr>
        <w:t>Cloete et al., 2014</w:t>
      </w:r>
      <w:r>
        <w:rPr>
          <w:rFonts w:ascii="Book Antiqua" w:hAnsi="Book Antiqua" w:cs="Times New Roman"/>
          <w:sz w:val="24"/>
          <w:szCs w:val="24"/>
          <w:lang w:val="sr-Latn-RS"/>
        </w:rPr>
        <w:t xml:space="preserve">), </w:t>
      </w:r>
      <w:r>
        <w:rPr>
          <w:rFonts w:ascii="Book Antiqua" w:hAnsi="Book Antiqua" w:cs="Times New Roman"/>
          <w:i/>
          <w:sz w:val="24"/>
          <w:szCs w:val="24"/>
          <w:lang w:val="sr-Latn-RS"/>
        </w:rPr>
        <w:t>Fomitiporia ignea</w:t>
      </w:r>
      <w:r>
        <w:rPr>
          <w:rFonts w:ascii="Book Antiqua" w:hAnsi="Book Antiqua" w:cs="Times New Roman"/>
          <w:sz w:val="24"/>
          <w:szCs w:val="24"/>
          <w:lang w:val="sr-Latn-RS"/>
        </w:rPr>
        <w:t xml:space="preserve"> u Teksasu, </w:t>
      </w:r>
      <w:r>
        <w:rPr>
          <w:rFonts w:ascii="Book Antiqua" w:hAnsi="Book Antiqua" w:cs="Times New Roman"/>
          <w:i/>
          <w:iCs/>
          <w:sz w:val="24"/>
          <w:szCs w:val="24"/>
          <w:lang w:val="sr-Latn-RS"/>
        </w:rPr>
        <w:t>Fomitiporia erecta</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Fomitiporia punctata</w:t>
      </w:r>
      <w:r>
        <w:rPr>
          <w:rFonts w:ascii="Book Antiqua" w:hAnsi="Book Antiqua" w:cs="Times New Roman"/>
          <w:sz w:val="24"/>
          <w:szCs w:val="24"/>
          <w:lang w:val="sr-Latn-RS"/>
        </w:rPr>
        <w:t xml:space="preserve"> u Španiji (</w:t>
      </w:r>
      <w:r>
        <w:rPr>
          <w:rFonts w:ascii="Book Antiqua" w:hAnsi="Book Antiqua" w:cs="Times New Roman"/>
          <w:b/>
          <w:bCs/>
          <w:sz w:val="24"/>
          <w:szCs w:val="24"/>
          <w:lang w:val="sr-Latn-RS"/>
        </w:rPr>
        <w:t>Fischer &amp; Gonzales-Garcia, 2015</w:t>
      </w:r>
      <w:r>
        <w:rPr>
          <w:rFonts w:ascii="Book Antiqua" w:hAnsi="Book Antiqua" w:cs="Times New Roman"/>
          <w:sz w:val="24"/>
          <w:szCs w:val="24"/>
          <w:lang w:val="sr-Latn-RS"/>
        </w:rPr>
        <w:t xml:space="preserve">), </w:t>
      </w:r>
      <w:r>
        <w:rPr>
          <w:rFonts w:ascii="Book Antiqua" w:hAnsi="Book Antiqua" w:cs="Times New Roman"/>
          <w:i/>
          <w:sz w:val="24"/>
          <w:szCs w:val="24"/>
          <w:lang w:val="sr-Latn-RS"/>
        </w:rPr>
        <w:t>Fomitiporia punicata</w:t>
      </w:r>
      <w:r>
        <w:rPr>
          <w:rFonts w:ascii="Book Antiqua" w:hAnsi="Book Antiqua" w:cs="Times New Roman"/>
          <w:sz w:val="24"/>
          <w:szCs w:val="24"/>
          <w:lang w:val="sr-Latn-RS"/>
        </w:rPr>
        <w:t xml:space="preserve"> u Kini (</w:t>
      </w:r>
      <w:r>
        <w:rPr>
          <w:rFonts w:ascii="Book Antiqua" w:hAnsi="Book Antiqua" w:cs="Times New Roman"/>
          <w:b/>
          <w:sz w:val="24"/>
          <w:szCs w:val="24"/>
          <w:lang w:val="sr-Latn-RS"/>
        </w:rPr>
        <w:t>Ye et al., 2021</w:t>
      </w:r>
      <w:r>
        <w:rPr>
          <w:rFonts w:ascii="Book Antiqua" w:hAnsi="Book Antiqua" w:cs="Times New Roman"/>
          <w:sz w:val="24"/>
          <w:szCs w:val="24"/>
          <w:lang w:val="sr-Latn-RS"/>
        </w:rPr>
        <w:t xml:space="preserve">). Takođe, </w:t>
      </w:r>
      <w:r>
        <w:rPr>
          <w:rFonts w:ascii="Book Antiqua" w:hAnsi="Book Antiqua" w:cs="Times New Roman"/>
          <w:i/>
          <w:iCs/>
          <w:sz w:val="24"/>
          <w:szCs w:val="24"/>
          <w:lang w:val="sr-Latn-RS"/>
        </w:rPr>
        <w:t>Fomitiporia punicata</w:t>
      </w:r>
      <w:r>
        <w:rPr>
          <w:rFonts w:ascii="Book Antiqua" w:hAnsi="Book Antiqua" w:cs="Times New Roman"/>
          <w:sz w:val="24"/>
          <w:szCs w:val="24"/>
          <w:lang w:val="sr-Latn-RS"/>
        </w:rPr>
        <w:t xml:space="preserve"> je opisana i na biljnoj vrsti </w:t>
      </w:r>
      <w:r>
        <w:rPr>
          <w:rFonts w:ascii="Book Antiqua" w:hAnsi="Book Antiqua" w:cs="Times New Roman"/>
          <w:i/>
          <w:sz w:val="24"/>
          <w:szCs w:val="24"/>
          <w:lang w:val="sr-Latn-RS"/>
        </w:rPr>
        <w:t>Punica granatum</w:t>
      </w:r>
      <w:r>
        <w:rPr>
          <w:rFonts w:ascii="Book Antiqua" w:hAnsi="Book Antiqua" w:cs="Times New Roman"/>
          <w:sz w:val="24"/>
          <w:szCs w:val="24"/>
          <w:lang w:val="sr-Latn-RS"/>
        </w:rPr>
        <w:t xml:space="preserve"> (</w:t>
      </w:r>
      <w:r>
        <w:rPr>
          <w:rFonts w:ascii="Book Antiqua" w:hAnsi="Book Antiqua" w:cs="Times New Roman"/>
          <w:b/>
          <w:sz w:val="24"/>
          <w:szCs w:val="24"/>
          <w:lang w:val="sr-Latn-RS"/>
        </w:rPr>
        <w:t>Dai et al., 2008</w:t>
      </w:r>
      <w:r>
        <w:rPr>
          <w:rFonts w:ascii="Book Antiqua" w:hAnsi="Book Antiqua" w:cs="Times New Roman"/>
          <w:sz w:val="24"/>
          <w:szCs w:val="24"/>
          <w:lang w:val="sr-Latn-RS"/>
        </w:rPr>
        <w:t xml:space="preserve">). </w:t>
      </w:r>
    </w:p>
    <w:p w14:paraId="34E6383A" w14:textId="77777777" w:rsidR="003801E8" w:rsidRDefault="003801E8">
      <w:pPr>
        <w:tabs>
          <w:tab w:val="left" w:pos="3315"/>
        </w:tabs>
        <w:spacing w:line="360" w:lineRule="auto"/>
        <w:jc w:val="both"/>
        <w:rPr>
          <w:rFonts w:ascii="Book Antiqua" w:hAnsi="Book Antiqua" w:cs="Times New Roman"/>
          <w:sz w:val="24"/>
          <w:szCs w:val="24"/>
          <w:lang w:val="sr-Latn-RS"/>
        </w:rPr>
      </w:pPr>
    </w:p>
    <w:p w14:paraId="7F07EB73" w14:textId="77777777" w:rsidR="003801E8" w:rsidRDefault="003801E8">
      <w:pPr>
        <w:tabs>
          <w:tab w:val="left" w:pos="3315"/>
        </w:tabs>
        <w:spacing w:line="360" w:lineRule="auto"/>
        <w:jc w:val="both"/>
        <w:rPr>
          <w:rFonts w:ascii="Book Antiqua" w:hAnsi="Book Antiqua" w:cs="Times New Roman"/>
          <w:sz w:val="24"/>
          <w:szCs w:val="24"/>
          <w:lang w:val="sr-Latn-RS"/>
        </w:rPr>
      </w:pPr>
    </w:p>
    <w:p w14:paraId="6DE08792"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lastRenderedPageBreak/>
        <w:t xml:space="preserve">Međutim, najznačajniji patogen iz ovog roda je </w:t>
      </w:r>
      <w:r>
        <w:rPr>
          <w:rFonts w:ascii="Book Antiqua" w:hAnsi="Book Antiqua" w:cs="Times New Roman"/>
          <w:i/>
          <w:sz w:val="24"/>
          <w:szCs w:val="24"/>
          <w:lang w:val="sr-Latn-RS"/>
        </w:rPr>
        <w:t>F. mediterranea</w:t>
      </w:r>
      <w:r>
        <w:rPr>
          <w:rFonts w:ascii="Book Antiqua" w:hAnsi="Book Antiqua" w:cs="Times New Roman"/>
          <w:sz w:val="24"/>
          <w:szCs w:val="24"/>
          <w:lang w:val="sr-Latn-RS"/>
        </w:rPr>
        <w:t xml:space="preserve">, čija se geografska distribucija i broj domaćina značajno proširio prethodnih decenija. U centralnoj Evropi domaćini su ograničeni na </w:t>
      </w:r>
      <w:r>
        <w:rPr>
          <w:rFonts w:ascii="Book Antiqua" w:hAnsi="Book Antiqua" w:cs="Times New Roman"/>
          <w:i/>
          <w:sz w:val="24"/>
          <w:szCs w:val="24"/>
          <w:lang w:val="sr-Latn-RS"/>
        </w:rPr>
        <w:t>Vitis vinfiera</w:t>
      </w:r>
      <w:r>
        <w:rPr>
          <w:rFonts w:ascii="Book Antiqua" w:hAnsi="Book Antiqua" w:cs="Times New Roman"/>
          <w:sz w:val="24"/>
          <w:szCs w:val="24"/>
          <w:lang w:val="sr-Latn-RS"/>
        </w:rPr>
        <w:t xml:space="preserve">, sa oskudnim izvještajima o patogenosti na drugim biljnim vrstama kao što su: </w:t>
      </w:r>
      <w:r>
        <w:rPr>
          <w:rFonts w:ascii="Book Antiqua" w:hAnsi="Book Antiqua" w:cs="Times New Roman"/>
          <w:i/>
          <w:sz w:val="24"/>
          <w:szCs w:val="24"/>
          <w:lang w:val="sr-Latn-RS"/>
        </w:rPr>
        <w:t>Laurus nobilis</w:t>
      </w:r>
      <w:r>
        <w:rPr>
          <w:rFonts w:ascii="Book Antiqua" w:hAnsi="Book Antiqua" w:cs="Times New Roman"/>
          <w:sz w:val="24"/>
          <w:szCs w:val="24"/>
          <w:lang w:val="sr-Latn-RS"/>
        </w:rPr>
        <w:t xml:space="preserve"> (</w:t>
      </w:r>
      <w:r>
        <w:rPr>
          <w:rFonts w:ascii="Book Antiqua" w:hAnsi="Book Antiqua" w:cs="Times New Roman"/>
          <w:b/>
          <w:sz w:val="24"/>
          <w:szCs w:val="24"/>
          <w:lang w:val="sr-Latn-RS"/>
        </w:rPr>
        <w:t>Fisher, 2006</w:t>
      </w:r>
      <w:r>
        <w:rPr>
          <w:rFonts w:ascii="Book Antiqua" w:hAnsi="Book Antiqua" w:cs="Times New Roman"/>
          <w:sz w:val="24"/>
          <w:szCs w:val="24"/>
          <w:lang w:val="sr-Latn-RS"/>
        </w:rPr>
        <w:t xml:space="preserve">) i </w:t>
      </w:r>
      <w:r>
        <w:rPr>
          <w:rFonts w:ascii="Book Antiqua" w:hAnsi="Book Antiqua" w:cs="Times New Roman"/>
          <w:i/>
          <w:sz w:val="24"/>
          <w:szCs w:val="24"/>
          <w:lang w:val="sr-Latn-RS"/>
        </w:rPr>
        <w:t>Robinia pseudoacacia</w:t>
      </w:r>
      <w:r>
        <w:rPr>
          <w:rFonts w:ascii="Book Antiqua" w:hAnsi="Book Antiqua" w:cs="Times New Roman"/>
          <w:sz w:val="24"/>
          <w:szCs w:val="24"/>
          <w:lang w:val="sr-Latn-RS"/>
        </w:rPr>
        <w:t xml:space="preserve"> (</w:t>
      </w:r>
      <w:r>
        <w:rPr>
          <w:rFonts w:ascii="Book Antiqua" w:hAnsi="Book Antiqua" w:cs="Times New Roman"/>
          <w:b/>
          <w:sz w:val="24"/>
          <w:szCs w:val="24"/>
          <w:lang w:val="sr-Latn-RS"/>
        </w:rPr>
        <w:t>Schmidt et al., 2012</w:t>
      </w:r>
      <w:r>
        <w:rPr>
          <w:rFonts w:ascii="Book Antiqua" w:hAnsi="Book Antiqua" w:cs="Times New Roman"/>
          <w:sz w:val="24"/>
          <w:szCs w:val="24"/>
          <w:lang w:val="sr-Latn-RS"/>
        </w:rPr>
        <w:t xml:space="preserve">). </w:t>
      </w:r>
      <w:r>
        <w:rPr>
          <w:rFonts w:ascii="Book Antiqua" w:hAnsi="Book Antiqua" w:cs="Times New Roman"/>
          <w:i/>
          <w:sz w:val="24"/>
          <w:szCs w:val="24"/>
          <w:lang w:val="sr-Latn-RS"/>
        </w:rPr>
        <w:t xml:space="preserve">F. mediterranea </w:t>
      </w:r>
      <w:r>
        <w:rPr>
          <w:rFonts w:ascii="Book Antiqua" w:hAnsi="Book Antiqua" w:cs="Times New Roman"/>
          <w:sz w:val="24"/>
          <w:szCs w:val="24"/>
          <w:lang w:val="sr-Latn-RS"/>
        </w:rPr>
        <w:t xml:space="preserve">kao prouzrokovač bijele truleži drveta vinove loze prisutna je u pojasu Mediterana, za razliku od srednje Evrope gdje je uglavnom prisutna vrsta </w:t>
      </w:r>
      <w:r>
        <w:rPr>
          <w:rFonts w:ascii="Book Antiqua" w:hAnsi="Book Antiqua" w:cs="Times New Roman"/>
          <w:i/>
          <w:sz w:val="24"/>
          <w:szCs w:val="24"/>
          <w:lang w:val="sr-Latn-RS"/>
        </w:rPr>
        <w:t>F. punctata</w:t>
      </w:r>
      <w:r>
        <w:rPr>
          <w:rFonts w:ascii="Book Antiqua" w:hAnsi="Book Antiqua" w:cs="Times New Roman"/>
          <w:sz w:val="24"/>
          <w:szCs w:val="24"/>
          <w:lang w:val="sr-Latn-RS"/>
        </w:rPr>
        <w:t xml:space="preserve"> (</w:t>
      </w:r>
      <w:r>
        <w:rPr>
          <w:rFonts w:ascii="Book Antiqua" w:hAnsi="Book Antiqua" w:cs="Times New Roman"/>
          <w:b/>
          <w:sz w:val="24"/>
          <w:szCs w:val="24"/>
          <w:lang w:val="sr-Latn-RS"/>
        </w:rPr>
        <w:t>Decock et al., 2007</w:t>
      </w:r>
      <w:r>
        <w:rPr>
          <w:rFonts w:ascii="Book Antiqua" w:hAnsi="Book Antiqua" w:cs="Times New Roman"/>
          <w:sz w:val="24"/>
          <w:szCs w:val="24"/>
          <w:lang w:val="sr-Latn-RS"/>
        </w:rPr>
        <w:t xml:space="preserve">). Morfologija i anatomija </w:t>
      </w:r>
      <w:r>
        <w:rPr>
          <w:rFonts w:ascii="Book Antiqua" w:hAnsi="Book Antiqua" w:cs="Times New Roman"/>
          <w:i/>
          <w:sz w:val="24"/>
          <w:szCs w:val="24"/>
          <w:lang w:val="sr-Latn-RS"/>
        </w:rPr>
        <w:t>F. mediterranea</w:t>
      </w:r>
      <w:r>
        <w:rPr>
          <w:rFonts w:ascii="Book Antiqua" w:hAnsi="Book Antiqua" w:cs="Times New Roman"/>
          <w:sz w:val="24"/>
          <w:szCs w:val="24"/>
          <w:lang w:val="sr-Latn-RS"/>
        </w:rPr>
        <w:t xml:space="preserve"> (</w:t>
      </w:r>
      <w:r>
        <w:rPr>
          <w:rFonts w:ascii="Book Antiqua" w:hAnsi="Book Antiqua" w:cs="Times New Roman"/>
          <w:i/>
          <w:sz w:val="24"/>
          <w:szCs w:val="24"/>
          <w:lang w:val="sr-Latn-RS"/>
        </w:rPr>
        <w:t>Hymenochaetaceae</w:t>
      </w:r>
      <w:r>
        <w:rPr>
          <w:rFonts w:ascii="Book Antiqua" w:hAnsi="Book Antiqua" w:cs="Times New Roman"/>
          <w:sz w:val="24"/>
          <w:szCs w:val="24"/>
          <w:lang w:val="sr-Latn-RS"/>
        </w:rPr>
        <w:t xml:space="preserve">, </w:t>
      </w:r>
      <w:r>
        <w:rPr>
          <w:rFonts w:ascii="Book Antiqua" w:hAnsi="Book Antiqua" w:cs="Times New Roman"/>
          <w:i/>
          <w:sz w:val="24"/>
          <w:szCs w:val="24"/>
          <w:lang w:val="sr-Latn-RS"/>
        </w:rPr>
        <w:t>Hymenochaetales</w:t>
      </w:r>
      <w:r>
        <w:rPr>
          <w:rFonts w:ascii="Book Antiqua" w:hAnsi="Book Antiqua" w:cs="Times New Roman"/>
          <w:sz w:val="24"/>
          <w:szCs w:val="24"/>
          <w:lang w:val="sr-Latn-RS"/>
        </w:rPr>
        <w:t xml:space="preserve">, </w:t>
      </w:r>
      <w:r>
        <w:rPr>
          <w:rFonts w:ascii="Book Antiqua" w:hAnsi="Book Antiqua" w:cs="Times New Roman"/>
          <w:i/>
          <w:sz w:val="24"/>
          <w:szCs w:val="24"/>
          <w:lang w:val="sr-Latn-RS"/>
        </w:rPr>
        <w:t>Agaricomycetes</w:t>
      </w:r>
      <w:r>
        <w:rPr>
          <w:rFonts w:ascii="Book Antiqua" w:hAnsi="Book Antiqua" w:cs="Times New Roman"/>
          <w:sz w:val="24"/>
          <w:szCs w:val="24"/>
          <w:lang w:val="sr-Latn-RS"/>
        </w:rPr>
        <w:t xml:space="preserve">, </w:t>
      </w:r>
      <w:r>
        <w:rPr>
          <w:rFonts w:ascii="Book Antiqua" w:hAnsi="Book Antiqua" w:cs="Times New Roman"/>
          <w:i/>
          <w:sz w:val="24"/>
          <w:szCs w:val="24"/>
          <w:lang w:val="sr-Latn-RS"/>
        </w:rPr>
        <w:t>Basidiomycota</w:t>
      </w:r>
      <w:r>
        <w:rPr>
          <w:rFonts w:ascii="Book Antiqua" w:hAnsi="Book Antiqua" w:cs="Times New Roman"/>
          <w:sz w:val="24"/>
          <w:szCs w:val="24"/>
          <w:lang w:val="sr-Latn-RS"/>
        </w:rPr>
        <w:t xml:space="preserve">) prvi put je opisana od strane </w:t>
      </w:r>
      <w:r>
        <w:rPr>
          <w:rFonts w:ascii="Book Antiqua" w:hAnsi="Book Antiqua" w:cs="Times New Roman"/>
          <w:b/>
          <w:bCs/>
          <w:sz w:val="24"/>
          <w:szCs w:val="24"/>
          <w:lang w:val="sr-Latn-RS"/>
        </w:rPr>
        <w:t>Fisher (2002)</w:t>
      </w:r>
      <w:r>
        <w:rPr>
          <w:rFonts w:ascii="Book Antiqua" w:hAnsi="Book Antiqua" w:cs="Times New Roman"/>
          <w:sz w:val="24"/>
          <w:szCs w:val="24"/>
          <w:lang w:val="sr-Latn-RS"/>
        </w:rPr>
        <w:t>. Plodonosna tijela su bazidiokarpi do 15 mm debljine sa žućkasto braon ivicama i sadrže subkuglaste do ovalne bazidiospore. U vinogradima plodonosna tijela se vrlo rijetko susreću, uglavnom na gornjem dijelu stabla u blizini rana od rezidbe, koje su glavno mjesto infekcije (</w:t>
      </w:r>
      <w:r>
        <w:rPr>
          <w:rFonts w:ascii="Book Antiqua" w:hAnsi="Book Antiqua" w:cs="Times New Roman"/>
          <w:b/>
          <w:sz w:val="24"/>
          <w:szCs w:val="24"/>
          <w:lang w:val="sr-Latn-RS"/>
        </w:rPr>
        <w:t>Moretti et al., 2021</w:t>
      </w:r>
      <w:r>
        <w:rPr>
          <w:rFonts w:ascii="Book Antiqua" w:hAnsi="Book Antiqua" w:cs="Times New Roman"/>
          <w:sz w:val="24"/>
          <w:szCs w:val="24"/>
          <w:lang w:val="sr-Latn-RS"/>
        </w:rPr>
        <w:t>). Povremena pojava plodonosnih tijela u vinogradima može se objasniti rijetkim kontaktom između polno kompatibilnih bazidiospora (</w:t>
      </w:r>
      <w:r>
        <w:rPr>
          <w:rFonts w:ascii="Book Antiqua" w:hAnsi="Book Antiqua" w:cs="Times New Roman"/>
          <w:b/>
          <w:sz w:val="24"/>
          <w:szCs w:val="24"/>
          <w:lang w:val="sr-Latn-RS"/>
        </w:rPr>
        <w:t>Jamaux – Despreaux &amp; Peros, 2003</w:t>
      </w:r>
      <w:r>
        <w:rPr>
          <w:rFonts w:ascii="Book Antiqua" w:hAnsi="Book Antiqua" w:cs="Times New Roman"/>
          <w:sz w:val="24"/>
          <w:szCs w:val="24"/>
          <w:lang w:val="sr-Latn-RS"/>
        </w:rPr>
        <w:t xml:space="preserve">). Međutim, plodonosna tijela </w:t>
      </w:r>
      <w:r>
        <w:rPr>
          <w:rFonts w:ascii="Book Antiqua" w:hAnsi="Book Antiqua" w:cs="Times New Roman"/>
          <w:i/>
          <w:iCs/>
          <w:sz w:val="24"/>
          <w:szCs w:val="24"/>
          <w:lang w:val="sr-Latn-RS"/>
        </w:rPr>
        <w:t>F. mediterranea</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F. punctata</w:t>
      </w:r>
      <w:r>
        <w:rPr>
          <w:rFonts w:ascii="Book Antiqua" w:hAnsi="Book Antiqua" w:cs="Times New Roman"/>
          <w:sz w:val="24"/>
          <w:szCs w:val="24"/>
          <w:lang w:val="sr-Latn-RS"/>
        </w:rPr>
        <w:t xml:space="preserve"> se međusobno ne razlikuju, pa se na bazi njih ove dvije vrste ne mogu razlikovati (</w:t>
      </w:r>
      <w:r>
        <w:rPr>
          <w:rFonts w:ascii="Book Antiqua" w:hAnsi="Book Antiqua" w:cs="Times New Roman"/>
          <w:b/>
          <w:bCs/>
          <w:sz w:val="24"/>
          <w:szCs w:val="24"/>
          <w:lang w:val="sr-Latn-RS"/>
        </w:rPr>
        <w:t>Mostert et al., 2006</w:t>
      </w:r>
      <w:r>
        <w:rPr>
          <w:rFonts w:ascii="Book Antiqua" w:hAnsi="Book Antiqua" w:cs="Times New Roman"/>
          <w:sz w:val="24"/>
          <w:szCs w:val="24"/>
          <w:lang w:val="sr-Latn-RS"/>
        </w:rPr>
        <w:t xml:space="preserve">). </w:t>
      </w:r>
    </w:p>
    <w:p w14:paraId="59BDE259"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Do danas, širom svijeta je izolovan veliki broj vrsta gljiva iz roda </w:t>
      </w:r>
      <w:r>
        <w:rPr>
          <w:rFonts w:ascii="Book Antiqua" w:hAnsi="Book Antiqua" w:cs="Times New Roman"/>
          <w:i/>
          <w:iCs/>
          <w:sz w:val="24"/>
          <w:szCs w:val="24"/>
          <w:lang w:val="sr-Latn-RS"/>
        </w:rPr>
        <w:t>Phaeoacremonium</w:t>
      </w:r>
      <w:r>
        <w:rPr>
          <w:rFonts w:ascii="Book Antiqua" w:hAnsi="Book Antiqua" w:cs="Times New Roman"/>
          <w:sz w:val="24"/>
          <w:szCs w:val="24"/>
          <w:lang w:val="sr-Latn-RS"/>
        </w:rPr>
        <w:t xml:space="preserve"> koje se dovode u vezu sa eska oboljenjem vinove loze. Kao najrasprostranjenija i najčešće izolovana vrsta ističe se </w:t>
      </w:r>
      <w:r>
        <w:rPr>
          <w:rFonts w:ascii="Book Antiqua" w:hAnsi="Book Antiqua" w:cs="Times New Roman"/>
          <w:i/>
          <w:iCs/>
          <w:sz w:val="24"/>
          <w:szCs w:val="24"/>
          <w:lang w:val="sr-Latn-RS"/>
        </w:rPr>
        <w:t>P. aleophilum</w:t>
      </w:r>
      <w:r>
        <w:rPr>
          <w:rFonts w:ascii="Book Antiqua" w:hAnsi="Book Antiqua" w:cs="Times New Roman"/>
          <w:sz w:val="24"/>
          <w:szCs w:val="24"/>
          <w:lang w:val="sr-Latn-RS"/>
        </w:rPr>
        <w:t xml:space="preserve"> (novi naziv: </w:t>
      </w:r>
      <w:r>
        <w:rPr>
          <w:rFonts w:ascii="Book Antiqua" w:hAnsi="Book Antiqua" w:cs="Times New Roman"/>
          <w:i/>
          <w:iCs/>
          <w:sz w:val="24"/>
          <w:szCs w:val="24"/>
          <w:lang w:val="sr-Latn-RS"/>
        </w:rPr>
        <w:t>P. minimum</w:t>
      </w:r>
      <w:r>
        <w:rPr>
          <w:rFonts w:ascii="Book Antiqua" w:hAnsi="Book Antiqua" w:cs="Times New Roman"/>
          <w:sz w:val="24"/>
          <w:szCs w:val="24"/>
          <w:lang w:val="sr-Latn-RS"/>
        </w:rPr>
        <w:t xml:space="preserve">). Ovaj patogen izolovan je iz drveta vinove loze u velikom broju zemalja (Argentina, Australija, Čile, Iran, Italija, Francuska, Južna Afrika, Španija, Turska, SAD). Međutim, često se iz drveta vinove loze izoluju i druge vrste ovog roda kao što su </w:t>
      </w:r>
      <w:r>
        <w:rPr>
          <w:rFonts w:ascii="Book Antiqua" w:hAnsi="Book Antiqua" w:cs="Times New Roman"/>
          <w:i/>
          <w:iCs/>
          <w:sz w:val="24"/>
          <w:szCs w:val="24"/>
          <w:lang w:val="sr-Latn-RS"/>
        </w:rPr>
        <w:t>Phaeoacremonium parasiticum</w:t>
      </w:r>
      <w:r>
        <w:rPr>
          <w:rFonts w:ascii="Book Antiqua" w:hAnsi="Book Antiqua" w:cs="Times New Roman"/>
          <w:sz w:val="24"/>
          <w:szCs w:val="24"/>
          <w:lang w:val="sr-Latn-RS"/>
        </w:rPr>
        <w:t xml:space="preserve"> (Argentina, Australija, Čile, Iran, Južna Afrika, SAD) i </w:t>
      </w:r>
      <w:r>
        <w:rPr>
          <w:rFonts w:ascii="Book Antiqua" w:hAnsi="Book Antiqua" w:cs="Times New Roman"/>
          <w:i/>
          <w:iCs/>
          <w:sz w:val="24"/>
          <w:szCs w:val="24"/>
          <w:lang w:val="sr-Latn-RS"/>
        </w:rPr>
        <w:t>Phaeoacremonium viticola</w:t>
      </w:r>
      <w:r>
        <w:rPr>
          <w:rFonts w:ascii="Book Antiqua" w:hAnsi="Book Antiqua" w:cs="Times New Roman"/>
          <w:sz w:val="24"/>
          <w:szCs w:val="24"/>
          <w:lang w:val="sr-Latn-RS"/>
        </w:rPr>
        <w:t xml:space="preserve"> (Iran, Francuska, Južna Afrika, SAD). Osim iz čokota vinove loze koji pokazuju simptome eska oboljenja, gljive iz roda </w:t>
      </w:r>
      <w:r>
        <w:rPr>
          <w:rFonts w:ascii="Book Antiqua" w:hAnsi="Book Antiqua" w:cs="Times New Roman"/>
          <w:i/>
          <w:iCs/>
          <w:sz w:val="24"/>
          <w:szCs w:val="24"/>
          <w:lang w:val="sr-Latn-RS"/>
        </w:rPr>
        <w:t xml:space="preserve">Phaeoacremonium </w:t>
      </w:r>
      <w:r>
        <w:rPr>
          <w:rFonts w:ascii="Book Antiqua" w:hAnsi="Book Antiqua" w:cs="Times New Roman"/>
          <w:sz w:val="24"/>
          <w:szCs w:val="24"/>
          <w:lang w:val="sr-Latn-RS"/>
        </w:rPr>
        <w:t>su izolovane i iz drugih biljnih vrsta, insekatskih organizama, a pojedine mogu biti patogene i za čovjeka (</w:t>
      </w:r>
      <w:r>
        <w:rPr>
          <w:rFonts w:ascii="Book Antiqua" w:hAnsi="Book Antiqua" w:cs="Times New Roman"/>
          <w:b/>
          <w:bCs/>
          <w:sz w:val="24"/>
          <w:szCs w:val="24"/>
          <w:lang w:val="sr-Latn-RS"/>
        </w:rPr>
        <w:t>Mostert et al., 2006</w:t>
      </w:r>
      <w:r>
        <w:rPr>
          <w:rFonts w:ascii="Book Antiqua" w:hAnsi="Book Antiqua" w:cs="Times New Roman"/>
          <w:sz w:val="24"/>
          <w:szCs w:val="24"/>
          <w:lang w:val="sr-Latn-RS"/>
        </w:rPr>
        <w:t xml:space="preserve">). Vrste gljiva iz </w:t>
      </w:r>
      <w:r>
        <w:rPr>
          <w:rFonts w:ascii="Book Antiqua" w:hAnsi="Book Antiqua" w:cs="Times New Roman"/>
          <w:sz w:val="24"/>
          <w:szCs w:val="24"/>
          <w:lang w:val="sr-Latn-RS"/>
        </w:rPr>
        <w:lastRenderedPageBreak/>
        <w:t xml:space="preserve">roda </w:t>
      </w:r>
      <w:r>
        <w:rPr>
          <w:rFonts w:ascii="Book Antiqua" w:hAnsi="Book Antiqua" w:cs="Times New Roman"/>
          <w:i/>
          <w:iCs/>
          <w:sz w:val="24"/>
          <w:szCs w:val="24"/>
          <w:lang w:val="sr-Latn-RS"/>
        </w:rPr>
        <w:t>Phaeoacremonium</w:t>
      </w:r>
      <w:r>
        <w:rPr>
          <w:rFonts w:ascii="Book Antiqua" w:hAnsi="Book Antiqua" w:cs="Times New Roman"/>
          <w:sz w:val="24"/>
          <w:szCs w:val="24"/>
          <w:lang w:val="sr-Latn-RS"/>
        </w:rPr>
        <w:t xml:space="preserve"> morfološki se mogu identifikovati po prisustvu karakterističnih bradavica na miceliji i pigmentiranim konidioforama sa fialidnim konidiogenim ćelijama. Konidije koje se javljaju na vrhovima fijalida su aseptirane i duguljasto elipsoidnog do alantoidnog oblika. Polna forma ovog mikroorganizma poznatija pod nazivom </w:t>
      </w:r>
      <w:r>
        <w:rPr>
          <w:rFonts w:ascii="Book Antiqua" w:hAnsi="Book Antiqua" w:cs="Times New Roman"/>
          <w:i/>
          <w:iCs/>
          <w:sz w:val="24"/>
          <w:szCs w:val="24"/>
          <w:lang w:val="sr-Latn-RS"/>
        </w:rPr>
        <w:t>Togninia minima</w:t>
      </w:r>
      <w:r>
        <w:rPr>
          <w:rFonts w:ascii="Book Antiqua" w:hAnsi="Book Antiqua" w:cs="Times New Roman"/>
          <w:sz w:val="24"/>
          <w:szCs w:val="24"/>
          <w:lang w:val="sr-Latn-RS"/>
        </w:rPr>
        <w:t xml:space="preserve"> formira peritecije sa šiljasto raspoređenim askusima koji sadrže 8 spora. Askospore su aseptirane, hijaline i mogu biti duguljasto elipsoidne do alantoidne (</w:t>
      </w:r>
      <w:r>
        <w:rPr>
          <w:rFonts w:ascii="Book Antiqua" w:hAnsi="Book Antiqua" w:cs="Times New Roman"/>
          <w:b/>
          <w:bCs/>
          <w:sz w:val="24"/>
          <w:szCs w:val="24"/>
          <w:lang w:val="sr-Latn-RS"/>
        </w:rPr>
        <w:t>Gramaje et al., 2015</w:t>
      </w:r>
      <w:r>
        <w:rPr>
          <w:rFonts w:ascii="Book Antiqua" w:hAnsi="Book Antiqua" w:cs="Times New Roman"/>
          <w:sz w:val="24"/>
          <w:szCs w:val="24"/>
          <w:lang w:val="sr-Latn-RS"/>
        </w:rPr>
        <w:t xml:space="preserve">). Kolonije patogena iz roda </w:t>
      </w:r>
      <w:r>
        <w:rPr>
          <w:rFonts w:ascii="Book Antiqua" w:hAnsi="Book Antiqua" w:cs="Times New Roman"/>
          <w:i/>
          <w:iCs/>
          <w:sz w:val="24"/>
          <w:szCs w:val="24"/>
          <w:lang w:val="sr-Latn-RS"/>
        </w:rPr>
        <w:t>Phaeoacremonium</w:t>
      </w:r>
      <w:r>
        <w:rPr>
          <w:rFonts w:ascii="Book Antiqua" w:hAnsi="Book Antiqua" w:cs="Times New Roman"/>
          <w:sz w:val="24"/>
          <w:szCs w:val="24"/>
          <w:lang w:val="sr-Latn-RS"/>
        </w:rPr>
        <w:t xml:space="preserve"> se razlikuju na osnovu brzine rasta na hranljivoj podlozi i boje kolonije koja može da varira od različitih nijansi braon, blijedo žute do bež, ružičaste ili tamno ružičaste (</w:t>
      </w:r>
      <w:r>
        <w:rPr>
          <w:rFonts w:ascii="Book Antiqua" w:hAnsi="Book Antiqua" w:cs="Times New Roman"/>
          <w:b/>
          <w:bCs/>
          <w:sz w:val="24"/>
          <w:szCs w:val="24"/>
          <w:lang w:val="sr-Latn-RS"/>
        </w:rPr>
        <w:t>Mostert et al., 2006</w:t>
      </w:r>
      <w:r>
        <w:rPr>
          <w:rFonts w:ascii="Book Antiqua" w:hAnsi="Book Antiqua" w:cs="Times New Roman"/>
          <w:sz w:val="24"/>
          <w:szCs w:val="24"/>
          <w:lang w:val="sr-Latn-RS"/>
        </w:rPr>
        <w:t xml:space="preserve">). </w:t>
      </w:r>
    </w:p>
    <w:p w14:paraId="64A16957"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Jedan od prouzrokovača eska oboljenja je i fitopatogena gljiva </w:t>
      </w:r>
      <w:r>
        <w:rPr>
          <w:rFonts w:ascii="Book Antiqua" w:hAnsi="Book Antiqua" w:cs="Times New Roman"/>
          <w:i/>
          <w:iCs/>
          <w:sz w:val="24"/>
          <w:szCs w:val="24"/>
          <w:lang w:val="sr-Latn-RS"/>
        </w:rPr>
        <w:t xml:space="preserve">Phaeomoniella chlamydospora. </w:t>
      </w:r>
      <w:r>
        <w:rPr>
          <w:rFonts w:ascii="Book Antiqua" w:hAnsi="Book Antiqua" w:cs="Times New Roman"/>
          <w:sz w:val="24"/>
          <w:szCs w:val="24"/>
          <w:lang w:val="sr-Latn-RS"/>
        </w:rPr>
        <w:t>Histopatološke studije potvrđuju da ovaj patogen može da se razvija čak i kroz sprovodne sudove koji su začepljeni tiloznim i gumoznim jedinjenjima (</w:t>
      </w:r>
      <w:r>
        <w:rPr>
          <w:rFonts w:ascii="Book Antiqua" w:hAnsi="Book Antiqua" w:cs="Times New Roman"/>
          <w:b/>
          <w:bCs/>
          <w:sz w:val="24"/>
          <w:szCs w:val="24"/>
          <w:lang w:val="sr-Latn-RS"/>
        </w:rPr>
        <w:t>Fleurat – Lassard et al., 2010</w:t>
      </w:r>
      <w:r>
        <w:rPr>
          <w:rFonts w:ascii="Book Antiqua" w:hAnsi="Book Antiqua" w:cs="Times New Roman"/>
          <w:sz w:val="24"/>
          <w:szCs w:val="24"/>
          <w:lang w:val="sr-Latn-RS"/>
        </w:rPr>
        <w:t>). Zbog nemogućnosti razgradnje sekundarnog ćelijskog zida, infekcija ovim patogenom nastaje uglavnom kroz rane od rezidbe (</w:t>
      </w:r>
      <w:r>
        <w:rPr>
          <w:rFonts w:ascii="Book Antiqua" w:hAnsi="Book Antiqua" w:cs="Times New Roman"/>
          <w:b/>
          <w:bCs/>
          <w:sz w:val="24"/>
          <w:szCs w:val="24"/>
          <w:lang w:val="sr-Latn-RS"/>
        </w:rPr>
        <w:t>Bruno et al., 2007</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Valtaud et al., 2009</w:t>
      </w:r>
      <w:r>
        <w:rPr>
          <w:rFonts w:ascii="Book Antiqua" w:hAnsi="Book Antiqua" w:cs="Times New Roman"/>
          <w:sz w:val="24"/>
          <w:szCs w:val="24"/>
          <w:lang w:val="sr-Latn-RS"/>
        </w:rPr>
        <w:t xml:space="preserve">). Rod </w:t>
      </w:r>
      <w:r>
        <w:rPr>
          <w:rFonts w:ascii="Book Antiqua" w:hAnsi="Book Antiqua" w:cs="Times New Roman"/>
          <w:i/>
          <w:iCs/>
          <w:sz w:val="24"/>
          <w:szCs w:val="24"/>
          <w:lang w:val="sr-Latn-RS"/>
        </w:rPr>
        <w:t>Phaeomoniella</w:t>
      </w:r>
      <w:r>
        <w:rPr>
          <w:rFonts w:ascii="Book Antiqua" w:hAnsi="Book Antiqua" w:cs="Times New Roman"/>
          <w:sz w:val="24"/>
          <w:szCs w:val="24"/>
          <w:lang w:val="sr-Latn-RS"/>
        </w:rPr>
        <w:t xml:space="preserve"> morfološki je sličan rodu </w:t>
      </w:r>
      <w:r>
        <w:rPr>
          <w:rFonts w:ascii="Book Antiqua" w:hAnsi="Book Antiqua" w:cs="Times New Roman"/>
          <w:i/>
          <w:iCs/>
          <w:sz w:val="24"/>
          <w:szCs w:val="24"/>
          <w:lang w:val="sr-Latn-RS"/>
        </w:rPr>
        <w:t>Phaeoacremonium</w:t>
      </w:r>
      <w:r>
        <w:rPr>
          <w:rFonts w:ascii="Book Antiqua" w:hAnsi="Book Antiqua" w:cs="Times New Roman"/>
          <w:sz w:val="24"/>
          <w:szCs w:val="24"/>
          <w:lang w:val="sr-Latn-RS"/>
        </w:rPr>
        <w:t xml:space="preserve"> ali se od njega razlikuje po tome što ima ravne pigmentirane konidije i zelenkaste konidiofore. Micelija se sastoji od razgranatih septiranih hifa koje se javljaju u grupama i mogu biti verukulozne do gomoljaste. Konidije su okrugle ili duguljasto elipsoidene, aseptirane i glatke. Teleomorfni stadijum je nepoznat (</w:t>
      </w:r>
      <w:r>
        <w:rPr>
          <w:rFonts w:ascii="Book Antiqua" w:hAnsi="Book Antiqua" w:cs="Times New Roman"/>
          <w:b/>
          <w:bCs/>
          <w:sz w:val="24"/>
          <w:szCs w:val="24"/>
          <w:lang w:val="sr-Latn-RS"/>
        </w:rPr>
        <w:t>Crous and Gams, 2000</w:t>
      </w:r>
      <w:r>
        <w:rPr>
          <w:rFonts w:ascii="Book Antiqua" w:hAnsi="Book Antiqua" w:cs="Times New Roman"/>
          <w:sz w:val="24"/>
          <w:szCs w:val="24"/>
          <w:lang w:val="sr-Latn-RS"/>
        </w:rPr>
        <w:t xml:space="preserve">). </w:t>
      </w:r>
    </w:p>
    <w:p w14:paraId="1F5315DC"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517A57F0"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5D8C62CF" w14:textId="77777777" w:rsidR="00F83C53" w:rsidRDefault="00F83C53">
      <w:pPr>
        <w:tabs>
          <w:tab w:val="left" w:pos="3315"/>
        </w:tabs>
        <w:spacing w:line="360" w:lineRule="auto"/>
        <w:jc w:val="both"/>
        <w:rPr>
          <w:rFonts w:ascii="Book Antiqua" w:hAnsi="Book Antiqua" w:cs="Times New Roman"/>
          <w:b/>
          <w:sz w:val="24"/>
          <w:szCs w:val="24"/>
          <w:lang w:val="sr-Latn-RS"/>
        </w:rPr>
      </w:pPr>
    </w:p>
    <w:p w14:paraId="6DB78A1F"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353AA8D2"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266B46F3"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7C8D96C4" w14:textId="77777777" w:rsidR="003801E8" w:rsidRDefault="00E44AAE">
      <w:pPr>
        <w:tabs>
          <w:tab w:val="left" w:pos="3315"/>
        </w:tabs>
        <w:spacing w:line="360" w:lineRule="auto"/>
        <w:jc w:val="both"/>
        <w:rPr>
          <w:rFonts w:ascii="Book Antiqua" w:hAnsi="Book Antiqua" w:cs="Times New Roman"/>
          <w:b/>
          <w:sz w:val="24"/>
          <w:szCs w:val="24"/>
          <w:lang w:val="sr-Latn-RS"/>
        </w:rPr>
      </w:pPr>
      <w:r>
        <w:rPr>
          <w:rFonts w:ascii="Book Antiqua" w:hAnsi="Book Antiqua" w:cs="Times New Roman"/>
          <w:b/>
          <w:sz w:val="24"/>
          <w:szCs w:val="24"/>
          <w:lang w:val="sr-Latn-RS"/>
        </w:rPr>
        <w:lastRenderedPageBreak/>
        <w:t>3.11 Epidemiologija i ciklus razvoja eska patogena</w:t>
      </w:r>
    </w:p>
    <w:p w14:paraId="5EDDC9C6"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Inokulum fitopatogenih gljiva iz rodova </w:t>
      </w:r>
      <w:r>
        <w:rPr>
          <w:rFonts w:ascii="Book Antiqua" w:hAnsi="Book Antiqua" w:cs="Times New Roman"/>
          <w:i/>
          <w:sz w:val="24"/>
          <w:szCs w:val="24"/>
          <w:lang w:val="sr-Latn-RS"/>
        </w:rPr>
        <w:t xml:space="preserve">Phaeoacremonium </w:t>
      </w:r>
      <w:r>
        <w:rPr>
          <w:rFonts w:ascii="Book Antiqua" w:hAnsi="Book Antiqua" w:cs="Times New Roman"/>
          <w:sz w:val="24"/>
          <w:szCs w:val="24"/>
          <w:lang w:val="sr-Latn-RS"/>
        </w:rPr>
        <w:t xml:space="preserve">i </w:t>
      </w:r>
      <w:r>
        <w:rPr>
          <w:rFonts w:ascii="Book Antiqua" w:hAnsi="Book Antiqua" w:cs="Times New Roman"/>
          <w:i/>
          <w:sz w:val="24"/>
          <w:szCs w:val="24"/>
          <w:lang w:val="sr-Latn-RS"/>
        </w:rPr>
        <w:t>Phaeomoniella</w:t>
      </w:r>
      <w:r>
        <w:rPr>
          <w:rFonts w:ascii="Book Antiqua" w:hAnsi="Book Antiqua" w:cs="Times New Roman"/>
          <w:sz w:val="24"/>
          <w:szCs w:val="24"/>
          <w:lang w:val="sr-Latn-RS"/>
        </w:rPr>
        <w:t xml:space="preserve"> obično se nalazi: a) na biljnim ostacima vinove loze, b) u zemljištu, c) na kori vinove loze, d) ostacima bobica, i e) starim viticama zaostalim na žicama vinograda (</w:t>
      </w:r>
      <w:r>
        <w:rPr>
          <w:rFonts w:ascii="Book Antiqua" w:hAnsi="Book Antiqua" w:cs="Times New Roman"/>
          <w:b/>
          <w:sz w:val="24"/>
          <w:szCs w:val="24"/>
          <w:lang w:val="sr-Latn-RS"/>
        </w:rPr>
        <w:t>Tegli et al., 2000; Surico et al., 2006</w:t>
      </w:r>
      <w:r>
        <w:rPr>
          <w:rFonts w:ascii="Book Antiqua" w:hAnsi="Book Antiqua" w:cs="Times New Roman"/>
          <w:sz w:val="24"/>
          <w:szCs w:val="24"/>
          <w:lang w:val="sr-Latn-RS"/>
        </w:rPr>
        <w:t>). Takođe, jedan od glavnih izvora inokuluma je i zaražen sadni materijal (</w:t>
      </w:r>
      <w:r>
        <w:rPr>
          <w:rFonts w:ascii="Book Antiqua" w:hAnsi="Book Antiqua" w:cs="Times New Roman"/>
          <w:b/>
          <w:bCs/>
          <w:sz w:val="24"/>
          <w:szCs w:val="24"/>
          <w:lang w:val="sr-Latn-RS"/>
        </w:rPr>
        <w:t>Mostert et al., 2006</w:t>
      </w:r>
      <w:r>
        <w:rPr>
          <w:rFonts w:ascii="Book Antiqua" w:hAnsi="Book Antiqua" w:cs="Times New Roman"/>
          <w:sz w:val="24"/>
          <w:szCs w:val="24"/>
          <w:lang w:val="sr-Latn-RS"/>
        </w:rPr>
        <w:t xml:space="preserve">). </w:t>
      </w:r>
    </w:p>
    <w:p w14:paraId="7D929268"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Vrste iz roda </w:t>
      </w:r>
      <w:r>
        <w:rPr>
          <w:rFonts w:ascii="Book Antiqua" w:hAnsi="Book Antiqua" w:cs="Times New Roman"/>
          <w:i/>
          <w:iCs/>
          <w:sz w:val="24"/>
          <w:szCs w:val="24"/>
          <w:lang w:val="sr-Latn-RS"/>
        </w:rPr>
        <w:t xml:space="preserve">Phaeoacremonium </w:t>
      </w:r>
      <w:r>
        <w:rPr>
          <w:rFonts w:ascii="Book Antiqua" w:hAnsi="Book Antiqua" w:cs="Times New Roman"/>
          <w:sz w:val="24"/>
          <w:szCs w:val="24"/>
          <w:lang w:val="sr-Latn-RS"/>
        </w:rPr>
        <w:t xml:space="preserve">mogu da prezimljavaju u stadijumu peritecija iz kojih se </w:t>
      </w:r>
      <w:r>
        <w:rPr>
          <w:rFonts w:ascii="Book Antiqua" w:hAnsi="Book Antiqua" w:cs="Times New Roman"/>
          <w:sz w:val="24"/>
          <w:szCs w:val="24"/>
        </w:rPr>
        <w:t>oslobađa veliki broj askospora (</w:t>
      </w:r>
      <w:r>
        <w:rPr>
          <w:rFonts w:ascii="Book Antiqua" w:hAnsi="Book Antiqua" w:cs="Times New Roman"/>
          <w:b/>
          <w:bCs/>
          <w:sz w:val="24"/>
          <w:szCs w:val="24"/>
        </w:rPr>
        <w:t>Ivić, 2009</w:t>
      </w:r>
      <w:r>
        <w:rPr>
          <w:rFonts w:ascii="Book Antiqua" w:hAnsi="Book Antiqua" w:cs="Times New Roman"/>
          <w:sz w:val="24"/>
          <w:szCs w:val="24"/>
        </w:rPr>
        <w:t xml:space="preserve">). Formiranje peritecija, odnosno polni stadijum fitopatogene gljive </w:t>
      </w:r>
      <w:r>
        <w:rPr>
          <w:rFonts w:ascii="Book Antiqua" w:hAnsi="Book Antiqua" w:cs="Times New Roman"/>
          <w:i/>
          <w:iCs/>
          <w:sz w:val="24"/>
          <w:szCs w:val="24"/>
        </w:rPr>
        <w:t>P.</w:t>
      </w:r>
      <w:r>
        <w:rPr>
          <w:rFonts w:ascii="Book Antiqua" w:hAnsi="Book Antiqua" w:cs="Times New Roman"/>
          <w:sz w:val="24"/>
          <w:szCs w:val="24"/>
        </w:rPr>
        <w:t xml:space="preserve"> </w:t>
      </w:r>
      <w:r>
        <w:rPr>
          <w:rFonts w:ascii="Book Antiqua" w:hAnsi="Book Antiqua" w:cs="Times New Roman"/>
          <w:i/>
          <w:iCs/>
          <w:sz w:val="24"/>
          <w:szCs w:val="24"/>
        </w:rPr>
        <w:t>alelophylum</w:t>
      </w:r>
      <w:r>
        <w:rPr>
          <w:rFonts w:ascii="Book Antiqua" w:hAnsi="Book Antiqua" w:cs="Times New Roman"/>
          <w:sz w:val="24"/>
          <w:szCs w:val="24"/>
        </w:rPr>
        <w:t xml:space="preserve"> poznatiji kao </w:t>
      </w:r>
      <w:r>
        <w:rPr>
          <w:rFonts w:ascii="Book Antiqua" w:hAnsi="Book Antiqua" w:cs="Times New Roman"/>
          <w:i/>
          <w:iCs/>
          <w:sz w:val="24"/>
          <w:szCs w:val="24"/>
        </w:rPr>
        <w:t>Togninia minima</w:t>
      </w:r>
      <w:r>
        <w:rPr>
          <w:rFonts w:ascii="Book Antiqua" w:hAnsi="Book Antiqua" w:cs="Times New Roman"/>
          <w:sz w:val="24"/>
          <w:szCs w:val="24"/>
        </w:rPr>
        <w:t xml:space="preserve"> pronađen je tokom istraživanja u Kaliforniji i Australiji. </w:t>
      </w:r>
      <w:r>
        <w:rPr>
          <w:rFonts w:ascii="Book Antiqua" w:hAnsi="Book Antiqua" w:cs="Times New Roman"/>
          <w:sz w:val="24"/>
          <w:szCs w:val="24"/>
          <w:lang w:val="sr-Latn-RS"/>
        </w:rPr>
        <w:t>Peritecije se uglavnom stvaraju na mrtvom vaskularnom tkivu oboljelih čokota vinove loze (</w:t>
      </w:r>
      <w:r>
        <w:rPr>
          <w:rFonts w:ascii="Book Antiqua" w:hAnsi="Book Antiqua" w:cs="Times New Roman"/>
          <w:b/>
          <w:bCs/>
          <w:sz w:val="24"/>
          <w:szCs w:val="24"/>
          <w:lang w:val="sr-Latn-RS"/>
        </w:rPr>
        <w:t>Rooney – Latham et al., 2005</w:t>
      </w:r>
      <w:r>
        <w:rPr>
          <w:rFonts w:ascii="Book Antiqua" w:hAnsi="Book Antiqua" w:cs="Times New Roman"/>
          <w:sz w:val="24"/>
          <w:szCs w:val="24"/>
          <w:lang w:val="sr-Latn-RS"/>
        </w:rPr>
        <w:t>). Osim u pukotinama inficiranog drveta vinove loze, mogu se naći i unutar tijela pojedinih insekatskih vrsta (</w:t>
      </w:r>
      <w:r>
        <w:rPr>
          <w:rFonts w:ascii="Book Antiqua" w:hAnsi="Book Antiqua" w:cs="Times New Roman"/>
          <w:b/>
          <w:bCs/>
          <w:sz w:val="24"/>
          <w:szCs w:val="24"/>
          <w:lang w:val="sr-Latn-RS"/>
        </w:rPr>
        <w:t>Moyo et al., 2014</w:t>
      </w:r>
      <w:r>
        <w:rPr>
          <w:rFonts w:ascii="Book Antiqua" w:hAnsi="Book Antiqua" w:cs="Times New Roman"/>
          <w:sz w:val="24"/>
          <w:szCs w:val="24"/>
          <w:lang w:val="sr-Latn-RS"/>
        </w:rPr>
        <w:t xml:space="preserve">). Istraživanja sprovedena u Kaliforniji pokazala su da se spore </w:t>
      </w:r>
      <w:r>
        <w:rPr>
          <w:rFonts w:ascii="Book Antiqua" w:hAnsi="Book Antiqua" w:cs="Times New Roman"/>
          <w:i/>
          <w:iCs/>
          <w:sz w:val="24"/>
          <w:szCs w:val="24"/>
          <w:lang w:val="sr-Latn-RS"/>
        </w:rPr>
        <w:t>P. minimum</w:t>
      </w:r>
      <w:r>
        <w:rPr>
          <w:rFonts w:ascii="Book Antiqua" w:hAnsi="Book Antiqua" w:cs="Times New Roman"/>
          <w:sz w:val="24"/>
          <w:szCs w:val="24"/>
          <w:lang w:val="sr-Latn-RS"/>
        </w:rPr>
        <w:t xml:space="preserve"> u nešto većem obimu oslobađaju tokom oktobra, novembra i aprila mjeseca, ali da se i tokom ostalih mjeseci mogu pronaći u vinogradu. Spore se oslobađaju u širokom rasponu dnevnih temperatura od 5 °C – 20/25 °C (</w:t>
      </w:r>
      <w:r>
        <w:rPr>
          <w:rFonts w:ascii="Book Antiqua" w:hAnsi="Book Antiqua" w:cs="Times New Roman"/>
          <w:b/>
          <w:bCs/>
          <w:sz w:val="24"/>
          <w:szCs w:val="24"/>
          <w:lang w:val="sr-Latn-RS"/>
        </w:rPr>
        <w:t>Larignon &amp; Dubos, 2000)</w:t>
      </w:r>
      <w:r>
        <w:rPr>
          <w:rFonts w:ascii="Book Antiqua" w:hAnsi="Book Antiqua" w:cs="Times New Roman"/>
          <w:sz w:val="24"/>
          <w:szCs w:val="24"/>
          <w:lang w:val="sr-Latn-RS"/>
        </w:rPr>
        <w:t xml:space="preserve">. Zbog prisustva spora patogena iz roda </w:t>
      </w:r>
      <w:r>
        <w:rPr>
          <w:rFonts w:ascii="Book Antiqua" w:hAnsi="Book Antiqua" w:cs="Times New Roman"/>
          <w:i/>
          <w:iCs/>
          <w:sz w:val="24"/>
          <w:szCs w:val="24"/>
          <w:lang w:val="sr-Latn-RS"/>
        </w:rPr>
        <w:t xml:space="preserve">Phaeoacremonium </w:t>
      </w:r>
      <w:r>
        <w:rPr>
          <w:rFonts w:ascii="Book Antiqua" w:hAnsi="Book Antiqua" w:cs="Times New Roman"/>
          <w:sz w:val="24"/>
          <w:szCs w:val="24"/>
          <w:lang w:val="sr-Latn-RS"/>
        </w:rPr>
        <w:t>tokom čitave vegetacije, a ne samo zimi, smatra se da postoji mogućnost nastanka infekcije ovim patogenima i na druge načine osim prodorom patogena kroz rane od rezidbe (</w:t>
      </w:r>
      <w:r>
        <w:rPr>
          <w:rFonts w:ascii="Book Antiqua" w:hAnsi="Book Antiqua" w:cs="Times New Roman"/>
          <w:b/>
          <w:bCs/>
          <w:sz w:val="24"/>
          <w:szCs w:val="24"/>
          <w:lang w:val="sr-Latn-RS"/>
        </w:rPr>
        <w:t>Mostert et al., 2006</w:t>
      </w:r>
      <w:r>
        <w:rPr>
          <w:rFonts w:ascii="Book Antiqua" w:hAnsi="Book Antiqua" w:cs="Times New Roman"/>
          <w:sz w:val="24"/>
          <w:szCs w:val="24"/>
          <w:lang w:val="sr-Latn-RS"/>
        </w:rPr>
        <w:t xml:space="preserve">).  </w:t>
      </w:r>
    </w:p>
    <w:p w14:paraId="7B07AC0B"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može prezimljavati u vidu hlamidospora u zemljištu u vinogradu (</w:t>
      </w:r>
      <w:r>
        <w:rPr>
          <w:rFonts w:ascii="Book Antiqua" w:hAnsi="Book Antiqua" w:cs="Times New Roman"/>
          <w:b/>
          <w:bCs/>
          <w:sz w:val="24"/>
          <w:szCs w:val="24"/>
          <w:lang w:val="sr-Latn-RS"/>
        </w:rPr>
        <w:t>Ivić, 2009</w:t>
      </w:r>
      <w:r>
        <w:rPr>
          <w:rFonts w:ascii="Book Antiqua" w:hAnsi="Book Antiqua" w:cs="Times New Roman"/>
          <w:sz w:val="24"/>
          <w:szCs w:val="24"/>
          <w:lang w:val="sr-Latn-RS"/>
        </w:rPr>
        <w:t>), ili rasadncima sadnog materijala vinove loze (</w:t>
      </w:r>
      <w:r>
        <w:rPr>
          <w:rFonts w:ascii="Book Antiqua" w:hAnsi="Book Antiqua" w:cs="Times New Roman"/>
          <w:b/>
          <w:bCs/>
          <w:sz w:val="24"/>
          <w:szCs w:val="24"/>
          <w:lang w:val="sr-Latn-RS"/>
        </w:rPr>
        <w:t>Retief., 2006</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Rooney Latham et al. (2005)</w:t>
      </w:r>
      <w:r>
        <w:rPr>
          <w:rFonts w:ascii="Book Antiqua" w:hAnsi="Book Antiqua" w:cs="Times New Roman"/>
          <w:sz w:val="24"/>
          <w:szCs w:val="24"/>
          <w:lang w:val="sr-Latn-RS"/>
        </w:rPr>
        <w:t xml:space="preserve"> izvještavaju da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može da prezimljava pomoću piknida koje formira u sprovodnim sudovima na mjestu rana od rezidbe. Takođe, ovaj patogen može prezimljavati i pomoću micelije u oboljelim djelovima čokota iz koje se kasnije razvijaju konidije. </w:t>
      </w:r>
    </w:p>
    <w:p w14:paraId="70602365"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lastRenderedPageBreak/>
        <w:t>Ova fitopatogena gljiva nema polni stadijum; zbog toga jedini način širenja u prirodi je pomoću konidija i piknospora (</w:t>
      </w:r>
      <w:r>
        <w:rPr>
          <w:rFonts w:ascii="Book Antiqua" w:hAnsi="Book Antiqua" w:cs="Times New Roman"/>
          <w:b/>
          <w:bCs/>
          <w:sz w:val="24"/>
          <w:szCs w:val="24"/>
          <w:lang w:val="sr-Latn-RS"/>
        </w:rPr>
        <w:t>Sofia et al., 2013</w:t>
      </w:r>
      <w:r>
        <w:rPr>
          <w:rFonts w:ascii="Book Antiqua" w:hAnsi="Book Antiqua" w:cs="Times New Roman"/>
          <w:sz w:val="24"/>
          <w:szCs w:val="24"/>
          <w:lang w:val="sr-Latn-RS"/>
        </w:rPr>
        <w:t xml:space="preserve">). </w:t>
      </w:r>
    </w:p>
    <w:p w14:paraId="333ACE35"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Osim vrsta iz roda </w:t>
      </w:r>
      <w:r>
        <w:rPr>
          <w:rFonts w:ascii="Book Antiqua" w:hAnsi="Book Antiqua" w:cs="Times New Roman"/>
          <w:i/>
          <w:iCs/>
          <w:sz w:val="24"/>
          <w:szCs w:val="24"/>
          <w:lang w:val="sr-Latn-RS"/>
        </w:rPr>
        <w:t>Vitis</w:t>
      </w:r>
      <w:r>
        <w:rPr>
          <w:rFonts w:ascii="Book Antiqua" w:hAnsi="Book Antiqua" w:cs="Times New Roman"/>
          <w:sz w:val="24"/>
          <w:szCs w:val="24"/>
          <w:lang w:val="sr-Latn-RS"/>
        </w:rPr>
        <w:t xml:space="preserve"> spp. pojava ove fitopatogene gljive zabilježena je i na drugim biljnim vrstama kao što su </w:t>
      </w:r>
      <w:r>
        <w:rPr>
          <w:rFonts w:ascii="Book Antiqua" w:hAnsi="Book Antiqua" w:cs="Times New Roman"/>
          <w:i/>
          <w:iCs/>
          <w:sz w:val="24"/>
          <w:szCs w:val="24"/>
          <w:lang w:val="sr-Latn-RS"/>
        </w:rPr>
        <w:t>Olea europaea</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Actinidia deliciosa</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Convolvulus arvensis,</w:t>
      </w:r>
      <w:r>
        <w:rPr>
          <w:rFonts w:ascii="Book Antiqua" w:hAnsi="Book Antiqua" w:cs="Times New Roman"/>
          <w:sz w:val="24"/>
          <w:szCs w:val="24"/>
          <w:lang w:val="sr-Latn-RS"/>
        </w:rPr>
        <w:t xml:space="preserve"> što ukazuje da i druge biljne vrste mogu biti izvor inokuluma. Spore se uglavnom prenose vazduhom, tokom čitave godine, uglavnom najviše za vrijeme padavina. Nakon taloženja na površini rana, spore klijaju i prodiru u sprovodne sudove biljke tokom zime za vrijeme toplih i kišovitih perioda (</w:t>
      </w:r>
      <w:r>
        <w:rPr>
          <w:rFonts w:ascii="Book Antiqua" w:hAnsi="Book Antiqua" w:cs="Times New Roman"/>
          <w:b/>
          <w:bCs/>
          <w:sz w:val="24"/>
          <w:szCs w:val="24"/>
          <w:lang w:val="sr-Latn-RS"/>
        </w:rPr>
        <w:t>Sofia et al., 2013; Gonzales – Dominguez et al., 2020</w:t>
      </w:r>
      <w:r>
        <w:rPr>
          <w:rFonts w:ascii="Book Antiqua" w:hAnsi="Book Antiqua" w:cs="Times New Roman"/>
          <w:sz w:val="24"/>
          <w:szCs w:val="24"/>
          <w:lang w:val="sr-Latn-RS"/>
        </w:rPr>
        <w:t xml:space="preserve">). Osim preko rana od rezidbe infekcija fitopatogenom gljivom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i gljivama iz roda </w:t>
      </w:r>
      <w:r>
        <w:rPr>
          <w:rFonts w:ascii="Book Antiqua" w:hAnsi="Book Antiqua" w:cs="Times New Roman"/>
          <w:i/>
          <w:iCs/>
          <w:sz w:val="24"/>
          <w:szCs w:val="24"/>
          <w:lang w:val="sr-Latn-RS"/>
        </w:rPr>
        <w:t>Phaeoacremonium</w:t>
      </w:r>
      <w:r>
        <w:rPr>
          <w:rFonts w:ascii="Book Antiqua" w:hAnsi="Book Antiqua" w:cs="Times New Roman"/>
          <w:sz w:val="24"/>
          <w:szCs w:val="24"/>
          <w:lang w:val="sr-Latn-RS"/>
        </w:rPr>
        <w:t xml:space="preserve"> moguća je i putem zemljišta, preko korjenovog sistema. </w:t>
      </w:r>
    </w:p>
    <w:p w14:paraId="72058C1C"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Gljive iz roda </w:t>
      </w:r>
      <w:r>
        <w:rPr>
          <w:rFonts w:ascii="Book Antiqua" w:hAnsi="Book Antiqua" w:cs="Times New Roman"/>
          <w:i/>
          <w:iCs/>
          <w:sz w:val="24"/>
          <w:szCs w:val="24"/>
          <w:lang w:val="sr-Latn-RS"/>
        </w:rPr>
        <w:t>Fomitiporia</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F. punctata</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F. mediterranea</w:t>
      </w:r>
      <w:r>
        <w:rPr>
          <w:rFonts w:ascii="Book Antiqua" w:hAnsi="Book Antiqua" w:cs="Times New Roman"/>
          <w:sz w:val="24"/>
          <w:szCs w:val="24"/>
          <w:lang w:val="sr-Latn-RS"/>
        </w:rPr>
        <w:t>) prezimljavaju formirajući bazidiokarpe, kako na inficiranim čokotima tako i na velikom broju različitih biljnih vrsta, uglavnom drveća. Ostaci vinove loze ili šumskog drveća na kojima se nalaze bazidiokarpi sa bazidiosporama su glavni izvor inokuluma (</w:t>
      </w:r>
      <w:r>
        <w:rPr>
          <w:rFonts w:ascii="Book Antiqua" w:hAnsi="Book Antiqua" w:cs="Times New Roman"/>
          <w:b/>
          <w:bCs/>
          <w:sz w:val="24"/>
          <w:szCs w:val="24"/>
          <w:lang w:val="sr-Latn-RS"/>
        </w:rPr>
        <w:t>Bester, 2006</w:t>
      </w:r>
      <w:r>
        <w:rPr>
          <w:rFonts w:ascii="Book Antiqua" w:hAnsi="Book Antiqua" w:cs="Times New Roman"/>
          <w:sz w:val="24"/>
          <w:szCs w:val="24"/>
          <w:lang w:val="sr-Latn-RS"/>
        </w:rPr>
        <w:t>). Bazidiospore se u prirodi šire putem kiše i vjetra (</w:t>
      </w:r>
      <w:r>
        <w:rPr>
          <w:rFonts w:ascii="Book Antiqua" w:hAnsi="Book Antiqua" w:cs="Times New Roman"/>
          <w:b/>
          <w:bCs/>
          <w:sz w:val="24"/>
          <w:szCs w:val="24"/>
          <w:lang w:val="sr-Latn-RS"/>
        </w:rPr>
        <w:t>Cortesi et al., 2000</w:t>
      </w:r>
      <w:r>
        <w:rPr>
          <w:rFonts w:ascii="Book Antiqua" w:hAnsi="Book Antiqua" w:cs="Times New Roman"/>
          <w:sz w:val="24"/>
          <w:szCs w:val="24"/>
          <w:lang w:val="sr-Latn-RS"/>
        </w:rPr>
        <w:t>).</w:t>
      </w:r>
    </w:p>
    <w:p w14:paraId="59DD0B9A"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b/>
          <w:sz w:val="24"/>
          <w:szCs w:val="24"/>
          <w:lang w:val="sr-Latn-RS"/>
        </w:rPr>
        <w:t>Kalvelage et al. (2021)</w:t>
      </w:r>
      <w:r>
        <w:rPr>
          <w:rFonts w:ascii="Book Antiqua" w:hAnsi="Book Antiqua" w:cs="Times New Roman"/>
          <w:sz w:val="24"/>
          <w:szCs w:val="24"/>
          <w:lang w:val="sr-Latn-RS"/>
        </w:rPr>
        <w:t xml:space="preserve"> u studiji sprovedenoj u Njemačkoj tokom 2019. i 2020.  godine utvrdili su raznovrsnost prisutnih zglavkara u vinogradu. Svi uhvaćeni insekti su ispitani na prisustvo patogena prouzrokovača eska oboljenja, analizom njihovog egzoskeleta. Kod 35% insekata ustanovljeno je prisusvo </w:t>
      </w:r>
      <w:r>
        <w:rPr>
          <w:rFonts w:ascii="Book Antiqua" w:hAnsi="Book Antiqua" w:cs="Times New Roman"/>
          <w:i/>
          <w:sz w:val="24"/>
          <w:szCs w:val="24"/>
          <w:lang w:val="sr-Latn-RS"/>
        </w:rPr>
        <w:t>P. chlamydospora</w:t>
      </w:r>
      <w:r>
        <w:rPr>
          <w:rFonts w:ascii="Book Antiqua" w:hAnsi="Book Antiqua" w:cs="Times New Roman"/>
          <w:sz w:val="24"/>
          <w:szCs w:val="24"/>
          <w:lang w:val="sr-Latn-RS"/>
        </w:rPr>
        <w:t xml:space="preserve">, 21% je bilo pozitivno na </w:t>
      </w:r>
      <w:r>
        <w:rPr>
          <w:rFonts w:ascii="Book Antiqua" w:hAnsi="Book Antiqua" w:cs="Times New Roman"/>
          <w:i/>
          <w:sz w:val="24"/>
          <w:szCs w:val="24"/>
          <w:lang w:val="sr-Latn-RS"/>
        </w:rPr>
        <w:t>P. minimum</w:t>
      </w:r>
      <w:r>
        <w:rPr>
          <w:rFonts w:ascii="Book Antiqua" w:hAnsi="Book Antiqua" w:cs="Times New Roman"/>
          <w:sz w:val="24"/>
          <w:szCs w:val="24"/>
          <w:lang w:val="sr-Latn-RS"/>
        </w:rPr>
        <w:t xml:space="preserve">, a 7% na </w:t>
      </w:r>
      <w:r>
        <w:rPr>
          <w:rFonts w:ascii="Book Antiqua" w:hAnsi="Book Antiqua" w:cs="Times New Roman"/>
          <w:i/>
          <w:sz w:val="24"/>
          <w:szCs w:val="24"/>
          <w:lang w:val="sr-Latn-RS"/>
        </w:rPr>
        <w:t>C. luteo olivacea</w:t>
      </w:r>
      <w:r>
        <w:rPr>
          <w:rFonts w:ascii="Book Antiqua" w:hAnsi="Book Antiqua" w:cs="Times New Roman"/>
          <w:sz w:val="24"/>
          <w:szCs w:val="24"/>
          <w:lang w:val="sr-Latn-RS"/>
        </w:rPr>
        <w:t xml:space="preserve">. Najznačajnije insekatske vrste koje su vektori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u prirodi su crna portugalska stonoga (</w:t>
      </w:r>
      <w:r>
        <w:rPr>
          <w:rFonts w:ascii="Book Antiqua" w:hAnsi="Book Antiqua" w:cs="Times New Roman"/>
          <w:i/>
          <w:iCs/>
          <w:sz w:val="24"/>
          <w:szCs w:val="24"/>
          <w:lang w:val="sr-Latn-RS"/>
        </w:rPr>
        <w:t>Ommatoiulus moreletii</w:t>
      </w:r>
      <w:r>
        <w:rPr>
          <w:rFonts w:ascii="Book Antiqua" w:hAnsi="Book Antiqua" w:cs="Times New Roman"/>
          <w:sz w:val="24"/>
          <w:szCs w:val="24"/>
          <w:lang w:val="sr-Latn-RS"/>
        </w:rPr>
        <w:t>) i crni koktel mravi (</w:t>
      </w:r>
      <w:r>
        <w:rPr>
          <w:rFonts w:ascii="Book Antiqua" w:hAnsi="Book Antiqua" w:cs="Times New Roman"/>
          <w:i/>
          <w:iCs/>
          <w:sz w:val="24"/>
          <w:szCs w:val="24"/>
          <w:lang w:val="sr-Latn-RS"/>
        </w:rPr>
        <w:t>Crematogaster peringueyi</w:t>
      </w:r>
      <w:r>
        <w:rPr>
          <w:rFonts w:ascii="Book Antiqua" w:hAnsi="Book Antiqua" w:cs="Times New Roman"/>
          <w:sz w:val="24"/>
          <w:szCs w:val="24"/>
          <w:lang w:val="sr-Latn-RS"/>
        </w:rPr>
        <w:t>) (</w:t>
      </w:r>
      <w:r>
        <w:rPr>
          <w:rFonts w:ascii="Book Antiqua" w:hAnsi="Book Antiqua" w:cs="Times New Roman"/>
          <w:b/>
          <w:bCs/>
          <w:sz w:val="24"/>
          <w:szCs w:val="24"/>
          <w:lang w:val="sr-Latn-RS"/>
        </w:rPr>
        <w:t>Sofia et al., 2013</w:t>
      </w:r>
      <w:r>
        <w:rPr>
          <w:rFonts w:ascii="Book Antiqua" w:hAnsi="Book Antiqua" w:cs="Times New Roman"/>
          <w:sz w:val="24"/>
          <w:szCs w:val="24"/>
          <w:lang w:val="sr-Latn-RS"/>
        </w:rPr>
        <w:t xml:space="preserve">). Pojedine gljive iz roda </w:t>
      </w:r>
      <w:r>
        <w:rPr>
          <w:rFonts w:ascii="Book Antiqua" w:hAnsi="Book Antiqua" w:cs="Times New Roman"/>
          <w:i/>
          <w:iCs/>
          <w:sz w:val="24"/>
          <w:szCs w:val="24"/>
          <w:lang w:val="sr-Latn-RS"/>
        </w:rPr>
        <w:t xml:space="preserve">Phaeoacremonium </w:t>
      </w:r>
      <w:r>
        <w:rPr>
          <w:rFonts w:ascii="Book Antiqua" w:hAnsi="Book Antiqua" w:cs="Times New Roman"/>
          <w:sz w:val="24"/>
          <w:szCs w:val="24"/>
          <w:lang w:val="sr-Latn-RS"/>
        </w:rPr>
        <w:t xml:space="preserve">kao što je </w:t>
      </w:r>
      <w:r>
        <w:rPr>
          <w:rFonts w:ascii="Book Antiqua" w:hAnsi="Book Antiqua" w:cs="Times New Roman"/>
          <w:i/>
          <w:iCs/>
          <w:sz w:val="24"/>
          <w:szCs w:val="24"/>
          <w:lang w:val="sr-Latn-RS"/>
        </w:rPr>
        <w:t>P. scolyti</w:t>
      </w:r>
      <w:r>
        <w:rPr>
          <w:rFonts w:ascii="Book Antiqua" w:hAnsi="Book Antiqua" w:cs="Times New Roman"/>
          <w:sz w:val="24"/>
          <w:szCs w:val="24"/>
          <w:lang w:val="sr-Latn-RS"/>
        </w:rPr>
        <w:t xml:space="preserve"> izolovane su iz larvi insekatskih vrsta </w:t>
      </w:r>
      <w:r>
        <w:rPr>
          <w:rFonts w:ascii="Book Antiqua" w:hAnsi="Book Antiqua" w:cs="Times New Roman"/>
          <w:i/>
          <w:iCs/>
          <w:sz w:val="24"/>
          <w:szCs w:val="24"/>
          <w:lang w:val="sr-Latn-RS"/>
        </w:rPr>
        <w:t>Scolytus intricatus</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Leperisinus fraxini</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P. scolyti</w:t>
      </w:r>
      <w:r>
        <w:rPr>
          <w:rFonts w:ascii="Book Antiqua" w:hAnsi="Book Antiqua" w:cs="Times New Roman"/>
          <w:sz w:val="24"/>
          <w:szCs w:val="24"/>
          <w:lang w:val="sr-Latn-RS"/>
        </w:rPr>
        <w:t xml:space="preserve">  je na bazi filogenetskih analiza, najsličnija vrsti </w:t>
      </w:r>
      <w:r>
        <w:rPr>
          <w:rFonts w:ascii="Book Antiqua" w:hAnsi="Book Antiqua" w:cs="Times New Roman"/>
          <w:i/>
          <w:iCs/>
          <w:sz w:val="24"/>
          <w:szCs w:val="24"/>
          <w:lang w:val="sr-Latn-RS"/>
        </w:rPr>
        <w:t>P. minimum</w:t>
      </w:r>
      <w:r>
        <w:rPr>
          <w:rFonts w:ascii="Book Antiqua" w:hAnsi="Book Antiqua" w:cs="Times New Roman"/>
          <w:sz w:val="24"/>
          <w:szCs w:val="24"/>
          <w:lang w:val="sr-Latn-RS"/>
        </w:rPr>
        <w:t>, a pronađena je u drvetu vinove loze u Južnoj Africi i Francuskoj. Navedeni podaci ukazuju da bi potkornjaci mogli imati veliku ulogu u širenju ove gljive sa drugih domaćina na vinovu lozu (</w:t>
      </w:r>
      <w:r>
        <w:rPr>
          <w:rFonts w:ascii="Book Antiqua" w:hAnsi="Book Antiqua" w:cs="Times New Roman"/>
          <w:b/>
          <w:bCs/>
          <w:sz w:val="24"/>
          <w:szCs w:val="24"/>
          <w:lang w:val="sr-Latn-RS"/>
        </w:rPr>
        <w:t>Mostert et al., 2006</w:t>
      </w:r>
      <w:r>
        <w:rPr>
          <w:rFonts w:ascii="Book Antiqua" w:hAnsi="Book Antiqua" w:cs="Times New Roman"/>
          <w:sz w:val="24"/>
          <w:szCs w:val="24"/>
          <w:lang w:val="sr-Latn-RS"/>
        </w:rPr>
        <w:t xml:space="preserve">). Širenje patogena prouzrokovača </w:t>
      </w:r>
      <w:r>
        <w:rPr>
          <w:rFonts w:ascii="Book Antiqua" w:hAnsi="Book Antiqua" w:cs="Times New Roman"/>
          <w:sz w:val="24"/>
          <w:szCs w:val="24"/>
          <w:lang w:val="sr-Latn-RS"/>
        </w:rPr>
        <w:lastRenderedPageBreak/>
        <w:t xml:space="preserve">eska oboljenja makazama za rezidbu testirano je u plasteničkim uslovima od strane </w:t>
      </w:r>
      <w:r>
        <w:rPr>
          <w:rFonts w:ascii="Book Antiqua" w:hAnsi="Book Antiqua" w:cs="Times New Roman"/>
          <w:b/>
          <w:bCs/>
          <w:sz w:val="24"/>
          <w:szCs w:val="24"/>
          <w:lang w:val="sr-Latn-RS"/>
        </w:rPr>
        <w:t xml:space="preserve">Agusti-Brisach et al. (2015). </w:t>
      </w:r>
      <w:r>
        <w:rPr>
          <w:rFonts w:ascii="Book Antiqua" w:hAnsi="Book Antiqua" w:cs="Times New Roman"/>
          <w:sz w:val="24"/>
          <w:szCs w:val="24"/>
          <w:lang w:val="sr-Latn-RS"/>
        </w:rPr>
        <w:t xml:space="preserve">Uspješna infekcija makazama bila je slabo prisutna , od 3,6% i 28% u zavisnosti od patogena i javila se samo kada su makaze prethodno inokulisane visokim koncentracijama spora patogena (10 </w:t>
      </w:r>
      <w:r>
        <w:rPr>
          <w:rFonts w:ascii="Times New Roman" w:hAnsi="Times New Roman" w:cs="Times New Roman"/>
          <w:sz w:val="24"/>
          <w:szCs w:val="24"/>
          <w:lang w:val="sr-Latn-RS"/>
        </w:rPr>
        <w:t>⁴</w:t>
      </w:r>
      <w:r>
        <w:rPr>
          <w:rFonts w:ascii="Book Antiqua" w:hAnsi="Book Antiqua" w:cs="Times New Roman"/>
          <w:sz w:val="24"/>
          <w:szCs w:val="24"/>
          <w:lang w:val="sr-Latn-RS"/>
        </w:rPr>
        <w:t xml:space="preserve"> - 10 </w:t>
      </w:r>
      <w:r>
        <w:rPr>
          <w:rFonts w:ascii="Times New Roman" w:hAnsi="Times New Roman" w:cs="Times New Roman"/>
          <w:sz w:val="24"/>
          <w:szCs w:val="24"/>
          <w:lang w:val="sr-Latn-RS"/>
        </w:rPr>
        <w:t>⁶</w:t>
      </w:r>
      <w:r>
        <w:rPr>
          <w:rFonts w:ascii="Book Antiqua" w:hAnsi="Book Antiqua" w:cs="Times New Roman"/>
          <w:sz w:val="24"/>
          <w:szCs w:val="24"/>
          <w:lang w:val="sr-Latn-RS"/>
        </w:rPr>
        <w:t xml:space="preserve"> spora/ml). Navedeni podaci ukazuju da je jako mala vjerovatnoća mogućnosti širenja infekcije putem pribora za rezidbu.</w:t>
      </w:r>
    </w:p>
    <w:p w14:paraId="1012EF7C"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Nakon širenja inokuluma unutar vinograda sporonosni organi gljiva dospijevaju na rane od rezidbe, koje na prodor patogena mogu biti osjetljive od nekoliko nedelja do 4 mjeseca. Jedna od hipoteza je da se sprovodni sudovi prvo inficiraju nekim drugim tzv. „pionir gljivama“ koje su otpornije na fenole i antimikrobna jedinjenja koje sadrži sok vinove loze. Nakon što one degradiraju sprovodne sudove, naseljavaju se fitopatogene gljive prouzrokovači eska oboljenja. Međutim, prema drugoj hipotezi smatra se da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i gljive iz roda </w:t>
      </w:r>
      <w:r>
        <w:rPr>
          <w:rFonts w:ascii="Book Antiqua" w:hAnsi="Book Antiqua" w:cs="Times New Roman"/>
          <w:i/>
          <w:iCs/>
          <w:sz w:val="24"/>
          <w:szCs w:val="24"/>
          <w:lang w:val="sr-Latn-RS"/>
        </w:rPr>
        <w:t>Phaeoacremonium</w:t>
      </w:r>
      <w:r>
        <w:rPr>
          <w:rFonts w:ascii="Book Antiqua" w:hAnsi="Book Antiqua" w:cs="Times New Roman"/>
          <w:sz w:val="24"/>
          <w:szCs w:val="24"/>
          <w:lang w:val="sr-Latn-RS"/>
        </w:rPr>
        <w:t xml:space="preserve"> sinergistički ostvaruju primarnu infekciju, a da nakon toga se ostvari infekcija sa </w:t>
      </w:r>
      <w:r>
        <w:rPr>
          <w:rFonts w:ascii="Book Antiqua" w:hAnsi="Book Antiqua" w:cs="Times New Roman"/>
          <w:i/>
          <w:iCs/>
          <w:sz w:val="24"/>
          <w:szCs w:val="24"/>
          <w:lang w:val="sr-Latn-RS"/>
        </w:rPr>
        <w:t>F. mediterranea</w:t>
      </w:r>
      <w:r>
        <w:rPr>
          <w:rFonts w:ascii="Book Antiqua" w:hAnsi="Book Antiqua" w:cs="Times New Roman"/>
          <w:sz w:val="24"/>
          <w:szCs w:val="24"/>
          <w:lang w:val="sr-Latn-RS"/>
        </w:rPr>
        <w:t xml:space="preserve"> i dolazi do pojave bijele truleži i propadanja drveta (</w:t>
      </w:r>
      <w:r>
        <w:rPr>
          <w:rFonts w:ascii="Book Antiqua" w:hAnsi="Book Antiqua" w:cs="Times New Roman"/>
          <w:b/>
          <w:bCs/>
          <w:sz w:val="24"/>
          <w:szCs w:val="24"/>
          <w:lang w:val="sr-Latn-RS"/>
        </w:rPr>
        <w:t>Claverie et al., 2020</w:t>
      </w:r>
      <w:r>
        <w:rPr>
          <w:rFonts w:ascii="Book Antiqua" w:hAnsi="Book Antiqua" w:cs="Times New Roman"/>
          <w:sz w:val="24"/>
          <w:szCs w:val="24"/>
          <w:lang w:val="sr-Latn-RS"/>
        </w:rPr>
        <w:t xml:space="preserve">). </w:t>
      </w:r>
    </w:p>
    <w:p w14:paraId="417A2809"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Epidemiologija eska oboljenja i eksperesija folijarnih simptoma bolesti tijesno su povezani sa klimatskim faktorima. U terenskim istraživanjima najčešće ispitivani faktori bili su temperatura i količina padavina, a teoretski oni su vezani za apoplektičan oblik eska oboljenja. Ovaj oblik je u korelaciji sa pojavom jakih kiša, praćenih suvim i toplim periodom usled čega višak vode u zemljištu dovodi do poremećaja između transpiracije i apsorpcije (</w:t>
      </w:r>
      <w:r>
        <w:rPr>
          <w:rFonts w:ascii="Book Antiqua" w:hAnsi="Book Antiqua" w:cs="Times New Roman"/>
          <w:b/>
          <w:bCs/>
          <w:sz w:val="24"/>
          <w:szCs w:val="24"/>
          <w:lang w:val="sr-Latn-RS"/>
        </w:rPr>
        <w:t>Lecomte et al., 2024</w:t>
      </w:r>
      <w:r>
        <w:rPr>
          <w:rFonts w:ascii="Book Antiqua" w:hAnsi="Book Antiqua" w:cs="Times New Roman"/>
          <w:sz w:val="24"/>
          <w:szCs w:val="24"/>
          <w:lang w:val="sr-Latn-RS"/>
        </w:rPr>
        <w:t>). Usled stresa od suše stomalna provodljivost je veća, a vodni potencijal inficiranih biljaka manji u odnosu na zdrave. Takva stomalna disfunkcija dovodi do povećane stope gubitka vode usled čega dolazi do ksilemske embolije i apoplektičnog uvenuća biljke (</w:t>
      </w:r>
      <w:r>
        <w:rPr>
          <w:rFonts w:ascii="Book Antiqua" w:hAnsi="Book Antiqua" w:cs="Times New Roman"/>
          <w:b/>
          <w:bCs/>
          <w:sz w:val="24"/>
          <w:szCs w:val="24"/>
          <w:lang w:val="sr-Latn-RS"/>
        </w:rPr>
        <w:t>Edwards et al., 2007</w:t>
      </w:r>
      <w:r>
        <w:rPr>
          <w:rFonts w:ascii="Book Antiqua" w:hAnsi="Book Antiqua" w:cs="Times New Roman"/>
          <w:sz w:val="24"/>
          <w:szCs w:val="24"/>
          <w:lang w:val="sr-Latn-RS"/>
        </w:rPr>
        <w:t>). Prohladno i kišovito vrijeme je pogodnije za razvoj hroničnog tipa bolesti, dok suvo i toplo ljeto pogoduje apoplektičnom obliku</w:t>
      </w:r>
      <w:r>
        <w:rPr>
          <w:rFonts w:ascii="Book Antiqua" w:hAnsi="Book Antiqua" w:cs="Times New Roman"/>
          <w:sz w:val="24"/>
          <w:szCs w:val="24"/>
        </w:rPr>
        <w:t xml:space="preserve"> (</w:t>
      </w:r>
      <w:r>
        <w:rPr>
          <w:rFonts w:ascii="Book Antiqua" w:hAnsi="Book Antiqua" w:cs="Times New Roman"/>
          <w:b/>
          <w:bCs/>
          <w:sz w:val="24"/>
          <w:szCs w:val="24"/>
        </w:rPr>
        <w:t xml:space="preserve">Dubos, 2002; Braccini et al., 2005; Marchi et al., 2006; </w:t>
      </w:r>
      <w:r>
        <w:rPr>
          <w:rFonts w:ascii="Book Antiqua" w:hAnsi="Book Antiqua" w:cs="Times New Roman"/>
          <w:b/>
          <w:bCs/>
          <w:sz w:val="24"/>
          <w:szCs w:val="24"/>
          <w:lang w:val="sr-Latn-RS"/>
        </w:rPr>
        <w:t>Edwards et al., 2007; Larignon, 2009; Latinović i Latinović, 2017</w:t>
      </w:r>
      <w:r>
        <w:rPr>
          <w:rFonts w:ascii="Book Antiqua" w:hAnsi="Book Antiqua" w:cs="Times New Roman"/>
          <w:sz w:val="24"/>
          <w:szCs w:val="24"/>
          <w:lang w:val="sr-Latn-RS"/>
        </w:rPr>
        <w:t xml:space="preserve">). </w:t>
      </w:r>
    </w:p>
    <w:p w14:paraId="065EBFC2"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lastRenderedPageBreak/>
        <w:t>Ulogu temperature je značajno teže razumjeti, a opisana je kao ključna za ekspresiju folijarnih simptoma bolesti (</w:t>
      </w:r>
      <w:r>
        <w:rPr>
          <w:rFonts w:ascii="Book Antiqua" w:hAnsi="Book Antiqua" w:cs="Times New Roman"/>
          <w:b/>
          <w:bCs/>
          <w:sz w:val="24"/>
          <w:szCs w:val="24"/>
          <w:lang w:val="sr-Latn-RS"/>
        </w:rPr>
        <w:t>Ouadi et al., 2019</w:t>
      </w:r>
      <w:r>
        <w:rPr>
          <w:rFonts w:ascii="Book Antiqua" w:hAnsi="Book Antiqua" w:cs="Times New Roman"/>
          <w:sz w:val="24"/>
          <w:szCs w:val="24"/>
          <w:lang w:val="sr-Latn-RS"/>
        </w:rPr>
        <w:t xml:space="preserve">).  </w:t>
      </w:r>
    </w:p>
    <w:p w14:paraId="7BEF2AD2"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Jedan od abiotičkih faktora koji ima uticaj na razvoj eska oboljenja je i struktura zemljišta. Zemljišta sa visokim sadržajem vode, azota i gline su pogodna za razvoj eska oboljenja (</w:t>
      </w:r>
      <w:r>
        <w:rPr>
          <w:rFonts w:ascii="Book Antiqua" w:hAnsi="Book Antiqua" w:cs="Times New Roman"/>
          <w:b/>
          <w:bCs/>
          <w:sz w:val="24"/>
          <w:szCs w:val="24"/>
          <w:lang w:val="sr-Latn-RS"/>
        </w:rPr>
        <w:t>Lecomte et al., 2011</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Robotić i Bosančić, 2007; Panon et al., 2005)</w:t>
      </w:r>
      <w:r>
        <w:rPr>
          <w:rFonts w:ascii="Book Antiqua" w:hAnsi="Book Antiqua" w:cs="Times New Roman"/>
          <w:sz w:val="24"/>
          <w:szCs w:val="24"/>
          <w:lang w:val="sr-Latn-RS"/>
        </w:rPr>
        <w:t xml:space="preserve">. Iako se vinova loza smatra umjereno tolerantnom biljnom vrstom na salinitet zemljišta, </w:t>
      </w:r>
      <w:r>
        <w:rPr>
          <w:rFonts w:ascii="Book Antiqua" w:hAnsi="Book Antiqua" w:cs="Times New Roman"/>
          <w:b/>
          <w:bCs/>
          <w:sz w:val="24"/>
          <w:szCs w:val="24"/>
          <w:lang w:val="sr-Latn-RS"/>
        </w:rPr>
        <w:t>Fischer &amp; Ashnaei (2019)</w:t>
      </w:r>
      <w:r>
        <w:rPr>
          <w:rFonts w:ascii="Book Antiqua" w:hAnsi="Book Antiqua" w:cs="Times New Roman"/>
          <w:sz w:val="24"/>
          <w:szCs w:val="24"/>
          <w:lang w:val="sr-Latn-RS"/>
        </w:rPr>
        <w:t xml:space="preserve"> ukazuju da povećan salinitet može stvoriti optimalne uslove za razvoj fitopatogenih gljiva povezanih sa eska oboljenjem. </w:t>
      </w:r>
    </w:p>
    <w:p w14:paraId="214AC715" w14:textId="77777777" w:rsidR="003801E8" w:rsidRDefault="003801E8">
      <w:pPr>
        <w:tabs>
          <w:tab w:val="left" w:pos="3315"/>
        </w:tabs>
        <w:spacing w:line="360" w:lineRule="auto"/>
        <w:jc w:val="both"/>
        <w:rPr>
          <w:rFonts w:ascii="Book Antiqua" w:hAnsi="Book Antiqua" w:cs="Times New Roman"/>
          <w:b/>
          <w:bCs/>
          <w:sz w:val="24"/>
          <w:szCs w:val="24"/>
          <w:lang w:val="sr-Latn-RS"/>
        </w:rPr>
      </w:pPr>
    </w:p>
    <w:p w14:paraId="4CC42FCB" w14:textId="77777777" w:rsidR="003801E8" w:rsidRDefault="00E44AAE">
      <w:pPr>
        <w:tabs>
          <w:tab w:val="left" w:pos="3315"/>
        </w:tabs>
        <w:spacing w:line="360" w:lineRule="auto"/>
        <w:jc w:val="both"/>
        <w:rPr>
          <w:rFonts w:ascii="Book Antiqua" w:hAnsi="Book Antiqua" w:cs="Times New Roman"/>
          <w:b/>
          <w:bCs/>
          <w:sz w:val="24"/>
          <w:szCs w:val="24"/>
          <w:lang w:val="sr-Latn-RS"/>
        </w:rPr>
      </w:pPr>
      <w:r>
        <w:rPr>
          <w:rFonts w:ascii="Book Antiqua" w:hAnsi="Book Antiqua" w:cs="Times New Roman"/>
          <w:b/>
          <w:bCs/>
          <w:sz w:val="24"/>
          <w:szCs w:val="24"/>
          <w:lang w:val="sr-Latn-RS"/>
        </w:rPr>
        <w:t>3.12 Preventivne mjere zaštite</w:t>
      </w:r>
    </w:p>
    <w:p w14:paraId="1D6A5D4F"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Rezidbom se održava uzgojni oblik vinove loze, ali rezovi predstavljaju „ulazna vrata“ za prodor vaskularnih gljiva (</w:t>
      </w:r>
      <w:r>
        <w:rPr>
          <w:rFonts w:ascii="Book Antiqua" w:hAnsi="Book Antiqua" w:cs="Times New Roman"/>
          <w:b/>
          <w:bCs/>
          <w:sz w:val="24"/>
          <w:szCs w:val="24"/>
          <w:lang w:val="sr-Latn-RS"/>
        </w:rPr>
        <w:t>Intrieri et al., 2011</w:t>
      </w:r>
      <w:r>
        <w:rPr>
          <w:rFonts w:ascii="Book Antiqua" w:hAnsi="Book Antiqua" w:cs="Times New Roman"/>
          <w:sz w:val="24"/>
          <w:szCs w:val="24"/>
          <w:lang w:val="sr-Latn-RS"/>
        </w:rPr>
        <w:t>). Upravljanje rezidbom je važan dio strategije suzbijanja bolesti drveta vinove loze, a posebno se ističe primjena mehanizovane rezidbe. Ručno orezivanje dovodi do većeg broja rana sa većim presjecima, dok prilikom mehanizovane rezidbe nastaju manje rane. Presjeci manjih dimenzija veoma brzo zacijele, prilikom čega se smanjuje mogućnost nastanka infekcije (</w:t>
      </w:r>
      <w:r>
        <w:rPr>
          <w:rFonts w:ascii="Book Antiqua" w:hAnsi="Book Antiqua" w:cs="Times New Roman"/>
          <w:b/>
          <w:bCs/>
          <w:sz w:val="24"/>
          <w:szCs w:val="24"/>
          <w:lang w:val="sr-Latn-RS"/>
        </w:rPr>
        <w:t>Kraus et al., 2022</w:t>
      </w:r>
      <w:r>
        <w:rPr>
          <w:rFonts w:ascii="Book Antiqua" w:hAnsi="Book Antiqua" w:cs="Times New Roman"/>
          <w:sz w:val="24"/>
          <w:szCs w:val="24"/>
          <w:lang w:val="sr-Latn-RS"/>
        </w:rPr>
        <w:t xml:space="preserve">). </w:t>
      </w:r>
    </w:p>
    <w:p w14:paraId="148A5C05"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Povezanost rezidbe i uzgojnog oblika vinove loze sa bolestima drveta su predmet intenzivnih proučavanja kao dio strategije kontrole eska oboljenja. Jedna od prvih studija o uticaju rezidbe na eska oboljenje vinove loze, sprovedena je od strane Lafona (1927)</w:t>
      </w:r>
      <w:r>
        <w:rPr>
          <w:rFonts w:ascii="Book Antiqua" w:hAnsi="Book Antiqua" w:cs="Times New Roman"/>
          <w:b/>
          <w:bCs/>
          <w:sz w:val="24"/>
          <w:szCs w:val="24"/>
          <w:lang w:val="sr-Latn-RS"/>
        </w:rPr>
        <w:t xml:space="preserve"> </w:t>
      </w:r>
      <w:r>
        <w:rPr>
          <w:rFonts w:ascii="Book Antiqua" w:hAnsi="Book Antiqua" w:cs="Times New Roman"/>
          <w:sz w:val="24"/>
          <w:szCs w:val="24"/>
          <w:lang w:val="sr-Latn-RS"/>
        </w:rPr>
        <w:t>godine koji je razvio sistem rezidbe koji je ranije korišćen od strane vinogradara iz Charanta (</w:t>
      </w:r>
      <w:r>
        <w:rPr>
          <w:rFonts w:ascii="Book Antiqua" w:hAnsi="Book Antiqua" w:cs="Times New Roman"/>
          <w:b/>
          <w:bCs/>
          <w:sz w:val="24"/>
          <w:szCs w:val="24"/>
          <w:lang w:val="sr-Latn-RS"/>
        </w:rPr>
        <w:t>Lecomte et al., 2011</w:t>
      </w:r>
      <w:r>
        <w:rPr>
          <w:rFonts w:ascii="Book Antiqua" w:hAnsi="Book Antiqua" w:cs="Times New Roman"/>
          <w:sz w:val="24"/>
          <w:szCs w:val="24"/>
          <w:lang w:val="sr-Latn-RS"/>
        </w:rPr>
        <w:t xml:space="preserve">). Modifikovani Guyot, razvijen je u Francuskoj početkom XX vijeka, a danas se smatra inovativnom tehnikom rezidbe u modernom vinogradarstvu u velikom broju zemalja. Trenutno se koriste dvije metode rezidbe Guyot uzgojnog oblika: mješoviti Guyot Pousard i dvostruki Guyot Pousard. Upotreba ovog uzgojnog oblika je masovno promovisana za suzbijanje eska oboljenja u vinogradima nakon </w:t>
      </w:r>
      <w:r>
        <w:rPr>
          <w:rFonts w:ascii="Book Antiqua" w:hAnsi="Book Antiqua" w:cs="Times New Roman"/>
          <w:sz w:val="24"/>
          <w:szCs w:val="24"/>
          <w:lang w:val="sr-Latn-RS"/>
        </w:rPr>
        <w:lastRenderedPageBreak/>
        <w:t>zabrane natrijum arsenita u Francuskoj, početkom 2000-ih (</w:t>
      </w:r>
      <w:r>
        <w:rPr>
          <w:rFonts w:ascii="Book Antiqua" w:hAnsi="Book Antiqua" w:cs="Times New Roman"/>
          <w:b/>
          <w:bCs/>
          <w:sz w:val="24"/>
          <w:szCs w:val="24"/>
          <w:lang w:val="sr-Latn-RS"/>
        </w:rPr>
        <w:t>Geoffrion &amp; Renaudin, 2002</w:t>
      </w:r>
      <w:r>
        <w:rPr>
          <w:rFonts w:ascii="Book Antiqua" w:hAnsi="Book Antiqua" w:cs="Times New Roman"/>
          <w:sz w:val="24"/>
          <w:szCs w:val="24"/>
          <w:lang w:val="sr-Latn-RS"/>
        </w:rPr>
        <w:t>). Međutim, upotreba Guyot Pousard uzgojnog oblika još uvijek nije u potpunosti opravdana zbog nedostatka dokaza o efikasnosti u određenim eksperimentalnim ispitivanjima (</w:t>
      </w:r>
      <w:r>
        <w:rPr>
          <w:rFonts w:ascii="Book Antiqua" w:hAnsi="Book Antiqua" w:cs="Times New Roman"/>
          <w:b/>
          <w:bCs/>
          <w:sz w:val="24"/>
          <w:szCs w:val="24"/>
          <w:lang w:val="sr-Latn-RS"/>
        </w:rPr>
        <w:t>Mondello et al., 2018</w:t>
      </w:r>
      <w:r>
        <w:rPr>
          <w:rFonts w:ascii="Book Antiqua" w:hAnsi="Book Antiqua" w:cs="Times New Roman"/>
          <w:sz w:val="24"/>
          <w:szCs w:val="24"/>
          <w:lang w:val="sr-Latn-RS"/>
        </w:rPr>
        <w:t xml:space="preserve">). </w:t>
      </w:r>
    </w:p>
    <w:p w14:paraId="1AF8E7C3"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Iako do sada ne postoji jasan stav koji je to period najbolji za izvođenje rezidbe, jasno je da su svježe rane podložnije infekciji od starijih (</w:t>
      </w:r>
      <w:r>
        <w:rPr>
          <w:rFonts w:ascii="Book Antiqua" w:hAnsi="Book Antiqua" w:cs="Times New Roman"/>
          <w:b/>
          <w:bCs/>
          <w:sz w:val="24"/>
          <w:szCs w:val="24"/>
          <w:lang w:val="sr-Latn-RS"/>
        </w:rPr>
        <w:t xml:space="preserve">Serra et al., 2008). </w:t>
      </w:r>
      <w:r>
        <w:rPr>
          <w:rFonts w:ascii="Book Antiqua" w:hAnsi="Book Antiqua" w:cs="Times New Roman"/>
          <w:sz w:val="24"/>
          <w:szCs w:val="24"/>
          <w:lang w:val="sr-Latn-RS"/>
        </w:rPr>
        <w:t>Veoma je teško precizno definisati optimalan period rezidbe jer periodi oslobađanja spora prouzrokovača bolesti, variraju u zavisnosti od vrste patogena i geografske lokacije. Zbog toga rizik od infekcije rana nakon rezidbe zavisi uglavnom od klimatskih uslova, jer se oslobađanje spora uglavnom odvija tokom kišovitih perioda pri umjerenim temperaturama (</w:t>
      </w:r>
      <w:r>
        <w:rPr>
          <w:rFonts w:ascii="Book Antiqua" w:hAnsi="Book Antiqua" w:cs="Times New Roman"/>
          <w:b/>
          <w:bCs/>
          <w:sz w:val="24"/>
          <w:szCs w:val="24"/>
          <w:lang w:val="sr-Latn-RS"/>
        </w:rPr>
        <w:t>Gramaje et al, 2018</w:t>
      </w:r>
      <w:r>
        <w:rPr>
          <w:rFonts w:ascii="Book Antiqua" w:hAnsi="Book Antiqua" w:cs="Times New Roman"/>
          <w:sz w:val="24"/>
          <w:szCs w:val="24"/>
          <w:lang w:val="sr-Latn-RS"/>
        </w:rPr>
        <w:t>). Takođe, rane nastale nakon rezidbe nijesu podjednako osjetljive prema svim patogenima prouzrokovačima bolesti drveta vinove loze. Osjetljivost rana je značajno veća kada su u pitanju patogeni prouzrokovači botriosfernog raka nego li eska oboljenja (</w:t>
      </w:r>
      <w:r>
        <w:rPr>
          <w:rFonts w:ascii="Book Antiqua" w:hAnsi="Book Antiqua" w:cs="Times New Roman"/>
          <w:b/>
          <w:bCs/>
          <w:sz w:val="24"/>
          <w:szCs w:val="24"/>
          <w:lang w:val="sr-Latn-RS"/>
        </w:rPr>
        <w:t>Rolshausen et al., 2008</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Amponsah et al., 2014</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Ayres et al., 2016</w:t>
      </w:r>
      <w:r>
        <w:rPr>
          <w:rFonts w:ascii="Book Antiqua" w:hAnsi="Book Antiqua" w:cs="Times New Roman"/>
          <w:sz w:val="24"/>
          <w:szCs w:val="24"/>
          <w:lang w:val="sr-Latn-RS"/>
        </w:rPr>
        <w:t>). Istraživanja sprovedena u sjevernoj Španiji ukazuju na nizak stepen infekcije tokom rezidbe sprovedene u novembu u odnosu na tradicionalno vrijeme rezidbe u februaru mjesecu (</w:t>
      </w:r>
      <w:r>
        <w:rPr>
          <w:rFonts w:ascii="Book Antiqua" w:hAnsi="Book Antiqua" w:cs="Times New Roman"/>
          <w:b/>
          <w:bCs/>
          <w:sz w:val="24"/>
          <w:szCs w:val="24"/>
          <w:lang w:val="sr-Latn-RS"/>
        </w:rPr>
        <w:t>Martinez-Diz et al., 2021</w:t>
      </w:r>
      <w:r>
        <w:rPr>
          <w:rFonts w:ascii="Book Antiqua" w:hAnsi="Book Antiqua" w:cs="Times New Roman"/>
          <w:sz w:val="24"/>
          <w:szCs w:val="24"/>
          <w:lang w:val="sr-Latn-RS"/>
        </w:rPr>
        <w:t xml:space="preserve">). Međutim, nasuprot tome </w:t>
      </w:r>
      <w:r>
        <w:rPr>
          <w:rFonts w:ascii="Book Antiqua" w:hAnsi="Book Antiqua" w:cs="Times New Roman"/>
          <w:b/>
          <w:bCs/>
          <w:sz w:val="24"/>
          <w:szCs w:val="24"/>
          <w:lang w:val="sr-Latn-RS"/>
        </w:rPr>
        <w:t>Rosace et al. (2023)</w:t>
      </w:r>
      <w:r>
        <w:rPr>
          <w:rFonts w:ascii="Book Antiqua" w:hAnsi="Book Antiqua" w:cs="Times New Roman"/>
          <w:sz w:val="24"/>
          <w:szCs w:val="24"/>
          <w:lang w:val="sr-Latn-RS"/>
        </w:rPr>
        <w:t xml:space="preserve"> izvještavaju da je mogućnost infekcije značajno manja kod kasnog perioda rezidbe. </w:t>
      </w:r>
    </w:p>
    <w:p w14:paraId="59DFE34E"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Kao jedan od načina suzbijanja bolesti drveta vinove loze koristi se i dvostruka rezidba. Dvostruka rezidba sastoji se od dva dijela: mehaničke rezidbe u zimskom periodu, kada se orezuju lastari na dužinu od 30-45 cm i ručne rezidbe, koja se izvodi neposredno prije pucanja pupoljaka. Ova tehnika može pomoći da se ograniči infekcija patogenima, jer infekcija koja je nastala u lastarima usled mehaničke rezidbe odstraniće se kasnije ručnom rezidbom (</w:t>
      </w:r>
      <w:r>
        <w:rPr>
          <w:rFonts w:ascii="Book Antiqua" w:hAnsi="Book Antiqua" w:cs="Times New Roman"/>
          <w:b/>
          <w:bCs/>
          <w:sz w:val="24"/>
          <w:szCs w:val="24"/>
          <w:lang w:val="sr-Latn-RS"/>
        </w:rPr>
        <w:t>Mondello et al., 2018</w:t>
      </w:r>
      <w:r>
        <w:rPr>
          <w:rFonts w:ascii="Book Antiqua" w:hAnsi="Book Antiqua" w:cs="Times New Roman"/>
          <w:sz w:val="24"/>
          <w:szCs w:val="24"/>
          <w:lang w:val="sr-Latn-RS"/>
        </w:rPr>
        <w:t>). Dvostruko orezivanje je primjenljivo u vinogradima gdje se rodni lastari orezuju na manji broj okaca, ali nije prikladno za vinograde u kojima se lastari režu ostavljajući veliki broj okaca (</w:t>
      </w:r>
      <w:r>
        <w:rPr>
          <w:rFonts w:ascii="Book Antiqua" w:hAnsi="Book Antiqua" w:cs="Times New Roman"/>
          <w:b/>
          <w:bCs/>
          <w:sz w:val="24"/>
          <w:szCs w:val="24"/>
          <w:lang w:val="sr-Latn-RS"/>
        </w:rPr>
        <w:t>Weber et al., 2007</w:t>
      </w:r>
      <w:r>
        <w:rPr>
          <w:rFonts w:ascii="Book Antiqua" w:hAnsi="Book Antiqua" w:cs="Times New Roman"/>
          <w:sz w:val="24"/>
          <w:szCs w:val="24"/>
          <w:lang w:val="sr-Latn-RS"/>
        </w:rPr>
        <w:t>).</w:t>
      </w:r>
    </w:p>
    <w:p w14:paraId="7D1FFB67"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lastRenderedPageBreak/>
        <w:t>Međutim, vinogradari izbjegavaju dvostruku rezidbu zbog jako visokih troškova prvo mehaničke, a zatim i ručne rezidbe, naročito kada su u pitanju manji vinogradi (</w:t>
      </w:r>
      <w:r>
        <w:rPr>
          <w:rFonts w:ascii="Book Antiqua" w:hAnsi="Book Antiqua" w:cs="Times New Roman"/>
          <w:b/>
          <w:bCs/>
          <w:sz w:val="24"/>
          <w:szCs w:val="24"/>
          <w:lang w:val="sr-Latn-RS"/>
        </w:rPr>
        <w:t>Bertsch et al., 2013; Hillis et al., 2017</w:t>
      </w:r>
      <w:r>
        <w:rPr>
          <w:rFonts w:ascii="Book Antiqua" w:hAnsi="Book Antiqua" w:cs="Times New Roman"/>
          <w:sz w:val="24"/>
          <w:szCs w:val="24"/>
          <w:lang w:val="sr-Latn-RS"/>
        </w:rPr>
        <w:t xml:space="preserve">). </w:t>
      </w:r>
    </w:p>
    <w:p w14:paraId="4EFC96FA"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Jedna od metoda za suzbijanje bolesti drveta vinove loze je i dendrohirurgija. Termin dendrohirurgija se odnosi na različte tehnike kojima se parcijalno uklanja oboljelo stablo vinove loze, sve dok se ne dođe do zdravog dijela tkiva. Prednost ove operacije je u relativno brzom rastu novih prirasta koji mogu dostići kvalitativne i kvantitativne karakteristike za nekoliko godina, zahvaljujući zdravom korijenovom sistemu (</w:t>
      </w:r>
      <w:r>
        <w:rPr>
          <w:rFonts w:ascii="Book Antiqua" w:hAnsi="Book Antiqua" w:cs="Times New Roman"/>
          <w:b/>
          <w:bCs/>
          <w:sz w:val="24"/>
          <w:szCs w:val="24"/>
          <w:lang w:val="sr-Latn-RS"/>
        </w:rPr>
        <w:t>Creaser and Wiks, 2004</w:t>
      </w:r>
      <w:r>
        <w:rPr>
          <w:rFonts w:ascii="Book Antiqua" w:hAnsi="Book Antiqua" w:cs="Times New Roman"/>
          <w:sz w:val="24"/>
          <w:szCs w:val="24"/>
          <w:lang w:val="sr-Latn-RS"/>
        </w:rPr>
        <w:t>).</w:t>
      </w:r>
    </w:p>
    <w:p w14:paraId="4B38D8B3"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Najlakši način za regeneraciju oboljelog čokota vinove loze je odsijecanje inficiranog dijela, kako bi na preostalom zdravom dijelu čokota došlo do aktivacije pupoljaka i rasta novih lastara (</w:t>
      </w:r>
      <w:r>
        <w:rPr>
          <w:rFonts w:ascii="Book Antiqua" w:hAnsi="Book Antiqua" w:cs="Times New Roman"/>
          <w:b/>
          <w:bCs/>
          <w:sz w:val="24"/>
          <w:szCs w:val="24"/>
          <w:lang w:val="sr-Latn-RS"/>
        </w:rPr>
        <w:t>Savocchia et al., 2014</w:t>
      </w:r>
      <w:r>
        <w:rPr>
          <w:rFonts w:ascii="Book Antiqua" w:hAnsi="Book Antiqua" w:cs="Times New Roman"/>
          <w:sz w:val="24"/>
          <w:szCs w:val="24"/>
          <w:lang w:val="sr-Latn-RS"/>
        </w:rPr>
        <w:t>). Za efikasnu regeneraciju, neophodno je odsijecanje (10-20 cm) i zdravog dijela stabla vinove loze (</w:t>
      </w:r>
      <w:r>
        <w:rPr>
          <w:rFonts w:ascii="Book Antiqua" w:hAnsi="Book Antiqua" w:cs="Times New Roman"/>
          <w:b/>
          <w:bCs/>
          <w:sz w:val="24"/>
          <w:szCs w:val="24"/>
          <w:lang w:val="sr-Latn-RS"/>
        </w:rPr>
        <w:t>Sosnowski et al., 2007</w:t>
      </w:r>
      <w:r>
        <w:rPr>
          <w:rFonts w:ascii="Book Antiqua" w:hAnsi="Book Antiqua" w:cs="Times New Roman"/>
          <w:sz w:val="24"/>
          <w:szCs w:val="24"/>
          <w:lang w:val="sr-Latn-RS"/>
        </w:rPr>
        <w:t>). Kada je infekcija previše blizu mjestu kalemljenja, mogućnost dobijanja novog izdanka je veoma mala. Iako se u mnogim zemljama ova tehnika ne primjenjuje već se obavlja direktna zamjena kompletnog čokota, ona predstavlja jeftin način za održavanje ekonomske vrijednosti vinograda (</w:t>
      </w:r>
      <w:r>
        <w:rPr>
          <w:rFonts w:ascii="Book Antiqua" w:hAnsi="Book Antiqua" w:cs="Times New Roman"/>
          <w:b/>
          <w:bCs/>
          <w:sz w:val="24"/>
          <w:szCs w:val="24"/>
          <w:lang w:val="sr-Latn-RS"/>
        </w:rPr>
        <w:t>Becker, 2018</w:t>
      </w:r>
      <w:r>
        <w:rPr>
          <w:rFonts w:ascii="Book Antiqua" w:hAnsi="Book Antiqua" w:cs="Times New Roman"/>
          <w:sz w:val="24"/>
          <w:szCs w:val="24"/>
          <w:lang w:val="sr-Latn-RS"/>
        </w:rPr>
        <w:t>). Međutim, tehnika odsijecanja inficiranog dijela čokota i dijela zdravog tkiva je upitna kod eska oboljenja, jer se patogeni mogu naći i u samoj podlozi (</w:t>
      </w:r>
      <w:r>
        <w:rPr>
          <w:rFonts w:ascii="Book Antiqua" w:hAnsi="Book Antiqua" w:cs="Times New Roman"/>
          <w:b/>
          <w:bCs/>
          <w:sz w:val="24"/>
          <w:szCs w:val="24"/>
          <w:lang w:val="sr-Latn-RS"/>
        </w:rPr>
        <w:t>Haustein et al., 2016</w:t>
      </w:r>
      <w:r>
        <w:rPr>
          <w:rFonts w:ascii="Book Antiqua" w:hAnsi="Book Antiqua" w:cs="Times New Roman"/>
          <w:sz w:val="24"/>
          <w:szCs w:val="24"/>
          <w:lang w:val="sr-Latn-RS"/>
        </w:rPr>
        <w:t>). Kod čokota inficiranih patogenima prouzrokovačima eska oboljenja primjenjuje se druga tehnika dendrohirurgije tzv. kiretaža koja predstavlja fizičko uklanjanje trulog tkiva u oboljelim djelovima čokota. Sprovodi se pomoću električnih ručnih testera prilikom čega se ostavlja samo zdravo tkivo čokota vinove loze (</w:t>
      </w:r>
      <w:r>
        <w:rPr>
          <w:rFonts w:ascii="Book Antiqua" w:hAnsi="Book Antiqua" w:cs="Times New Roman"/>
          <w:b/>
          <w:bCs/>
          <w:sz w:val="24"/>
          <w:szCs w:val="24"/>
          <w:lang w:val="sr-Latn-RS"/>
        </w:rPr>
        <w:t>Calzarano et al., 2018</w:t>
      </w:r>
      <w:r>
        <w:rPr>
          <w:rFonts w:ascii="Book Antiqua" w:hAnsi="Book Antiqua" w:cs="Times New Roman"/>
          <w:sz w:val="24"/>
          <w:szCs w:val="24"/>
          <w:lang w:val="sr-Latn-RS"/>
        </w:rPr>
        <w:t xml:space="preserve">). Prema </w:t>
      </w:r>
      <w:r>
        <w:rPr>
          <w:rFonts w:ascii="Book Antiqua" w:hAnsi="Book Antiqua" w:cs="Times New Roman"/>
          <w:b/>
          <w:bCs/>
          <w:sz w:val="24"/>
          <w:szCs w:val="24"/>
          <w:lang w:val="sr-Latn-RS"/>
        </w:rPr>
        <w:t xml:space="preserve">Thibault (2015) </w:t>
      </w:r>
      <w:r>
        <w:rPr>
          <w:rFonts w:ascii="Book Antiqua" w:hAnsi="Book Antiqua" w:cs="Times New Roman"/>
          <w:sz w:val="24"/>
          <w:szCs w:val="24"/>
          <w:lang w:val="sr-Latn-RS"/>
        </w:rPr>
        <w:t xml:space="preserve">ova „kiretaža“ pruža dobre rezultate u smanjenju simptoma eska oboljenja i nekoliko godina nakon primjene. Međutim, ovom tehnikom moguće je ukloniti samo </w:t>
      </w:r>
      <w:r>
        <w:rPr>
          <w:rFonts w:ascii="Book Antiqua" w:hAnsi="Book Antiqua" w:cs="Times New Roman"/>
          <w:i/>
          <w:iCs/>
          <w:sz w:val="24"/>
          <w:szCs w:val="24"/>
          <w:lang w:val="sr-Latn-RS"/>
        </w:rPr>
        <w:t>F. mediterranea</w:t>
      </w:r>
      <w:r>
        <w:rPr>
          <w:rFonts w:ascii="Book Antiqua" w:hAnsi="Book Antiqua" w:cs="Times New Roman"/>
          <w:sz w:val="24"/>
          <w:szCs w:val="24"/>
          <w:lang w:val="sr-Latn-RS"/>
        </w:rPr>
        <w:t xml:space="preserve">, ali ne i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i vrsta iz roda </w:t>
      </w:r>
      <w:r>
        <w:rPr>
          <w:rFonts w:ascii="Book Antiqua" w:hAnsi="Book Antiqua" w:cs="Times New Roman"/>
          <w:i/>
          <w:iCs/>
          <w:sz w:val="24"/>
          <w:szCs w:val="24"/>
          <w:lang w:val="sr-Latn-RS"/>
        </w:rPr>
        <w:t>Phaeoacremonium</w:t>
      </w:r>
      <w:r>
        <w:rPr>
          <w:rFonts w:ascii="Book Antiqua" w:hAnsi="Book Antiqua" w:cs="Times New Roman"/>
          <w:sz w:val="24"/>
          <w:szCs w:val="24"/>
          <w:lang w:val="sr-Latn-RS"/>
        </w:rPr>
        <w:t xml:space="preserve"> čiji toksini su takođe povezani sa ekspresijom folijarnih simptoma bolesti (</w:t>
      </w:r>
      <w:r>
        <w:rPr>
          <w:rFonts w:ascii="Book Antiqua" w:hAnsi="Book Antiqua" w:cs="Times New Roman"/>
          <w:b/>
          <w:bCs/>
          <w:sz w:val="24"/>
          <w:szCs w:val="24"/>
          <w:lang w:val="sr-Latn-RS"/>
        </w:rPr>
        <w:t>Tey Rulh et al., 1991</w:t>
      </w:r>
      <w:r>
        <w:rPr>
          <w:rFonts w:ascii="Book Antiqua" w:hAnsi="Book Antiqua" w:cs="Times New Roman"/>
          <w:sz w:val="24"/>
          <w:szCs w:val="24"/>
          <w:lang w:val="sr-Latn-RS"/>
        </w:rPr>
        <w:t>).</w:t>
      </w:r>
      <w:r>
        <w:rPr>
          <w:rFonts w:ascii="Book Antiqua" w:hAnsi="Book Antiqua" w:cs="Times New Roman"/>
          <w:b/>
          <w:bCs/>
          <w:sz w:val="24"/>
          <w:szCs w:val="24"/>
          <w:lang w:val="sr-Latn-RS"/>
        </w:rPr>
        <w:t xml:space="preserve"> Mondello et al. (2018)</w:t>
      </w:r>
      <w:r>
        <w:rPr>
          <w:rFonts w:ascii="Book Antiqua" w:hAnsi="Book Antiqua" w:cs="Times New Roman"/>
          <w:sz w:val="24"/>
          <w:szCs w:val="24"/>
          <w:lang w:val="sr-Latn-RS"/>
        </w:rPr>
        <w:t xml:space="preserve"> navode da je jedna od mogućnosti </w:t>
      </w:r>
      <w:r>
        <w:rPr>
          <w:rFonts w:ascii="Book Antiqua" w:hAnsi="Book Antiqua" w:cs="Times New Roman"/>
          <w:sz w:val="24"/>
          <w:szCs w:val="24"/>
          <w:lang w:val="sr-Latn-RS"/>
        </w:rPr>
        <w:lastRenderedPageBreak/>
        <w:t>regeneracije oboljelog čokota ponovno kalemljenje. Tehnika koja se koristi je kalemljenje na procjep, gdje se podloga cijepa, a zatim se u rascjep stavlja kalem u obliku slova V. Međutim, ispitivanja u Italiji i Francuskoj ukazuju na čestu ponovnu pojavu simptoma eska oboljenja i na kalemljenim čokotima vinove loze (</w:t>
      </w:r>
      <w:r>
        <w:rPr>
          <w:rFonts w:ascii="Book Antiqua" w:hAnsi="Book Antiqua" w:cs="Times New Roman"/>
          <w:b/>
          <w:bCs/>
          <w:sz w:val="24"/>
          <w:szCs w:val="24"/>
          <w:lang w:val="sr-Latn-RS"/>
        </w:rPr>
        <w:t>Larignon &amp; Yobregat, 2016</w:t>
      </w:r>
      <w:r>
        <w:rPr>
          <w:rFonts w:ascii="Book Antiqua" w:hAnsi="Book Antiqua" w:cs="Times New Roman"/>
          <w:sz w:val="24"/>
          <w:szCs w:val="24"/>
          <w:lang w:val="sr-Latn-RS"/>
        </w:rPr>
        <w:t xml:space="preserve">).    </w:t>
      </w:r>
    </w:p>
    <w:p w14:paraId="5EDE29BC"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U nekim regionima Italije (Pijemont, Veneto, Furlanija), Njemačke (Palatinata), Mađarske (Eger ) i Španije (Galicija) postoji pristup uklanjanja simptomatičnih lastara odmah nakon njihove pojave. Na ovaj način se ne uklanjaju patogeni već samo simptomi nastali u tekućoj vegetaciji i donekle se prikriva oboljenje. Pogrešno shvatanje da se na čokotima na kojima je sprovedena ova tehnika simptomi neće pojaviti u narednoj sezoni zasniva se na tzv. fluktuaciji simptoma eska oboljenja. </w:t>
      </w:r>
    </w:p>
    <w:p w14:paraId="0BF401EB" w14:textId="77777777" w:rsidR="003801E8" w:rsidRDefault="00E44AAE">
      <w:pPr>
        <w:tabs>
          <w:tab w:val="left" w:pos="3315"/>
        </w:tabs>
        <w:spacing w:line="360" w:lineRule="auto"/>
        <w:jc w:val="both"/>
        <w:rPr>
          <w:rFonts w:ascii="Book Antiqua" w:hAnsi="Book Antiqua" w:cs="Times New Roman"/>
          <w:b/>
          <w:bCs/>
          <w:sz w:val="24"/>
          <w:szCs w:val="24"/>
          <w:lang w:val="sr-Latn-RS"/>
        </w:rPr>
      </w:pPr>
      <w:r>
        <w:rPr>
          <w:rFonts w:ascii="Book Antiqua" w:hAnsi="Book Antiqua" w:cs="Times New Roman"/>
          <w:sz w:val="24"/>
          <w:szCs w:val="24"/>
          <w:lang w:val="sr-Latn-RS"/>
        </w:rPr>
        <w:t>Upotreba bakarnih eksera postavljenih u različite djelove čokota je jedna od metoda koja se koristi kod suzbijanja eska oboljenja. Primjena ove metode zabilježena je u Španiji (Galicija) kako bi se obezbijedilo sporo, kontinuirano oslobađanje bakra (</w:t>
      </w:r>
      <w:r>
        <w:rPr>
          <w:rFonts w:ascii="Book Antiqua" w:hAnsi="Book Antiqua" w:cs="Times New Roman"/>
          <w:b/>
          <w:bCs/>
          <w:sz w:val="24"/>
          <w:szCs w:val="24"/>
          <w:lang w:val="sr-Latn-RS"/>
        </w:rPr>
        <w:t>Mondello et al., 2018</w:t>
      </w:r>
      <w:r>
        <w:rPr>
          <w:rFonts w:ascii="Book Antiqua" w:hAnsi="Book Antiqua" w:cs="Times New Roman"/>
          <w:sz w:val="24"/>
          <w:szCs w:val="24"/>
          <w:lang w:val="sr-Latn-RS"/>
        </w:rPr>
        <w:t>).  Pravilan odabir momenta navodnjavanja takođe može pomoći u kontroli bolesti drveta vinove loze (</w:t>
      </w:r>
      <w:r>
        <w:rPr>
          <w:rFonts w:ascii="Book Antiqua" w:hAnsi="Book Antiqua" w:cs="Times New Roman"/>
          <w:b/>
          <w:bCs/>
          <w:sz w:val="24"/>
          <w:szCs w:val="24"/>
          <w:lang w:val="sr-Latn-RS"/>
        </w:rPr>
        <w:t>Urbez Torres et al., 2010</w:t>
      </w:r>
      <w:r>
        <w:rPr>
          <w:rFonts w:ascii="Book Antiqua" w:hAnsi="Book Antiqua" w:cs="Times New Roman"/>
          <w:sz w:val="24"/>
          <w:szCs w:val="24"/>
          <w:lang w:val="sr-Latn-RS"/>
        </w:rPr>
        <w:t xml:space="preserve">). Prema </w:t>
      </w:r>
      <w:r>
        <w:rPr>
          <w:rFonts w:ascii="Book Antiqua" w:hAnsi="Book Antiqua" w:cs="Times New Roman"/>
          <w:b/>
          <w:bCs/>
          <w:sz w:val="24"/>
          <w:szCs w:val="24"/>
          <w:lang w:val="sr-Latn-RS"/>
        </w:rPr>
        <w:t>Calvo – Garrido et al. (2021)</w:t>
      </w:r>
      <w:r>
        <w:rPr>
          <w:rFonts w:ascii="Book Antiqua" w:hAnsi="Book Antiqua" w:cs="Times New Roman"/>
          <w:sz w:val="24"/>
          <w:szCs w:val="24"/>
          <w:lang w:val="sr-Latn-RS"/>
        </w:rPr>
        <w:t xml:space="preserve"> optimalnim navodnjavanjem se ograničava vodni stres i doprinosi se smanjenju folijarnih simptoma eska oboljenja u sušnim godinama. Preporučljivo je smanjiti periode zalivanja sa velikim zalivnim normama. Prilikom podizanja vinograda potrebno je izbjegavati zbijena i teška zemljišta, a ukoliko su vinogradi podignuti na takvim terenima neophodno je sistem za navodnjavanje kap po kao udaljiti od čokota vinove loze (</w:t>
      </w:r>
      <w:r>
        <w:rPr>
          <w:rFonts w:ascii="Book Antiqua" w:hAnsi="Book Antiqua" w:cs="Times New Roman"/>
          <w:b/>
          <w:bCs/>
          <w:sz w:val="24"/>
          <w:szCs w:val="24"/>
          <w:lang w:val="sr-Latn-RS"/>
        </w:rPr>
        <w:t>Gubler and Petit, 2013</w:t>
      </w:r>
      <w:r>
        <w:rPr>
          <w:rFonts w:ascii="Book Antiqua" w:hAnsi="Book Antiqua" w:cs="Times New Roman"/>
          <w:sz w:val="24"/>
          <w:szCs w:val="24"/>
          <w:lang w:val="sr-Latn-RS"/>
        </w:rPr>
        <w:t>).</w:t>
      </w:r>
    </w:p>
    <w:p w14:paraId="2AFA4813"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Đubrenje može imati značajnu ulogu u smanjenju folijarnih simptoma eska oboljenja, a poseban značaj imaju kalcijum i magnezijum. Veća dostupnost kalcijuma može smanjiti hipersenzibilne reakcije biljaka, jer povećava sintezu kalmodulina koji reguliše nivo salicilne kiseline i smanjuje razvoj nekroze (</w:t>
      </w:r>
      <w:r>
        <w:rPr>
          <w:rFonts w:ascii="Book Antiqua" w:hAnsi="Book Antiqua" w:cs="Times New Roman"/>
          <w:b/>
          <w:bCs/>
          <w:sz w:val="24"/>
          <w:szCs w:val="24"/>
          <w:lang w:val="sr-Latn-RS"/>
        </w:rPr>
        <w:t>Du et al., 2009</w:t>
      </w:r>
      <w:r>
        <w:rPr>
          <w:rFonts w:ascii="Book Antiqua" w:hAnsi="Book Antiqua" w:cs="Times New Roman"/>
          <w:sz w:val="24"/>
          <w:szCs w:val="24"/>
          <w:lang w:val="sr-Latn-RS"/>
        </w:rPr>
        <w:t xml:space="preserve">). Uloga magnezijuma u smanjenju pojave simptoma eska oboljenja </w:t>
      </w:r>
      <w:r>
        <w:rPr>
          <w:rFonts w:ascii="Book Antiqua" w:hAnsi="Book Antiqua" w:cs="Times New Roman"/>
          <w:sz w:val="24"/>
          <w:szCs w:val="24"/>
          <w:lang w:val="sr-Latn-RS"/>
        </w:rPr>
        <w:lastRenderedPageBreak/>
        <w:t>nastaje kao posledica djelovanja ovog elementa na opštu otpornost biljke, stimulaciju procesa fotosinteze i razvoj hlorofila. Međutim, magnezijum može djelovati i direktno, detoksikujući toksične metabolite koje proizvode gljive prouzrokovači eska oboljenja (</w:t>
      </w:r>
      <w:r>
        <w:rPr>
          <w:rFonts w:ascii="Book Antiqua" w:hAnsi="Book Antiqua" w:cs="Times New Roman"/>
          <w:b/>
          <w:bCs/>
          <w:sz w:val="24"/>
          <w:szCs w:val="24"/>
          <w:lang w:val="sr-Latn-RS"/>
        </w:rPr>
        <w:t>Del Frari et al., 2022</w:t>
      </w:r>
      <w:r>
        <w:rPr>
          <w:rFonts w:ascii="Book Antiqua" w:hAnsi="Book Antiqua" w:cs="Times New Roman"/>
          <w:sz w:val="24"/>
          <w:szCs w:val="24"/>
          <w:lang w:val="sr-Latn-RS"/>
        </w:rPr>
        <w:t xml:space="preserve">). </w:t>
      </w:r>
    </w:p>
    <w:p w14:paraId="5EABC11D"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Uklanjanje i uništavanje oboljelih čokota je prva higijenska mjera koju je potrebno sprovesti u vinogradu. Međutim, okolni vinogradi, voćnjaci ili druge biljne vrste mogu biti izvor inokuluma u zavisnosti od patogena, tako da je neophodno sprovesti sanitarne mjere širih razmjera obuhvatajući čitavo područje ili region. Nažalost, do sada nema zabilježenih podataka da je takav pristup negdje ostvaren. Izvor inokuluma predstavljaju i ostaci od rezidbe, pa je nakon rezidbe značajno ukloniti sve ostatke vinove loze iz vinograda. Ostaci od rezidbe se mogu uništiti zakopavanjem, malčiranjem ili kompostiranjem (</w:t>
      </w:r>
      <w:r>
        <w:rPr>
          <w:rFonts w:ascii="Book Antiqua" w:hAnsi="Book Antiqua" w:cs="Times New Roman"/>
          <w:b/>
          <w:bCs/>
          <w:sz w:val="24"/>
          <w:szCs w:val="24"/>
          <w:lang w:val="sr-Latn-RS"/>
        </w:rPr>
        <w:t>Gramaje et al., 2018</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Lecomte et al., (2006)</w:t>
      </w:r>
      <w:r>
        <w:rPr>
          <w:rFonts w:ascii="Book Antiqua" w:hAnsi="Book Antiqua" w:cs="Times New Roman"/>
          <w:sz w:val="24"/>
          <w:szCs w:val="24"/>
          <w:lang w:val="sr-Latn-RS"/>
        </w:rPr>
        <w:t xml:space="preserve"> su utvrdili da se kompostiranjem ostataka od rezidbe sa ovčijim stajnjakom tokom šest mjeseci uspješno može eliminisati inokulum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Dosadašnja istraživanja ukazuju na različit stepen osjetljivosti sorti vinove loze prema eska patogenima, i ne izdvaja se nijedna sorta sa potpunom otpornošću</w:t>
      </w:r>
      <w:r>
        <w:t xml:space="preserve"> </w:t>
      </w:r>
      <w:r>
        <w:rPr>
          <w:sz w:val="24"/>
          <w:szCs w:val="24"/>
        </w:rPr>
        <w:t>(</w:t>
      </w:r>
      <w:r>
        <w:rPr>
          <w:rFonts w:ascii="Book Antiqua" w:hAnsi="Book Antiqua" w:cs="Times New Roman"/>
          <w:b/>
          <w:bCs/>
          <w:sz w:val="24"/>
          <w:szCs w:val="24"/>
          <w:lang w:val="sr-Latn-RS"/>
        </w:rPr>
        <w:t>Gramaje et al., 2018</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Quaglia et al. (2009)</w:t>
      </w:r>
      <w:r>
        <w:rPr>
          <w:rFonts w:ascii="Book Antiqua" w:hAnsi="Book Antiqua" w:cs="Times New Roman"/>
          <w:sz w:val="24"/>
          <w:szCs w:val="24"/>
          <w:lang w:val="sr-Latn-RS"/>
        </w:rPr>
        <w:t xml:space="preserve"> izvještavaju da sorte Pinot Noir, Carignan, Roussane, Montepulciano imaju veći stepen otpornosti, sa značajno manjom ekspresijom folijarnih simptoma bolesti. </w:t>
      </w:r>
    </w:p>
    <w:p w14:paraId="7E1C68EC"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Do sada se jako malo zna o mehanizmima otpornosti sorti prema patogenima prouzrokovačima eska oboljenja. Manja osjetljivost pojedinih sorti povezana je sa prečnikom sprovodnih sudova vinove loze i sadržajem lignina (</w:t>
      </w:r>
      <w:r>
        <w:rPr>
          <w:rFonts w:ascii="Book Antiqua" w:hAnsi="Book Antiqua" w:cs="Times New Roman"/>
          <w:b/>
          <w:bCs/>
          <w:sz w:val="24"/>
          <w:szCs w:val="24"/>
          <w:lang w:val="sr-Latn-RS"/>
        </w:rPr>
        <w:t>Hamblin 2015; Gramaje et al., 2018</w:t>
      </w:r>
      <w:r>
        <w:rPr>
          <w:rFonts w:ascii="Book Antiqua" w:hAnsi="Book Antiqua" w:cs="Times New Roman"/>
          <w:sz w:val="24"/>
          <w:szCs w:val="24"/>
          <w:lang w:val="sr-Latn-RS"/>
        </w:rPr>
        <w:t>).  Takođe, veliki uticaj na otpornost biljaka ima i podloga za kalemljenje. Podloga pruža čitav niz prednosti, kao što su otpornost na stres uzrokovan sušom, otpornost na bolesti i štetočine, kao i na asimilaciju hranljivih materija (</w:t>
      </w:r>
      <w:r>
        <w:rPr>
          <w:rFonts w:ascii="Book Antiqua" w:hAnsi="Book Antiqua" w:cs="Times New Roman"/>
          <w:b/>
          <w:bCs/>
          <w:sz w:val="24"/>
          <w:szCs w:val="24"/>
          <w:lang w:val="sr-Latn-RS"/>
        </w:rPr>
        <w:t>Koundouras et al., 2008</w:t>
      </w:r>
      <w:r>
        <w:rPr>
          <w:rFonts w:ascii="Book Antiqua" w:hAnsi="Book Antiqua" w:cs="Times New Roman"/>
          <w:sz w:val="24"/>
          <w:szCs w:val="24"/>
          <w:lang w:val="sr-Latn-RS"/>
        </w:rPr>
        <w:t xml:space="preserve">). Prema </w:t>
      </w:r>
      <w:r>
        <w:rPr>
          <w:rFonts w:ascii="Book Antiqua" w:hAnsi="Book Antiqua" w:cs="Times New Roman"/>
          <w:b/>
          <w:bCs/>
          <w:sz w:val="24"/>
          <w:szCs w:val="24"/>
          <w:lang w:val="sr-Latn-RS"/>
        </w:rPr>
        <w:t>Tombesi et al. (2010)</w:t>
      </w:r>
      <w:r>
        <w:rPr>
          <w:rFonts w:ascii="Book Antiqua" w:hAnsi="Book Antiqua" w:cs="Times New Roman"/>
          <w:sz w:val="24"/>
          <w:szCs w:val="24"/>
          <w:lang w:val="sr-Latn-RS"/>
        </w:rPr>
        <w:t xml:space="preserve"> i </w:t>
      </w:r>
      <w:r>
        <w:rPr>
          <w:rFonts w:ascii="Book Antiqua" w:hAnsi="Book Antiqua" w:cs="Times New Roman"/>
          <w:b/>
          <w:bCs/>
          <w:sz w:val="24"/>
          <w:szCs w:val="24"/>
          <w:lang w:val="sr-Latn-RS"/>
        </w:rPr>
        <w:t>Tombesi et al. (2011)</w:t>
      </w:r>
      <w:r>
        <w:rPr>
          <w:rFonts w:ascii="Book Antiqua" w:hAnsi="Book Antiqua" w:cs="Times New Roman"/>
          <w:sz w:val="24"/>
          <w:szCs w:val="24"/>
          <w:lang w:val="sr-Latn-RS"/>
        </w:rPr>
        <w:t xml:space="preserve"> korelacija između prečnika sprovodnih sudova podloge i plemke utiče na hidrauličnu provodljivost kod biljke, pa na taj način doprinosi otpornosti biljke prema sudovnim patogenima. </w:t>
      </w:r>
    </w:p>
    <w:p w14:paraId="22F21B73" w14:textId="77777777" w:rsidR="003801E8" w:rsidRDefault="00E44AAE">
      <w:pPr>
        <w:tabs>
          <w:tab w:val="left" w:pos="3315"/>
        </w:tabs>
        <w:spacing w:line="360" w:lineRule="auto"/>
        <w:jc w:val="both"/>
        <w:rPr>
          <w:rFonts w:ascii="Book Antiqua" w:hAnsi="Book Antiqua" w:cs="Times New Roman"/>
          <w:b/>
          <w:bCs/>
          <w:sz w:val="24"/>
          <w:szCs w:val="24"/>
          <w:lang w:val="sr-Latn-RS"/>
        </w:rPr>
      </w:pPr>
      <w:r>
        <w:rPr>
          <w:rFonts w:ascii="Book Antiqua" w:hAnsi="Book Antiqua" w:cs="Times New Roman"/>
          <w:b/>
          <w:bCs/>
          <w:sz w:val="24"/>
          <w:szCs w:val="24"/>
          <w:lang w:val="sr-Latn-RS"/>
        </w:rPr>
        <w:lastRenderedPageBreak/>
        <w:t>3.13 Hemijske mjere zaštite</w:t>
      </w:r>
    </w:p>
    <w:p w14:paraId="3D13CC0A"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Tokom  XX vijeka natrijum arsenit je bilo jedino poznato hemijsko jedinjenje koje je moglo da ublaži simptome eska oboljenja na vinovoj lozi (</w:t>
      </w:r>
      <w:r>
        <w:rPr>
          <w:rFonts w:ascii="Book Antiqua" w:hAnsi="Book Antiqua" w:cs="Times New Roman"/>
          <w:b/>
          <w:bCs/>
          <w:sz w:val="24"/>
          <w:szCs w:val="24"/>
          <w:lang w:val="sr-Latn-RS"/>
        </w:rPr>
        <w:t>Del Frari et al., 2022</w:t>
      </w:r>
      <w:r>
        <w:rPr>
          <w:rFonts w:ascii="Book Antiqua" w:hAnsi="Book Antiqua" w:cs="Times New Roman"/>
          <w:sz w:val="24"/>
          <w:szCs w:val="24"/>
          <w:lang w:val="sr-Latn-RS"/>
        </w:rPr>
        <w:t>). Dinamika tretmana je dvije godine uzastopno, i to dvije nedelje nakon završetka rezidbe ili tri nedelje prije kretanja vegetacije; treće i četvrte godine primjena je izostavljana, pa se opet radila uzastopno naredne dvije godine (</w:t>
      </w:r>
      <w:r>
        <w:rPr>
          <w:rFonts w:ascii="Book Antiqua" w:hAnsi="Book Antiqua" w:cs="Times New Roman"/>
          <w:b/>
          <w:bCs/>
          <w:sz w:val="24"/>
          <w:szCs w:val="24"/>
          <w:lang w:val="sr-Latn-RS"/>
        </w:rPr>
        <w:t>Di Marco et al., 2000</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Bruez et al. (2021)</w:t>
      </w:r>
      <w:r>
        <w:rPr>
          <w:rFonts w:ascii="Book Antiqua" w:hAnsi="Book Antiqua" w:cs="Times New Roman"/>
          <w:sz w:val="24"/>
          <w:szCs w:val="24"/>
          <w:lang w:val="sr-Latn-RS"/>
        </w:rPr>
        <w:t xml:space="preserve"> izvještavaju da je primjena natrijum arsenita imala veliki uticaj na </w:t>
      </w:r>
      <w:r>
        <w:rPr>
          <w:rFonts w:ascii="Book Antiqua" w:hAnsi="Book Antiqua" w:cs="Times New Roman"/>
          <w:i/>
          <w:iCs/>
          <w:sz w:val="24"/>
          <w:szCs w:val="24"/>
          <w:lang w:val="sr-Latn-RS"/>
        </w:rPr>
        <w:t>F. mediterranea</w:t>
      </w:r>
      <w:r>
        <w:rPr>
          <w:rFonts w:ascii="Book Antiqua" w:hAnsi="Book Antiqua" w:cs="Times New Roman"/>
          <w:sz w:val="24"/>
          <w:szCs w:val="24"/>
          <w:lang w:val="sr-Latn-RS"/>
        </w:rPr>
        <w:t xml:space="preserve"> u tretiranim biljkama. Međutim, za razliku od </w:t>
      </w:r>
      <w:r>
        <w:rPr>
          <w:rFonts w:ascii="Book Antiqua" w:hAnsi="Book Antiqua" w:cs="Times New Roman"/>
          <w:i/>
          <w:iCs/>
          <w:sz w:val="24"/>
          <w:szCs w:val="24"/>
          <w:lang w:val="sr-Latn-RS"/>
        </w:rPr>
        <w:t>F. mediterranea</w:t>
      </w:r>
      <w:r>
        <w:rPr>
          <w:rFonts w:ascii="Book Antiqua" w:hAnsi="Book Antiqua" w:cs="Times New Roman"/>
          <w:sz w:val="24"/>
          <w:szCs w:val="24"/>
          <w:lang w:val="sr-Latn-RS"/>
        </w:rPr>
        <w:t xml:space="preserve"> , </w:t>
      </w:r>
      <w:r>
        <w:rPr>
          <w:rFonts w:ascii="Book Antiqua" w:hAnsi="Book Antiqua" w:cs="Times New Roman"/>
          <w:i/>
          <w:iCs/>
          <w:sz w:val="24"/>
          <w:szCs w:val="24"/>
          <w:lang w:val="sr-Latn-RS"/>
        </w:rPr>
        <w:t>P.chlamydospora</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E. lata</w:t>
      </w:r>
      <w:r>
        <w:rPr>
          <w:rFonts w:ascii="Book Antiqua" w:hAnsi="Book Antiqua" w:cs="Times New Roman"/>
          <w:sz w:val="24"/>
          <w:szCs w:val="24"/>
          <w:lang w:val="sr-Latn-RS"/>
        </w:rPr>
        <w:t xml:space="preserve"> pokazale su 15 do 20 puta manju osjetljivost prema natrijum arsenitu. Zbog negativnog uticaja na životnu sredinu njegova upotreba je prekinuta 2003. godine. Jedno od jedinjenja koje je imalo veliki značaj u suzbijanju bolesti drveta vinove loze bio je i dinitro-orto-krezol (DNOC). Kreozan je primjenjivan u koncentraciji 1-1.5% nekoliko dana nakon rezidbe, a zatim dvije nedelje nakon kretanja vegetacije. Kroz istoriju je testiran veliki broj različitih aktivnih materija, koji su u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uslovima pokazali visok stepen efikasnosti (</w:t>
      </w:r>
      <w:r>
        <w:rPr>
          <w:rFonts w:ascii="Book Antiqua" w:hAnsi="Book Antiqua" w:cs="Times New Roman"/>
          <w:b/>
          <w:bCs/>
          <w:sz w:val="24"/>
          <w:szCs w:val="24"/>
          <w:lang w:val="sr-Latn-RS"/>
        </w:rPr>
        <w:t>Jaspers, 2001</w:t>
      </w:r>
      <w:r>
        <w:rPr>
          <w:rFonts w:ascii="Book Antiqua" w:hAnsi="Book Antiqua" w:cs="Times New Roman"/>
          <w:sz w:val="24"/>
          <w:szCs w:val="24"/>
          <w:lang w:val="sr-Latn-RS"/>
        </w:rPr>
        <w:t xml:space="preserve">). </w:t>
      </w:r>
    </w:p>
    <w:p w14:paraId="3B877D7D"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Osim sistemičnih fungicida predmet dosadašnjih istraživanja bila su i bakarna jedinjenja u vidu bakar oksihlorida i glukonata, koja su pokazala određen stepen efikasnosti prema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ali ne i ostalim patogenima prouzrokovačima eska oboljenja (</w:t>
      </w:r>
      <w:r>
        <w:rPr>
          <w:rFonts w:ascii="Book Antiqua" w:hAnsi="Book Antiqua" w:cs="Times New Roman"/>
          <w:b/>
          <w:bCs/>
          <w:sz w:val="24"/>
          <w:szCs w:val="24"/>
          <w:lang w:val="sr-Latn-RS"/>
        </w:rPr>
        <w:t>Di Marco et al., 2011</w:t>
      </w:r>
      <w:r>
        <w:rPr>
          <w:rFonts w:ascii="Book Antiqua" w:hAnsi="Book Antiqua" w:cs="Times New Roman"/>
          <w:sz w:val="24"/>
          <w:szCs w:val="24"/>
          <w:lang w:val="sr-Latn-RS"/>
        </w:rPr>
        <w:t xml:space="preserve">). </w:t>
      </w:r>
    </w:p>
    <w:p w14:paraId="57E606CA"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Kao jedan od načina suzbijanja bolesti drveta vinove loze je i endoterapija u vidu injektiranja fungicida posebno dizajniranim špricevima (</w:t>
      </w:r>
      <w:r>
        <w:rPr>
          <w:rFonts w:ascii="Book Antiqua" w:hAnsi="Book Antiqua" w:cs="Times New Roman"/>
          <w:b/>
          <w:bCs/>
          <w:sz w:val="24"/>
          <w:szCs w:val="24"/>
          <w:lang w:val="sr-Latn-RS"/>
        </w:rPr>
        <w:t>Gellon et al., 2017</w:t>
      </w:r>
      <w:r>
        <w:rPr>
          <w:rFonts w:ascii="Book Antiqua" w:hAnsi="Book Antiqua" w:cs="Times New Roman"/>
          <w:sz w:val="24"/>
          <w:szCs w:val="24"/>
          <w:lang w:val="sr-Latn-RS"/>
        </w:rPr>
        <w:t xml:space="preserve">). Rupe na stablu na visini 25-40 cm od nivoa zemlje su bušene bušilicom, u koje je zatim stavljana mesingana igla. Specijalno dizajniranim PVC priključkom cilindar koji sadrži neophodnu količinu fungicida je spojen sa iglom, a zatim injektiran u biljku pod kontrolisanim pritiskom. Kako nebi došlo do prolivanja fungicida, pritisak je podešen tako da se injekitranje obavlja u trajanju od 24-36 h. Ovakav tretman trajao je tri godine po čokotu, a zatim se rana premazivala kalemarskim voskom. U ovu svrhu su korišćene različite aktivne materije među </w:t>
      </w:r>
      <w:r>
        <w:rPr>
          <w:rFonts w:ascii="Book Antiqua" w:hAnsi="Book Antiqua" w:cs="Times New Roman"/>
          <w:sz w:val="24"/>
          <w:szCs w:val="24"/>
          <w:lang w:val="sr-Latn-RS"/>
        </w:rPr>
        <w:lastRenderedPageBreak/>
        <w:t>kojima su najznačajnije: ciprokonazol, flusilazalol, penkonazol, fosetil Al, tetrakonazol. Međutim, ovakav način terapije nije dao značajnije rezultate, naročito kada su u pitanju starije biljke. Kod mlađih biljaka dolazilo je do smanjenja intenziteta pojave folijarnih simptoma eska oboljenja, ali širenje infekcije u drvetu se nije uspjelo zaustaviti (</w:t>
      </w:r>
      <w:r>
        <w:rPr>
          <w:rFonts w:ascii="Book Antiqua" w:hAnsi="Book Antiqua" w:cs="Times New Roman"/>
          <w:b/>
          <w:bCs/>
          <w:sz w:val="24"/>
          <w:szCs w:val="24"/>
          <w:lang w:val="sr-Latn-RS"/>
        </w:rPr>
        <w:t>Di Marco et al., 2000</w:t>
      </w:r>
      <w:r>
        <w:rPr>
          <w:rFonts w:ascii="Book Antiqua" w:hAnsi="Book Antiqua" w:cs="Times New Roman"/>
          <w:sz w:val="24"/>
          <w:szCs w:val="24"/>
          <w:lang w:val="sr-Latn-RS"/>
        </w:rPr>
        <w:t xml:space="preserve">).    </w:t>
      </w:r>
    </w:p>
    <w:p w14:paraId="2E9F602E"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Zaštita rana nakon rezidbe pomoću hemijskih tretmana se nije pokazala kao uspješna metoda (</w:t>
      </w:r>
      <w:r>
        <w:rPr>
          <w:rFonts w:ascii="Book Antiqua" w:hAnsi="Book Antiqua" w:cs="Times New Roman"/>
          <w:b/>
          <w:bCs/>
          <w:sz w:val="24"/>
          <w:szCs w:val="24"/>
          <w:lang w:val="sr-Latn-RS"/>
        </w:rPr>
        <w:t>Van Niekerk et al., 2011; Mutawila et al., 2011</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Mondello et al., 2018</w:t>
      </w:r>
      <w:r>
        <w:rPr>
          <w:rFonts w:ascii="Book Antiqua" w:hAnsi="Book Antiqua" w:cs="Times New Roman"/>
          <w:sz w:val="24"/>
          <w:szCs w:val="24"/>
          <w:lang w:val="sr-Latn-RS"/>
        </w:rPr>
        <w:t>). Za kvalitetnu zaštitu neophodna je ručna primjena fungicida direktno na presjeke, a ovaj način primjene je veoma skup i dugotrajan (</w:t>
      </w:r>
      <w:r>
        <w:rPr>
          <w:rFonts w:ascii="Book Antiqua" w:hAnsi="Book Antiqua" w:cs="Times New Roman"/>
          <w:b/>
          <w:bCs/>
          <w:sz w:val="24"/>
          <w:szCs w:val="24"/>
          <w:lang w:val="sr-Latn-RS"/>
        </w:rPr>
        <w:t>Rolshausen et al., 2010</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Wightwick et al., 2010</w:t>
      </w:r>
      <w:r>
        <w:rPr>
          <w:rFonts w:ascii="Book Antiqua" w:hAnsi="Book Antiqua" w:cs="Times New Roman"/>
          <w:sz w:val="24"/>
          <w:szCs w:val="24"/>
          <w:lang w:val="sr-Latn-RS"/>
        </w:rPr>
        <w:t>).</w:t>
      </w:r>
    </w:p>
    <w:p w14:paraId="333994A9"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Danas su paste dopunjene fungicidima najpouzdanija sredstva za zaštitu rana vinove loze od patogena prouzrokovača bolesti drveta. Paste predstavljaju fizičku barijeru za prodor patogena jer je formulisana na način da kada pasta postane ugrožena od sokova vinove loze ili kiše, fungicid ulazi u rane i obezbeđuje dalju zaštitu. Paste se mogu primijeniti četkom ili specijalno dizajniranim prskalicama. Međutim, ovaj način zaštite je i do četiri puta skuplji od standardnih hemijskih tretmana (</w:t>
      </w:r>
      <w:r>
        <w:rPr>
          <w:rFonts w:ascii="Book Antiqua" w:hAnsi="Book Antiqua" w:cs="Times New Roman"/>
          <w:b/>
          <w:bCs/>
          <w:sz w:val="24"/>
          <w:szCs w:val="24"/>
          <w:lang w:val="sr-Latn-RS"/>
        </w:rPr>
        <w:t>Kuhn et al., 2017; Sosnowski et al., 2008; Sosnowski &amp; McCarthi, 2017</w:t>
      </w:r>
      <w:r>
        <w:rPr>
          <w:rFonts w:ascii="Book Antiqua" w:hAnsi="Book Antiqua" w:cs="Times New Roman"/>
          <w:sz w:val="24"/>
          <w:szCs w:val="24"/>
          <w:lang w:val="sr-Latn-RS"/>
        </w:rPr>
        <w:t>). Primjena fungicidnih pasti se može koristiti i u proizvodnji sadnog materijala za umakanje reznica (</w:t>
      </w:r>
      <w:r>
        <w:rPr>
          <w:rFonts w:ascii="Book Antiqua" w:hAnsi="Book Antiqua" w:cs="Times New Roman"/>
          <w:b/>
          <w:bCs/>
          <w:sz w:val="24"/>
          <w:szCs w:val="24"/>
          <w:lang w:val="sr-Latn-RS"/>
        </w:rPr>
        <w:t>Gubler &amp; Eskalen, 2008</w:t>
      </w:r>
      <w:r>
        <w:rPr>
          <w:rFonts w:ascii="Book Antiqua" w:hAnsi="Book Antiqua" w:cs="Times New Roman"/>
          <w:sz w:val="24"/>
          <w:szCs w:val="24"/>
          <w:lang w:val="sr-Latn-RS"/>
        </w:rPr>
        <w:t xml:space="preserve">). </w:t>
      </w:r>
    </w:p>
    <w:p w14:paraId="4308E9F7" w14:textId="77777777" w:rsidR="003801E8" w:rsidRDefault="003801E8">
      <w:pPr>
        <w:tabs>
          <w:tab w:val="left" w:pos="3315"/>
        </w:tabs>
        <w:spacing w:line="360" w:lineRule="auto"/>
        <w:jc w:val="both"/>
        <w:rPr>
          <w:rFonts w:ascii="Book Antiqua" w:hAnsi="Book Antiqua" w:cs="Times New Roman"/>
          <w:sz w:val="24"/>
          <w:szCs w:val="24"/>
          <w:lang w:val="sr-Latn-RS"/>
        </w:rPr>
      </w:pPr>
    </w:p>
    <w:p w14:paraId="48048903" w14:textId="77777777" w:rsidR="003801E8" w:rsidRDefault="003801E8">
      <w:pPr>
        <w:tabs>
          <w:tab w:val="left" w:pos="3315"/>
        </w:tabs>
        <w:spacing w:line="360" w:lineRule="auto"/>
        <w:jc w:val="both"/>
        <w:rPr>
          <w:rFonts w:ascii="Book Antiqua" w:hAnsi="Book Antiqua" w:cs="Times New Roman"/>
          <w:sz w:val="24"/>
          <w:szCs w:val="24"/>
          <w:lang w:val="sr-Latn-RS"/>
        </w:rPr>
      </w:pPr>
    </w:p>
    <w:p w14:paraId="71092196" w14:textId="77777777" w:rsidR="00F83C53" w:rsidRDefault="00F83C53">
      <w:pPr>
        <w:tabs>
          <w:tab w:val="left" w:pos="3315"/>
        </w:tabs>
        <w:spacing w:line="360" w:lineRule="auto"/>
        <w:jc w:val="both"/>
        <w:rPr>
          <w:rFonts w:ascii="Book Antiqua" w:hAnsi="Book Antiqua" w:cs="Times New Roman"/>
          <w:sz w:val="24"/>
          <w:szCs w:val="24"/>
          <w:lang w:val="sr-Latn-RS"/>
        </w:rPr>
      </w:pPr>
    </w:p>
    <w:p w14:paraId="065A6E1C" w14:textId="77777777" w:rsidR="00F83C53" w:rsidRDefault="00F83C53">
      <w:pPr>
        <w:tabs>
          <w:tab w:val="left" w:pos="3315"/>
        </w:tabs>
        <w:spacing w:line="360" w:lineRule="auto"/>
        <w:jc w:val="both"/>
        <w:rPr>
          <w:rFonts w:ascii="Book Antiqua" w:hAnsi="Book Antiqua" w:cs="Times New Roman"/>
          <w:sz w:val="24"/>
          <w:szCs w:val="24"/>
          <w:lang w:val="sr-Latn-RS"/>
        </w:rPr>
      </w:pPr>
    </w:p>
    <w:p w14:paraId="563EC9F7" w14:textId="77777777" w:rsidR="00F83C53" w:rsidRDefault="00F83C53">
      <w:pPr>
        <w:tabs>
          <w:tab w:val="left" w:pos="3315"/>
        </w:tabs>
        <w:spacing w:line="360" w:lineRule="auto"/>
        <w:jc w:val="both"/>
        <w:rPr>
          <w:rFonts w:ascii="Book Antiqua" w:hAnsi="Book Antiqua" w:cs="Times New Roman"/>
          <w:sz w:val="24"/>
          <w:szCs w:val="24"/>
          <w:lang w:val="sr-Latn-RS"/>
        </w:rPr>
      </w:pPr>
    </w:p>
    <w:p w14:paraId="41D6DF7F" w14:textId="77777777" w:rsidR="00F83C53" w:rsidRDefault="00F83C53">
      <w:pPr>
        <w:tabs>
          <w:tab w:val="left" w:pos="3315"/>
        </w:tabs>
        <w:spacing w:line="360" w:lineRule="auto"/>
        <w:jc w:val="both"/>
        <w:rPr>
          <w:rFonts w:ascii="Book Antiqua" w:hAnsi="Book Antiqua" w:cs="Times New Roman"/>
          <w:sz w:val="24"/>
          <w:szCs w:val="24"/>
          <w:lang w:val="sr-Latn-RS"/>
        </w:rPr>
      </w:pPr>
    </w:p>
    <w:p w14:paraId="6B48F203" w14:textId="77777777" w:rsidR="003801E8" w:rsidRDefault="003801E8">
      <w:pPr>
        <w:tabs>
          <w:tab w:val="left" w:pos="3315"/>
        </w:tabs>
        <w:spacing w:line="360" w:lineRule="auto"/>
        <w:jc w:val="both"/>
        <w:rPr>
          <w:rFonts w:ascii="Book Antiqua" w:hAnsi="Book Antiqua" w:cs="Times New Roman"/>
          <w:sz w:val="24"/>
          <w:szCs w:val="24"/>
          <w:lang w:val="sr-Latn-RS"/>
        </w:rPr>
      </w:pPr>
    </w:p>
    <w:p w14:paraId="687945FD"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b/>
          <w:bCs/>
          <w:sz w:val="24"/>
          <w:szCs w:val="24"/>
          <w:lang w:val="sr-Latn-RS"/>
        </w:rPr>
        <w:lastRenderedPageBreak/>
        <w:t>3.14 Biološke mjere zaštite</w:t>
      </w:r>
    </w:p>
    <w:p w14:paraId="0F7EE024"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Primjena sintetičkih fungicida sa ciljem suzbijanja bolesti drveta vinove loze danas ne daje zadovoljavajuće rezultate (</w:t>
      </w:r>
      <w:r>
        <w:rPr>
          <w:rFonts w:ascii="Book Antiqua" w:hAnsi="Book Antiqua" w:cs="Times New Roman"/>
          <w:b/>
          <w:bCs/>
          <w:sz w:val="24"/>
          <w:szCs w:val="24"/>
          <w:lang w:val="sr-Latn-RS"/>
        </w:rPr>
        <w:t>Mesguida et al., 2023</w:t>
      </w:r>
      <w:r>
        <w:rPr>
          <w:rFonts w:ascii="Book Antiqua" w:hAnsi="Book Antiqua" w:cs="Times New Roman"/>
          <w:sz w:val="24"/>
          <w:szCs w:val="24"/>
          <w:lang w:val="sr-Latn-RS"/>
        </w:rPr>
        <w:t>). Stoga, razvoj i upotreba bioloških mjera zaštite je alternativno rešenje (</w:t>
      </w:r>
      <w:r>
        <w:rPr>
          <w:rFonts w:ascii="Book Antiqua" w:hAnsi="Book Antiqua" w:cs="Times New Roman"/>
          <w:b/>
          <w:sz w:val="24"/>
          <w:szCs w:val="24"/>
          <w:lang w:val="sr-Latn-RS"/>
        </w:rPr>
        <w:t>Aguirre et al., 2023</w:t>
      </w:r>
      <w:r>
        <w:rPr>
          <w:rFonts w:ascii="Book Antiqua" w:hAnsi="Book Antiqua" w:cs="Times New Roman"/>
          <w:sz w:val="24"/>
          <w:szCs w:val="24"/>
          <w:lang w:val="sr-Latn-RS"/>
        </w:rPr>
        <w:t>), i do danas je istraženo blizu 2000 različitih mikroorganizama sa potencijalnim antimikrobnom aktivnošću prema fitopatogenima (</w:t>
      </w:r>
      <w:r>
        <w:rPr>
          <w:rFonts w:ascii="Book Antiqua" w:hAnsi="Book Antiqua" w:cs="Times New Roman"/>
          <w:b/>
          <w:bCs/>
          <w:sz w:val="24"/>
          <w:szCs w:val="24"/>
          <w:lang w:val="sr-Latn-RS"/>
        </w:rPr>
        <w:t>Mesguida et al., 2023</w:t>
      </w:r>
      <w:r>
        <w:rPr>
          <w:rFonts w:ascii="Book Antiqua" w:hAnsi="Book Antiqua" w:cs="Times New Roman"/>
          <w:sz w:val="24"/>
          <w:szCs w:val="24"/>
          <w:lang w:val="sr-Latn-RS"/>
        </w:rPr>
        <w:t>). Biofungicidi na bazi benefitnih mikroorganizama se danas komercijalno proizvode i primjenjuju, uz prednost u odnosu na sintetičke fungicide jer nijesu toksični i ekološki su prihvatljivi.  Međutim, jedno od ograničenja za njihovu primjenu  je osjetljivost na fungicide koji se primjenjuju u programima zaštite vinove loze (</w:t>
      </w:r>
      <w:r>
        <w:rPr>
          <w:rFonts w:ascii="Book Antiqua" w:hAnsi="Book Antiqua" w:cs="Times New Roman"/>
          <w:b/>
          <w:bCs/>
          <w:sz w:val="24"/>
          <w:szCs w:val="24"/>
          <w:lang w:val="sr-Latn-RS"/>
        </w:rPr>
        <w:t>Mutawila et al., 2015</w:t>
      </w:r>
      <w:r>
        <w:rPr>
          <w:rFonts w:ascii="Book Antiqua" w:hAnsi="Book Antiqua" w:cs="Times New Roman"/>
          <w:sz w:val="24"/>
          <w:szCs w:val="24"/>
          <w:lang w:val="sr-Latn-RS"/>
        </w:rPr>
        <w:t xml:space="preserve">). </w:t>
      </w:r>
    </w:p>
    <w:p w14:paraId="116987C4"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Laboratorijski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testovi sa ekstraktima biljne vrste </w:t>
      </w:r>
      <w:r>
        <w:rPr>
          <w:rFonts w:ascii="Book Antiqua" w:hAnsi="Book Antiqua" w:cs="Times New Roman"/>
          <w:i/>
          <w:sz w:val="24"/>
          <w:szCs w:val="24"/>
          <w:lang w:val="sr-Latn-RS"/>
        </w:rPr>
        <w:t>Pseudotsuga menziesii</w:t>
      </w:r>
      <w:r>
        <w:rPr>
          <w:rFonts w:ascii="Book Antiqua" w:hAnsi="Book Antiqua" w:cs="Times New Roman"/>
          <w:sz w:val="24"/>
          <w:szCs w:val="24"/>
          <w:lang w:val="sr-Latn-RS"/>
        </w:rPr>
        <w:t xml:space="preserve"> pokazali su antagonističku aktivnost protiv </w:t>
      </w:r>
      <w:r>
        <w:rPr>
          <w:rFonts w:ascii="Book Antiqua" w:hAnsi="Book Antiqua" w:cs="Times New Roman"/>
          <w:i/>
          <w:sz w:val="24"/>
          <w:szCs w:val="24"/>
          <w:lang w:val="sr-Latn-RS"/>
        </w:rPr>
        <w:t>N. parvum</w:t>
      </w:r>
      <w:r>
        <w:rPr>
          <w:rFonts w:ascii="Book Antiqua" w:hAnsi="Book Antiqua" w:cs="Times New Roman"/>
          <w:sz w:val="24"/>
          <w:szCs w:val="24"/>
          <w:lang w:val="sr-Latn-RS"/>
        </w:rPr>
        <w:t xml:space="preserve"> i </w:t>
      </w:r>
      <w:r>
        <w:rPr>
          <w:rFonts w:ascii="Book Antiqua" w:hAnsi="Book Antiqua" w:cs="Times New Roman"/>
          <w:i/>
          <w:sz w:val="24"/>
          <w:szCs w:val="24"/>
          <w:lang w:val="sr-Latn-RS"/>
        </w:rPr>
        <w:t>F. mediteranea</w:t>
      </w:r>
      <w:r>
        <w:rPr>
          <w:rFonts w:ascii="Book Antiqua" w:hAnsi="Book Antiqua" w:cs="Times New Roman"/>
          <w:sz w:val="24"/>
          <w:szCs w:val="24"/>
          <w:lang w:val="sr-Latn-RS"/>
        </w:rPr>
        <w:t xml:space="preserve"> (</w:t>
      </w:r>
      <w:r>
        <w:rPr>
          <w:rFonts w:ascii="Book Antiqua" w:hAnsi="Book Antiqua" w:cs="Times New Roman"/>
          <w:b/>
          <w:sz w:val="24"/>
          <w:szCs w:val="24"/>
          <w:lang w:val="sr-Latn-RS"/>
        </w:rPr>
        <w:t>Merlen et al., 2022</w:t>
      </w:r>
      <w:r>
        <w:rPr>
          <w:rFonts w:ascii="Book Antiqua" w:hAnsi="Book Antiqua" w:cs="Times New Roman"/>
          <w:sz w:val="24"/>
          <w:szCs w:val="24"/>
          <w:lang w:val="sr-Latn-RS"/>
        </w:rPr>
        <w:t xml:space="preserve">). Organski ekstrakti kao što su hitozan, ekstrakti lišaja </w:t>
      </w:r>
      <w:r>
        <w:rPr>
          <w:rFonts w:ascii="Book Antiqua" w:hAnsi="Book Antiqua" w:cs="Times New Roman"/>
          <w:i/>
          <w:sz w:val="24"/>
          <w:szCs w:val="24"/>
          <w:lang w:val="sr-Latn-RS"/>
        </w:rPr>
        <w:t xml:space="preserve">Evernia prunastri, </w:t>
      </w:r>
      <w:r>
        <w:rPr>
          <w:rFonts w:ascii="Book Antiqua" w:hAnsi="Book Antiqua" w:cs="Times New Roman"/>
          <w:sz w:val="24"/>
          <w:szCs w:val="24"/>
          <w:lang w:val="sr-Latn-RS"/>
        </w:rPr>
        <w:t>bijelog luka, kore limuna, zatim vinilin i propolis posjeduju inhibitorno dejstvo na patogene drveta vinove loze (</w:t>
      </w:r>
      <w:r>
        <w:rPr>
          <w:rFonts w:ascii="Book Antiqua" w:hAnsi="Book Antiqua" w:cs="Times New Roman"/>
          <w:b/>
          <w:sz w:val="24"/>
          <w:szCs w:val="24"/>
          <w:lang w:val="sr-Latn-RS"/>
        </w:rPr>
        <w:t>Cobos et al., 2015; Ayres et al., 2017</w:t>
      </w:r>
      <w:r>
        <w:rPr>
          <w:rFonts w:ascii="Book Antiqua" w:hAnsi="Book Antiqua" w:cs="Times New Roman"/>
          <w:sz w:val="24"/>
          <w:szCs w:val="24"/>
          <w:lang w:val="sr-Latn-RS"/>
        </w:rPr>
        <w:t>), i stimulišu otpornost vinove loze. Odbrambeni mehanizmi koje indukuju ova jedinjenja su akumulacija fitoaleksina i proteina, kao i jačanje zidova biljnih ćelija (</w:t>
      </w:r>
      <w:r>
        <w:rPr>
          <w:rFonts w:ascii="Book Antiqua" w:hAnsi="Book Antiqua" w:cs="Times New Roman"/>
          <w:b/>
          <w:bCs/>
          <w:sz w:val="24"/>
          <w:szCs w:val="24"/>
          <w:lang w:val="sr-Latn-RS"/>
        </w:rPr>
        <w:t>Salifu et al., 2022</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Caicedo-López et al., 2021</w:t>
      </w:r>
      <w:r>
        <w:rPr>
          <w:rFonts w:ascii="Book Antiqua" w:hAnsi="Book Antiqua" w:cs="Times New Roman"/>
          <w:sz w:val="24"/>
          <w:szCs w:val="24"/>
          <w:lang w:val="sr-Latn-RS"/>
        </w:rPr>
        <w:t xml:space="preserve">). </w:t>
      </w:r>
    </w:p>
    <w:p w14:paraId="188A3702"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lang w:val="sr-Latn-RS"/>
        </w:rPr>
        <w:t>Hitozan je katjonski polimer dobijen iz hitina i predstavlja prirodno, biorazgradivo jedinjenje, koje je zbog svojih fizičkih svojstava mnogo proučavano kao biološki agens za suzbijanje bolesti drveta vinove loze (</w:t>
      </w:r>
      <w:r>
        <w:rPr>
          <w:rFonts w:ascii="Book Antiqua" w:hAnsi="Book Antiqua" w:cs="Times New Roman"/>
          <w:b/>
          <w:bCs/>
          <w:sz w:val="24"/>
          <w:szCs w:val="24"/>
          <w:lang w:val="sr-Latn-RS"/>
        </w:rPr>
        <w:t>Hassan &amp; Chang, 2017</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Riseh et al., 2022</w:t>
      </w:r>
      <w:r>
        <w:rPr>
          <w:rFonts w:ascii="Book Antiqua" w:hAnsi="Book Antiqua" w:cs="Times New Roman"/>
          <w:sz w:val="24"/>
          <w:szCs w:val="24"/>
          <w:lang w:val="sr-Latn-RS"/>
        </w:rPr>
        <w:t>). Komercijalno je proizveden destilacijom iz hitina koji je kao strukturni polisaharid prisutan u egzoskeletu člankonožaca, nematoda i ćelijskim zidovima algi i nekih gljiva. Industrijski su hitin i njegov derivat hitozan ekstrahovani iz škampa i ljuske rakova kao nus proizvoda u industriji morskih plodova (</w:t>
      </w:r>
      <w:r>
        <w:rPr>
          <w:rFonts w:ascii="Book Antiqua" w:hAnsi="Book Antiqua" w:cs="Times New Roman"/>
          <w:b/>
          <w:bCs/>
          <w:sz w:val="24"/>
          <w:szCs w:val="24"/>
          <w:lang w:val="sr-Latn-RS"/>
        </w:rPr>
        <w:t>Nascimento et al., 2007</w:t>
      </w:r>
      <w:r>
        <w:rPr>
          <w:rFonts w:ascii="Book Antiqua" w:hAnsi="Book Antiqua" w:cs="Times New Roman"/>
          <w:sz w:val="24"/>
          <w:szCs w:val="24"/>
          <w:lang w:val="sr-Latn-RS"/>
        </w:rPr>
        <w:t>). Hitozan direktno utiče na degradaciju ćelijskih zidova patogena, inhibira klijanja spora i blokira asimilaciju hranljivih materija (</w:t>
      </w:r>
      <w:r>
        <w:rPr>
          <w:rFonts w:ascii="Book Antiqua" w:hAnsi="Book Antiqua" w:cs="Times New Roman"/>
          <w:b/>
          <w:bCs/>
          <w:sz w:val="24"/>
          <w:szCs w:val="24"/>
          <w:lang w:val="sr-Latn-RS"/>
        </w:rPr>
        <w:t>Leal &amp; Gramaje, 2024</w:t>
      </w:r>
      <w:r>
        <w:rPr>
          <w:rFonts w:ascii="Book Antiqua" w:hAnsi="Book Antiqua" w:cs="Times New Roman"/>
          <w:sz w:val="24"/>
          <w:szCs w:val="24"/>
          <w:lang w:val="sr-Latn-RS"/>
        </w:rPr>
        <w:t xml:space="preserve">). Takođe, može izazvati odabrambenu </w:t>
      </w:r>
      <w:r>
        <w:rPr>
          <w:rFonts w:ascii="Book Antiqua" w:hAnsi="Book Antiqua" w:cs="Times New Roman"/>
          <w:sz w:val="24"/>
          <w:szCs w:val="24"/>
          <w:lang w:val="sr-Latn-RS"/>
        </w:rPr>
        <w:lastRenderedPageBreak/>
        <w:t>reakciju biljke, proizvodnju proteina povezanih sa patogenezom, akumulaciju sekundarnih metabolita kao i sintetezu salicilne i jasmonske kiseline (</w:t>
      </w:r>
      <w:r>
        <w:rPr>
          <w:rFonts w:ascii="Book Antiqua" w:hAnsi="Book Antiqua" w:cs="Times New Roman"/>
          <w:b/>
          <w:bCs/>
          <w:sz w:val="24"/>
          <w:szCs w:val="24"/>
          <w:lang w:val="sr-Latn-RS"/>
        </w:rPr>
        <w:t>Riseh et al., 2022</w:t>
      </w:r>
      <w:r>
        <w:rPr>
          <w:rFonts w:ascii="Book Antiqua" w:hAnsi="Book Antiqua" w:cs="Times New Roman"/>
          <w:sz w:val="24"/>
          <w:szCs w:val="24"/>
          <w:lang w:val="sr-Latn-RS"/>
        </w:rPr>
        <w:t xml:space="preserve">). Prema </w:t>
      </w:r>
      <w:r>
        <w:rPr>
          <w:rFonts w:ascii="Book Antiqua" w:hAnsi="Book Antiqua" w:cs="Times New Roman"/>
          <w:b/>
          <w:bCs/>
          <w:sz w:val="24"/>
          <w:szCs w:val="24"/>
          <w:lang w:val="sr-Latn-RS"/>
        </w:rPr>
        <w:t>Nascimento et al. (2007)</w:t>
      </w:r>
      <w:r>
        <w:rPr>
          <w:rFonts w:ascii="Book Antiqua" w:hAnsi="Book Antiqua" w:cs="Times New Roman"/>
          <w:sz w:val="24"/>
          <w:szCs w:val="24"/>
          <w:lang w:val="sr-Latn-RS"/>
        </w:rPr>
        <w:t xml:space="preserve"> hitozan pokazuje visok antagonstički potencijal prema patogenima drveta vinove loze u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uslovima. Može se direktno nanositi na vinovu lozu u tečnom stanju ili preko zemljišta u tečnom ili praškastom obliku. Dosadašnja istraživanja </w:t>
      </w:r>
      <w:r>
        <w:rPr>
          <w:rFonts w:ascii="Book Antiqua" w:hAnsi="Book Antiqua" w:cs="Times New Roman"/>
          <w:b/>
          <w:bCs/>
          <w:sz w:val="24"/>
          <w:szCs w:val="24"/>
          <w:lang w:val="sr-Latn-RS"/>
        </w:rPr>
        <w:t>Aziz et al. (2006)</w:t>
      </w:r>
      <w:r>
        <w:rPr>
          <w:rFonts w:ascii="Book Antiqua" w:hAnsi="Book Antiqua" w:cs="Times New Roman"/>
          <w:sz w:val="24"/>
          <w:szCs w:val="24"/>
          <w:lang w:val="sr-Latn-RS"/>
        </w:rPr>
        <w:t xml:space="preserve"> su pokazala da hitozan podstiče imuni odgovor biljke.</w:t>
      </w:r>
      <w:r>
        <w:rPr>
          <w:rFonts w:ascii="Book Antiqua" w:hAnsi="Book Antiqua" w:cs="Times New Roman"/>
          <w:sz w:val="24"/>
          <w:szCs w:val="24"/>
        </w:rPr>
        <w:t xml:space="preserve"> Brašno od sjemena indijske gorušice (</w:t>
      </w:r>
      <w:r>
        <w:rPr>
          <w:rFonts w:ascii="Book Antiqua" w:hAnsi="Book Antiqua" w:cs="Times New Roman"/>
          <w:i/>
          <w:iCs/>
          <w:sz w:val="24"/>
          <w:szCs w:val="24"/>
        </w:rPr>
        <w:t>Brassica juncea</w:t>
      </w:r>
      <w:r>
        <w:rPr>
          <w:rFonts w:ascii="Book Antiqua" w:hAnsi="Book Antiqua" w:cs="Times New Roman"/>
          <w:sz w:val="24"/>
          <w:szCs w:val="24"/>
        </w:rPr>
        <w:t>) može uticati na neke od patogena drveta vinove loze u zemljištu (</w:t>
      </w:r>
      <w:r>
        <w:rPr>
          <w:rFonts w:ascii="Book Antiqua" w:hAnsi="Book Antiqua" w:cs="Times New Roman"/>
          <w:b/>
          <w:bCs/>
          <w:sz w:val="24"/>
          <w:szCs w:val="24"/>
        </w:rPr>
        <w:t>Barbour et al., 2014</w:t>
      </w:r>
      <w:r>
        <w:rPr>
          <w:rFonts w:ascii="Book Antiqua" w:hAnsi="Book Antiqua" w:cs="Times New Roman"/>
          <w:sz w:val="24"/>
          <w:szCs w:val="24"/>
        </w:rPr>
        <w:t xml:space="preserve">). Značajan uticaj na redukciju ovih mikroorganizama ima i biljna vrsta </w:t>
      </w:r>
      <w:r>
        <w:rPr>
          <w:rFonts w:ascii="Book Antiqua" w:hAnsi="Book Antiqua" w:cs="Times New Roman"/>
          <w:i/>
          <w:iCs/>
          <w:sz w:val="24"/>
          <w:szCs w:val="24"/>
        </w:rPr>
        <w:t>Sinapis alba</w:t>
      </w:r>
      <w:r>
        <w:rPr>
          <w:rFonts w:ascii="Book Antiqua" w:hAnsi="Book Antiqua" w:cs="Times New Roman"/>
          <w:sz w:val="24"/>
          <w:szCs w:val="24"/>
        </w:rPr>
        <w:t xml:space="preserve"> (</w:t>
      </w:r>
      <w:r>
        <w:rPr>
          <w:rFonts w:ascii="Book Antiqua" w:hAnsi="Book Antiqua" w:cs="Times New Roman"/>
          <w:b/>
          <w:bCs/>
          <w:sz w:val="24"/>
          <w:szCs w:val="24"/>
        </w:rPr>
        <w:t>Berlanas et al., 2018</w:t>
      </w:r>
      <w:r>
        <w:rPr>
          <w:rFonts w:ascii="Book Antiqua" w:hAnsi="Book Antiqua" w:cs="Times New Roman"/>
          <w:sz w:val="24"/>
          <w:szCs w:val="24"/>
        </w:rPr>
        <w:t xml:space="preserve">) </w:t>
      </w:r>
    </w:p>
    <w:p w14:paraId="096D022D"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rPr>
        <w:t xml:space="preserve">Do danas je obavljen oskudan broj studija o uticaju nanočestica na patogene drveta vinove loze, ali nedavno je dizajniran uređaj koji koristi čestice srebra i selena koje u </w:t>
      </w:r>
      <w:r>
        <w:rPr>
          <w:rFonts w:ascii="Book Antiqua" w:hAnsi="Book Antiqua" w:cs="Times New Roman"/>
          <w:i/>
          <w:iCs/>
          <w:sz w:val="24"/>
          <w:szCs w:val="24"/>
        </w:rPr>
        <w:t>in vitro</w:t>
      </w:r>
      <w:r>
        <w:rPr>
          <w:rFonts w:ascii="Book Antiqua" w:hAnsi="Book Antiqua" w:cs="Times New Roman"/>
          <w:sz w:val="24"/>
          <w:szCs w:val="24"/>
        </w:rPr>
        <w:t xml:space="preserve"> uslovima inhibiraju rast micelije pojedinih patogena (</w:t>
      </w:r>
      <w:r>
        <w:rPr>
          <w:rFonts w:ascii="Book Antiqua" w:hAnsi="Book Antiqua" w:cs="Times New Roman"/>
          <w:b/>
          <w:bCs/>
          <w:sz w:val="24"/>
          <w:szCs w:val="24"/>
        </w:rPr>
        <w:t>Štuskova et al., 2023</w:t>
      </w:r>
      <w:r>
        <w:rPr>
          <w:rFonts w:ascii="Book Antiqua" w:hAnsi="Book Antiqua" w:cs="Times New Roman"/>
          <w:sz w:val="24"/>
          <w:szCs w:val="24"/>
        </w:rPr>
        <w:t>). Upotreba nanomaterijala na bazi metakril lignina u kontroli patogena drveta vinove loze je u potpunosti nova oblast u vinogradarskoj proizvodnji (</w:t>
      </w:r>
      <w:r>
        <w:rPr>
          <w:rFonts w:ascii="Book Antiqua" w:hAnsi="Book Antiqua" w:cs="Times New Roman"/>
          <w:b/>
          <w:bCs/>
          <w:sz w:val="24"/>
          <w:szCs w:val="24"/>
        </w:rPr>
        <w:t>Peil et al., 2020</w:t>
      </w:r>
      <w:r>
        <w:rPr>
          <w:rFonts w:ascii="Book Antiqua" w:hAnsi="Book Antiqua" w:cs="Times New Roman"/>
          <w:sz w:val="24"/>
          <w:szCs w:val="24"/>
        </w:rPr>
        <w:t xml:space="preserve">). U nanočesticima mogu biti inkapsulirani neki biološki agensi kao što su </w:t>
      </w:r>
      <w:r>
        <w:rPr>
          <w:rFonts w:ascii="Book Antiqua" w:hAnsi="Book Antiqua" w:cs="Times New Roman"/>
          <w:i/>
          <w:iCs/>
          <w:sz w:val="24"/>
          <w:szCs w:val="24"/>
        </w:rPr>
        <w:t>Bacillus</w:t>
      </w:r>
      <w:r>
        <w:rPr>
          <w:rFonts w:ascii="Book Antiqua" w:hAnsi="Book Antiqua" w:cs="Times New Roman"/>
          <w:sz w:val="24"/>
          <w:szCs w:val="24"/>
        </w:rPr>
        <w:t xml:space="preserve">, </w:t>
      </w:r>
      <w:r>
        <w:rPr>
          <w:rFonts w:ascii="Book Antiqua" w:hAnsi="Book Antiqua" w:cs="Times New Roman"/>
          <w:i/>
          <w:iCs/>
          <w:sz w:val="24"/>
          <w:szCs w:val="24"/>
        </w:rPr>
        <w:t xml:space="preserve">Trichoderma reesei </w:t>
      </w:r>
      <w:r>
        <w:rPr>
          <w:rFonts w:ascii="Book Antiqua" w:hAnsi="Book Antiqua" w:cs="Times New Roman"/>
          <w:sz w:val="24"/>
          <w:szCs w:val="24"/>
        </w:rPr>
        <w:t>IBF 034 – 05 ili različiti biljni ekstrakti (</w:t>
      </w:r>
      <w:r>
        <w:rPr>
          <w:rFonts w:ascii="Book Antiqua" w:hAnsi="Book Antiqua" w:cs="Times New Roman"/>
          <w:b/>
          <w:bCs/>
          <w:sz w:val="24"/>
          <w:szCs w:val="24"/>
        </w:rPr>
        <w:t>Peil et al., 2020</w:t>
      </w:r>
      <w:r>
        <w:rPr>
          <w:rFonts w:ascii="Book Antiqua" w:hAnsi="Book Antiqua" w:cs="Times New Roman"/>
          <w:sz w:val="24"/>
          <w:szCs w:val="24"/>
        </w:rPr>
        <w:t xml:space="preserve">; </w:t>
      </w:r>
      <w:r>
        <w:rPr>
          <w:rFonts w:ascii="Book Antiqua" w:hAnsi="Book Antiqua" w:cs="Times New Roman"/>
          <w:b/>
          <w:bCs/>
          <w:sz w:val="24"/>
          <w:szCs w:val="24"/>
        </w:rPr>
        <w:t>Sánchez-Hernández et al., 2022</w:t>
      </w:r>
      <w:r>
        <w:rPr>
          <w:rFonts w:ascii="Book Antiqua" w:hAnsi="Book Antiqua" w:cs="Times New Roman"/>
          <w:sz w:val="24"/>
          <w:szCs w:val="24"/>
        </w:rPr>
        <w:t>). Rezultati studija pokazuju smanjenje porasta tretiranih eska patogena u laboratorijskim testiranjima, kao i smanjenje folijarnih simptoma eska oboljenja u poljskim uslovima nakon injektiranja nanočestica u čokot. Međutim, za potvrdu ovakvih rezultata neophodna su dalja višegodišnja terenska istaživanja (</w:t>
      </w:r>
      <w:r>
        <w:rPr>
          <w:rFonts w:ascii="Book Antiqua" w:hAnsi="Book Antiqua" w:cs="Times New Roman"/>
          <w:b/>
          <w:bCs/>
          <w:sz w:val="24"/>
          <w:szCs w:val="24"/>
        </w:rPr>
        <w:t>Leal &amp; Gramaje, 2024</w:t>
      </w:r>
      <w:r>
        <w:rPr>
          <w:rFonts w:ascii="Book Antiqua" w:hAnsi="Book Antiqua" w:cs="Times New Roman"/>
          <w:sz w:val="24"/>
          <w:szCs w:val="24"/>
        </w:rPr>
        <w:t>).</w:t>
      </w:r>
      <w:r>
        <w:rPr>
          <w:rFonts w:ascii="Book Antiqua" w:hAnsi="Book Antiqua" w:cs="Times New Roman"/>
          <w:sz w:val="24"/>
          <w:szCs w:val="24"/>
          <w:lang w:val="sr-Latn-RS"/>
        </w:rPr>
        <w:t xml:space="preserve"> Fenolna jedinjenja su sekundarni metaboliti prisutni u većini biljnih tkiva. Eugenol (C10H12O2; 2-methoxy-4-(2-propenyl) phenol) je glavna komponenta ulja karanfilića (</w:t>
      </w:r>
      <w:r>
        <w:rPr>
          <w:rFonts w:ascii="Book Antiqua" w:hAnsi="Book Antiqua" w:cs="Times New Roman"/>
          <w:i/>
          <w:sz w:val="24"/>
          <w:szCs w:val="24"/>
          <w:lang w:val="sr-Latn-RS"/>
        </w:rPr>
        <w:t>Syzygium aromaticum</w:t>
      </w:r>
      <w:r>
        <w:rPr>
          <w:rFonts w:ascii="Book Antiqua" w:hAnsi="Book Antiqua" w:cs="Times New Roman"/>
          <w:sz w:val="24"/>
          <w:szCs w:val="24"/>
          <w:lang w:val="sr-Latn-RS"/>
        </w:rPr>
        <w:t>), a nalazi se u bosiljku, cimetu, matičnjaku i muskatnom oraščiću (</w:t>
      </w:r>
      <w:r>
        <w:rPr>
          <w:rFonts w:ascii="Book Antiqua" w:hAnsi="Book Antiqua" w:cs="Times New Roman"/>
          <w:b/>
          <w:sz w:val="24"/>
          <w:szCs w:val="24"/>
          <w:lang w:val="sr-Latn-RS"/>
        </w:rPr>
        <w:t>Dable – Tupas &amp; Egbuna, 2022</w:t>
      </w:r>
      <w:r>
        <w:rPr>
          <w:rFonts w:ascii="Book Antiqua" w:hAnsi="Book Antiqua" w:cs="Times New Roman"/>
          <w:sz w:val="24"/>
          <w:szCs w:val="24"/>
          <w:lang w:val="sr-Latn-RS"/>
        </w:rPr>
        <w:t>). Polifenolno jedinjenje (-)-epigallocatechin- 3-O-gallate, C22H18O11 (EGCG), je glavni katehin otkriven u zelenom čaju (</w:t>
      </w:r>
      <w:r>
        <w:rPr>
          <w:rFonts w:ascii="Book Antiqua" w:hAnsi="Book Antiqua" w:cs="Times New Roman"/>
          <w:i/>
          <w:sz w:val="24"/>
          <w:szCs w:val="24"/>
          <w:lang w:val="sr-Latn-RS"/>
        </w:rPr>
        <w:t>Camellia sinensis</w:t>
      </w:r>
      <w:r>
        <w:rPr>
          <w:rFonts w:ascii="Book Antiqua" w:hAnsi="Book Antiqua" w:cs="Times New Roman"/>
          <w:sz w:val="24"/>
          <w:szCs w:val="24"/>
          <w:lang w:val="sr-Latn-RS"/>
        </w:rPr>
        <w:t xml:space="preserve">). Ovo jedinjenje je estar </w:t>
      </w:r>
      <w:r>
        <w:rPr>
          <w:rFonts w:ascii="Book Antiqua" w:hAnsi="Book Antiqua" w:cs="Times New Roman"/>
          <w:sz w:val="24"/>
          <w:szCs w:val="24"/>
          <w:lang w:val="sr-Latn-RS"/>
        </w:rPr>
        <w:lastRenderedPageBreak/>
        <w:t xml:space="preserve">epigalokatehina i galne kisjeline i ima dokazane antibakterijske i antifugalne efekte u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studijama (</w:t>
      </w:r>
      <w:r>
        <w:rPr>
          <w:rFonts w:ascii="Book Antiqua" w:hAnsi="Book Antiqua" w:cs="Times New Roman"/>
          <w:b/>
          <w:sz w:val="24"/>
          <w:szCs w:val="24"/>
          <w:lang w:val="sr-Latn-RS"/>
        </w:rPr>
        <w:t>Nagle et al., 2006</w:t>
      </w:r>
      <w:r>
        <w:rPr>
          <w:rFonts w:ascii="Book Antiqua" w:hAnsi="Book Antiqua" w:cs="Times New Roman"/>
          <w:sz w:val="24"/>
          <w:szCs w:val="24"/>
          <w:lang w:val="sr-Latn-RS"/>
        </w:rPr>
        <w:t xml:space="preserve">). </w:t>
      </w:r>
    </w:p>
    <w:p w14:paraId="35F91F89"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Thymol (C10H14O; 2-isopropyl-5-methylphenol) je prisutan u esencijalnim uljima koja su ekstrahovana iz biljaka iz familije Lamiaceae (</w:t>
      </w:r>
      <w:r>
        <w:rPr>
          <w:rFonts w:ascii="Book Antiqua" w:hAnsi="Book Antiqua" w:cs="Times New Roman"/>
          <w:i/>
          <w:sz w:val="24"/>
          <w:szCs w:val="24"/>
          <w:lang w:val="sr-Latn-RS"/>
        </w:rPr>
        <w:t>Thymus</w:t>
      </w:r>
      <w:r>
        <w:rPr>
          <w:rFonts w:ascii="Book Antiqua" w:hAnsi="Book Antiqua" w:cs="Times New Roman"/>
          <w:sz w:val="24"/>
          <w:szCs w:val="24"/>
          <w:lang w:val="sr-Latn-RS"/>
        </w:rPr>
        <w:t xml:space="preserve">, </w:t>
      </w:r>
      <w:r>
        <w:rPr>
          <w:rFonts w:ascii="Book Antiqua" w:hAnsi="Book Antiqua" w:cs="Times New Roman"/>
          <w:i/>
          <w:sz w:val="24"/>
          <w:szCs w:val="24"/>
          <w:lang w:val="sr-Latn-RS"/>
        </w:rPr>
        <w:t>Ocimum</w:t>
      </w:r>
      <w:r>
        <w:rPr>
          <w:rFonts w:ascii="Book Antiqua" w:hAnsi="Book Antiqua" w:cs="Times New Roman"/>
          <w:sz w:val="24"/>
          <w:szCs w:val="24"/>
          <w:lang w:val="sr-Latn-RS"/>
        </w:rPr>
        <w:t xml:space="preserve">, </w:t>
      </w:r>
      <w:r>
        <w:rPr>
          <w:rFonts w:ascii="Book Antiqua" w:hAnsi="Book Antiqua" w:cs="Times New Roman"/>
          <w:i/>
          <w:sz w:val="24"/>
          <w:szCs w:val="24"/>
          <w:lang w:val="sr-Latn-RS"/>
        </w:rPr>
        <w:t>Origanum</w:t>
      </w:r>
      <w:r>
        <w:rPr>
          <w:rFonts w:ascii="Book Antiqua" w:hAnsi="Book Antiqua" w:cs="Times New Roman"/>
          <w:sz w:val="24"/>
          <w:szCs w:val="24"/>
          <w:lang w:val="sr-Latn-RS"/>
        </w:rPr>
        <w:t xml:space="preserve">, </w:t>
      </w:r>
      <w:r>
        <w:rPr>
          <w:rFonts w:ascii="Book Antiqua" w:hAnsi="Book Antiqua" w:cs="Times New Roman"/>
          <w:i/>
          <w:sz w:val="24"/>
          <w:szCs w:val="24"/>
          <w:lang w:val="sr-Latn-RS"/>
        </w:rPr>
        <w:t>Monarda</w:t>
      </w:r>
      <w:r>
        <w:rPr>
          <w:rFonts w:ascii="Book Antiqua" w:hAnsi="Book Antiqua" w:cs="Times New Roman"/>
          <w:sz w:val="24"/>
          <w:szCs w:val="24"/>
          <w:lang w:val="sr-Latn-RS"/>
        </w:rPr>
        <w:t xml:space="preserve">). Takođe se može izolovati od drugih biljaka iz porodica </w:t>
      </w:r>
      <w:r>
        <w:rPr>
          <w:rFonts w:ascii="Book Antiqua" w:hAnsi="Book Antiqua" w:cs="Times New Roman"/>
          <w:i/>
          <w:sz w:val="24"/>
          <w:szCs w:val="24"/>
          <w:lang w:val="sr-Latn-RS"/>
        </w:rPr>
        <w:t>Verbenaceae,</w:t>
      </w:r>
      <w:r>
        <w:rPr>
          <w:rFonts w:ascii="Book Antiqua" w:hAnsi="Book Antiqua" w:cs="Times New Roman"/>
          <w:sz w:val="24"/>
          <w:szCs w:val="24"/>
          <w:lang w:val="sr-Latn-RS"/>
        </w:rPr>
        <w:t xml:space="preserve"> </w:t>
      </w:r>
      <w:r>
        <w:rPr>
          <w:rFonts w:ascii="Book Antiqua" w:hAnsi="Book Antiqua" w:cs="Times New Roman"/>
          <w:i/>
          <w:sz w:val="24"/>
          <w:szCs w:val="24"/>
          <w:lang w:val="sr-Latn-RS"/>
        </w:rPr>
        <w:t>Schrophulariaceae</w:t>
      </w:r>
      <w:r>
        <w:rPr>
          <w:rFonts w:ascii="Book Antiqua" w:hAnsi="Book Antiqua" w:cs="Times New Roman"/>
          <w:sz w:val="24"/>
          <w:szCs w:val="24"/>
          <w:lang w:val="sr-Latn-RS"/>
        </w:rPr>
        <w:t xml:space="preserve">, </w:t>
      </w:r>
      <w:r>
        <w:rPr>
          <w:rFonts w:ascii="Book Antiqua" w:hAnsi="Book Antiqua" w:cs="Times New Roman"/>
          <w:i/>
          <w:sz w:val="24"/>
          <w:szCs w:val="24"/>
          <w:lang w:val="sr-Latn-RS"/>
        </w:rPr>
        <w:t>Ranunculaceae</w:t>
      </w:r>
      <w:r>
        <w:rPr>
          <w:rFonts w:ascii="Book Antiqua" w:hAnsi="Book Antiqua" w:cs="Times New Roman"/>
          <w:sz w:val="24"/>
          <w:szCs w:val="24"/>
          <w:lang w:val="sr-Latn-RS"/>
        </w:rPr>
        <w:t xml:space="preserve">, </w:t>
      </w:r>
      <w:r>
        <w:rPr>
          <w:rFonts w:ascii="Book Antiqua" w:hAnsi="Book Antiqua" w:cs="Times New Roman"/>
          <w:i/>
          <w:sz w:val="24"/>
          <w:szCs w:val="24"/>
          <w:lang w:val="sr-Latn-RS"/>
        </w:rPr>
        <w:t>Apiaceae</w:t>
      </w:r>
      <w:r>
        <w:rPr>
          <w:rFonts w:ascii="Book Antiqua" w:hAnsi="Book Antiqua" w:cs="Times New Roman"/>
          <w:sz w:val="24"/>
          <w:szCs w:val="24"/>
          <w:lang w:val="sr-Latn-RS"/>
        </w:rPr>
        <w:t xml:space="preserve"> (</w:t>
      </w:r>
      <w:r>
        <w:rPr>
          <w:rFonts w:ascii="Book Antiqua" w:hAnsi="Book Antiqua" w:cs="Times New Roman"/>
          <w:b/>
          <w:sz w:val="24"/>
          <w:szCs w:val="24"/>
          <w:lang w:val="sr-Latn-RS"/>
        </w:rPr>
        <w:t>Marchese et al., 2016</w:t>
      </w:r>
      <w:r>
        <w:rPr>
          <w:rFonts w:ascii="Book Antiqua" w:hAnsi="Book Antiqua" w:cs="Times New Roman"/>
          <w:sz w:val="24"/>
          <w:szCs w:val="24"/>
          <w:lang w:val="sr-Latn-RS"/>
        </w:rPr>
        <w:t xml:space="preserve">). </w:t>
      </w:r>
      <w:r>
        <w:rPr>
          <w:rFonts w:ascii="Book Antiqua" w:hAnsi="Book Antiqua" w:cs="Times New Roman"/>
          <w:bCs/>
          <w:sz w:val="24"/>
          <w:szCs w:val="24"/>
          <w:lang w:val="sr-Latn-RS"/>
        </w:rPr>
        <w:t>Prema</w:t>
      </w:r>
      <w:r>
        <w:rPr>
          <w:rFonts w:ascii="Book Antiqua" w:hAnsi="Book Antiqua" w:cs="Times New Roman"/>
          <w:b/>
          <w:sz w:val="24"/>
          <w:szCs w:val="24"/>
          <w:lang w:val="sr-Latn-RS"/>
        </w:rPr>
        <w:t xml:space="preserve"> Štuskova et al. (2023)</w:t>
      </w:r>
      <w:r>
        <w:rPr>
          <w:rFonts w:ascii="Book Antiqua" w:hAnsi="Book Antiqua" w:cs="Times New Roman"/>
          <w:sz w:val="24"/>
          <w:szCs w:val="24"/>
          <w:lang w:val="sr-Latn-RS"/>
        </w:rPr>
        <w:t xml:space="preserve"> fenolna jedinjenja timol i eugenol, pokazuju antifugalnu aktivnost prema patogenima drveta vinove loze u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testiranjima. Antifungalna aktivnost formulisanog bizmut subsalicilata potvrđena je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testovima kroz inhibiciju rasta fitopatogenih gljiva </w:t>
      </w:r>
      <w:r>
        <w:rPr>
          <w:rFonts w:ascii="Book Antiqua" w:hAnsi="Book Antiqua" w:cs="Times New Roman"/>
          <w:i/>
          <w:sz w:val="24"/>
          <w:szCs w:val="24"/>
          <w:lang w:val="sr-Latn-RS"/>
        </w:rPr>
        <w:t>N. parvum</w:t>
      </w:r>
      <w:r>
        <w:rPr>
          <w:rFonts w:ascii="Book Antiqua" w:hAnsi="Book Antiqua" w:cs="Times New Roman"/>
          <w:sz w:val="24"/>
          <w:szCs w:val="24"/>
          <w:lang w:val="sr-Latn-RS"/>
        </w:rPr>
        <w:t xml:space="preserve">, </w:t>
      </w:r>
      <w:r>
        <w:rPr>
          <w:rFonts w:ascii="Book Antiqua" w:hAnsi="Book Antiqua" w:cs="Times New Roman"/>
          <w:i/>
          <w:sz w:val="24"/>
          <w:szCs w:val="24"/>
          <w:lang w:val="sr-Latn-RS"/>
        </w:rPr>
        <w:t>D. seriata</w:t>
      </w:r>
      <w:r>
        <w:rPr>
          <w:rFonts w:ascii="Book Antiqua" w:hAnsi="Book Antiqua" w:cs="Times New Roman"/>
          <w:sz w:val="24"/>
          <w:szCs w:val="24"/>
          <w:lang w:val="sr-Latn-RS"/>
        </w:rPr>
        <w:t xml:space="preserve">, </w:t>
      </w:r>
      <w:r>
        <w:rPr>
          <w:rFonts w:ascii="Book Antiqua" w:hAnsi="Book Antiqua" w:cs="Times New Roman"/>
          <w:i/>
          <w:sz w:val="24"/>
          <w:szCs w:val="24"/>
          <w:lang w:val="sr-Latn-RS"/>
        </w:rPr>
        <w:t>F. mediterranea</w:t>
      </w:r>
      <w:r>
        <w:rPr>
          <w:rFonts w:ascii="Book Antiqua" w:hAnsi="Book Antiqua" w:cs="Times New Roman"/>
          <w:sz w:val="24"/>
          <w:szCs w:val="24"/>
          <w:lang w:val="sr-Latn-RS"/>
        </w:rPr>
        <w:t xml:space="preserve"> (</w:t>
      </w:r>
      <w:r>
        <w:rPr>
          <w:rFonts w:ascii="Book Antiqua" w:hAnsi="Book Antiqua" w:cs="Times New Roman"/>
          <w:b/>
          <w:sz w:val="24"/>
          <w:szCs w:val="24"/>
          <w:lang w:val="sr-Latn-RS"/>
        </w:rPr>
        <w:t>Merlen et al., 2022</w:t>
      </w:r>
      <w:r>
        <w:rPr>
          <w:rFonts w:ascii="Book Antiqua" w:hAnsi="Book Antiqua" w:cs="Times New Roman"/>
          <w:sz w:val="24"/>
          <w:szCs w:val="24"/>
          <w:lang w:val="sr-Latn-RS"/>
        </w:rPr>
        <w:t xml:space="preserve">). </w:t>
      </w:r>
    </w:p>
    <w:p w14:paraId="313BA489"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Najviše korišćeni gljivični biološki agensi protiv patogena drveta vinove loze su gljive iz roda </w:t>
      </w:r>
      <w:r>
        <w:rPr>
          <w:rFonts w:ascii="Book Antiqua" w:hAnsi="Book Antiqua" w:cs="Times New Roman"/>
          <w:i/>
          <w:iCs/>
          <w:sz w:val="24"/>
          <w:szCs w:val="24"/>
          <w:lang w:val="sr-Latn-RS"/>
        </w:rPr>
        <w:t>Trichoderma</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Mukherjee et al., 2012</w:t>
      </w:r>
      <w:r>
        <w:rPr>
          <w:rFonts w:ascii="Book Antiqua" w:hAnsi="Book Antiqua" w:cs="Times New Roman"/>
          <w:sz w:val="24"/>
          <w:szCs w:val="24"/>
          <w:lang w:val="sr-Latn-RS"/>
        </w:rPr>
        <w:t>). Vrste ovog roda su saprofitne gljive koje se obično nalaze u zemljištu, ali neke mogu biti i endofiti u biljkama (</w:t>
      </w:r>
      <w:r>
        <w:rPr>
          <w:rFonts w:ascii="Book Antiqua" w:hAnsi="Book Antiqua" w:cs="Times New Roman"/>
          <w:b/>
          <w:bCs/>
          <w:sz w:val="24"/>
          <w:szCs w:val="24"/>
          <w:lang w:val="sr-Latn-RS"/>
        </w:rPr>
        <w:t>Stempien et al., 2020</w:t>
      </w:r>
      <w:r>
        <w:rPr>
          <w:rFonts w:ascii="Book Antiqua" w:hAnsi="Book Antiqua" w:cs="Times New Roman"/>
          <w:b/>
          <w:bCs/>
          <w:sz w:val="24"/>
          <w:szCs w:val="24"/>
        </w:rPr>
        <w:t>; Sundram, 2013</w:t>
      </w:r>
      <w:r>
        <w:rPr>
          <w:rFonts w:ascii="Book Antiqua" w:hAnsi="Book Antiqua" w:cs="Times New Roman"/>
          <w:sz w:val="24"/>
          <w:szCs w:val="24"/>
          <w:lang w:val="sr-Latn-RS"/>
        </w:rPr>
        <w:t xml:space="preserve">).  Prvi opis gljiva iz roda </w:t>
      </w:r>
      <w:r>
        <w:rPr>
          <w:rFonts w:ascii="Book Antiqua" w:hAnsi="Book Antiqua" w:cs="Times New Roman"/>
          <w:i/>
          <w:iCs/>
          <w:sz w:val="24"/>
          <w:szCs w:val="24"/>
          <w:lang w:val="sr-Latn-RS"/>
        </w:rPr>
        <w:t>Trichoderma</w:t>
      </w:r>
      <w:r>
        <w:rPr>
          <w:rFonts w:ascii="Book Antiqua" w:hAnsi="Book Antiqua" w:cs="Times New Roman"/>
          <w:sz w:val="24"/>
          <w:szCs w:val="24"/>
          <w:lang w:val="sr-Latn-RS"/>
        </w:rPr>
        <w:t xml:space="preserve"> dao je Persun 1794. godine, dok su Tulasne &amp; Tulasne 1865. godine predložili polni stadijum. Nedugo nakon toga, 1912. godine Veindling je predložio gljive ovog roda kao biokontrolne agense. Vrste iz roda </w:t>
      </w:r>
      <w:r>
        <w:rPr>
          <w:rFonts w:ascii="Book Antiqua" w:hAnsi="Book Antiqua" w:cs="Times New Roman"/>
          <w:i/>
          <w:iCs/>
          <w:sz w:val="24"/>
          <w:szCs w:val="24"/>
          <w:lang w:val="sr-Latn-RS"/>
        </w:rPr>
        <w:t>Trichoderma</w:t>
      </w:r>
      <w:r>
        <w:rPr>
          <w:rFonts w:ascii="Book Antiqua" w:hAnsi="Book Antiqua" w:cs="Times New Roman"/>
          <w:sz w:val="24"/>
          <w:szCs w:val="24"/>
          <w:lang w:val="sr-Latn-RS"/>
        </w:rPr>
        <w:t xml:space="preserve"> pripadaju porodici </w:t>
      </w:r>
      <w:r>
        <w:rPr>
          <w:rFonts w:ascii="Book Antiqua" w:hAnsi="Book Antiqua" w:cs="Times New Roman"/>
          <w:i/>
          <w:iCs/>
          <w:sz w:val="24"/>
          <w:szCs w:val="24"/>
          <w:lang w:val="sr-Latn-RS"/>
        </w:rPr>
        <w:t>Hypocreaceae</w:t>
      </w:r>
      <w:r>
        <w:rPr>
          <w:rFonts w:ascii="Book Antiqua" w:hAnsi="Book Antiqua" w:cs="Times New Roman"/>
          <w:sz w:val="24"/>
          <w:szCs w:val="24"/>
          <w:lang w:val="sr-Latn-RS"/>
        </w:rPr>
        <w:t xml:space="preserve"> i imaju optimalnu temperaturu rasta između 25-30 °C. Široko su rasprostranjene u različitim sredinama, a posebno u onim koje obiluju organskom materijom u procesu raspadanja. Konidiofore gljiva iz ovog roda završavaju se fijalidama, piramidalnog oblika. Bespolne konidije se obilno formiraju hijaline su i eliptičnog oblika, od bijele do žute boje i na kraju postaju zelene (</w:t>
      </w:r>
      <w:r>
        <w:rPr>
          <w:rFonts w:ascii="Book Antiqua" w:hAnsi="Book Antiqua" w:cs="Times New Roman"/>
          <w:b/>
          <w:bCs/>
          <w:sz w:val="24"/>
          <w:szCs w:val="24"/>
          <w:lang w:val="sr-Latn-RS"/>
        </w:rPr>
        <w:t>Guzman-Guzman et al., 2022</w:t>
      </w:r>
      <w:r>
        <w:rPr>
          <w:rFonts w:ascii="Book Antiqua" w:hAnsi="Book Antiqua" w:cs="Times New Roman"/>
          <w:sz w:val="24"/>
          <w:szCs w:val="24"/>
          <w:lang w:val="sr-Latn-RS"/>
        </w:rPr>
        <w:t>). Ova grupa gljiva ima višestruke mehanizme antagonističkog djelovanja prema patogenim mikroorganizmima uključujući konkurenciju za hranljive materije i prostor, proizvodnju enzima ili sekundarnih metabolita, mikoparazitizam, antibiozu (</w:t>
      </w:r>
      <w:r>
        <w:rPr>
          <w:rFonts w:ascii="Book Antiqua" w:hAnsi="Book Antiqua" w:cs="Times New Roman"/>
          <w:b/>
          <w:bCs/>
          <w:sz w:val="24"/>
          <w:szCs w:val="24"/>
          <w:lang w:val="sr-Latn-RS"/>
        </w:rPr>
        <w:t>Pieterse et al., 2014</w:t>
      </w:r>
      <w:r>
        <w:rPr>
          <w:rFonts w:ascii="Book Antiqua" w:hAnsi="Book Antiqua" w:cs="Times New Roman"/>
          <w:sz w:val="24"/>
          <w:szCs w:val="24"/>
          <w:lang w:val="sr-Latn-RS"/>
        </w:rPr>
        <w:t xml:space="preserve">). Takođe, osim direktnog antagonističkog dejstva, gljive iz roda </w:t>
      </w:r>
      <w:r>
        <w:rPr>
          <w:rFonts w:ascii="Book Antiqua" w:hAnsi="Book Antiqua" w:cs="Times New Roman"/>
          <w:i/>
          <w:iCs/>
          <w:sz w:val="24"/>
          <w:szCs w:val="24"/>
          <w:lang w:val="sr-Latn-RS"/>
        </w:rPr>
        <w:t xml:space="preserve">Trichoderma </w:t>
      </w:r>
      <w:r>
        <w:rPr>
          <w:rFonts w:ascii="Book Antiqua" w:hAnsi="Book Antiqua" w:cs="Times New Roman"/>
          <w:sz w:val="24"/>
          <w:szCs w:val="24"/>
          <w:lang w:val="sr-Latn-RS"/>
        </w:rPr>
        <w:t>mogu podstaći imuni odgovor biljke (</w:t>
      </w:r>
      <w:r>
        <w:rPr>
          <w:rFonts w:ascii="Book Antiqua" w:hAnsi="Book Antiqua" w:cs="Times New Roman"/>
          <w:b/>
          <w:bCs/>
          <w:sz w:val="24"/>
          <w:szCs w:val="24"/>
          <w:lang w:val="sr-Latn-RS"/>
        </w:rPr>
        <w:t>Yobo et al., 2009</w:t>
      </w:r>
      <w:r>
        <w:rPr>
          <w:rFonts w:ascii="Book Antiqua" w:hAnsi="Book Antiqua" w:cs="Times New Roman"/>
          <w:sz w:val="24"/>
          <w:szCs w:val="24"/>
          <w:lang w:val="sr-Latn-RS"/>
        </w:rPr>
        <w:t xml:space="preserve">).  </w:t>
      </w:r>
    </w:p>
    <w:p w14:paraId="5823E679"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lastRenderedPageBreak/>
        <w:t>Poslednjih decenija testiran je jako veliki broj različitih vrsta gljiva ovog roda</w:t>
      </w:r>
      <w:r>
        <w:rPr>
          <w:rFonts w:ascii="Book Antiqua" w:hAnsi="Book Antiqua" w:cs="Times New Roman"/>
          <w:i/>
          <w:iCs/>
          <w:sz w:val="24"/>
          <w:szCs w:val="24"/>
          <w:lang w:val="sr-Latn-RS"/>
        </w:rPr>
        <w:t xml:space="preserve"> </w:t>
      </w:r>
      <w:r>
        <w:rPr>
          <w:rFonts w:ascii="Book Antiqua" w:hAnsi="Book Antiqua" w:cs="Times New Roman"/>
          <w:sz w:val="24"/>
          <w:szCs w:val="24"/>
          <w:lang w:val="sr-Latn-RS"/>
        </w:rPr>
        <w:t>u laboratoriji i terenskim uslovima, a na bazi nekih vrsta izrađeni su komercijalizovani preparati  kao što su: Vintec®, Esquive®, Eco 77®, Remedier® (</w:t>
      </w:r>
      <w:r>
        <w:rPr>
          <w:rFonts w:ascii="Book Antiqua" w:hAnsi="Book Antiqua" w:cs="Times New Roman"/>
          <w:b/>
          <w:bCs/>
          <w:sz w:val="24"/>
          <w:szCs w:val="24"/>
          <w:lang w:val="sr-Latn-RS"/>
        </w:rPr>
        <w:t>Kovacs et al., 2021</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Reggiori et al., 2014</w:t>
      </w:r>
      <w:r>
        <w:rPr>
          <w:rFonts w:ascii="Book Antiqua" w:hAnsi="Book Antiqua" w:cs="Times New Roman"/>
          <w:b/>
          <w:bCs/>
          <w:sz w:val="24"/>
          <w:szCs w:val="24"/>
        </w:rPr>
        <w:t>; Chervin et al., 2022</w:t>
      </w:r>
      <w:r>
        <w:rPr>
          <w:rFonts w:ascii="Book Antiqua" w:hAnsi="Book Antiqua" w:cs="Times New Roman"/>
          <w:sz w:val="24"/>
          <w:szCs w:val="24"/>
          <w:lang w:val="sr-Latn-RS"/>
        </w:rPr>
        <w:t>). Jedna od najvi</w:t>
      </w:r>
      <w:r>
        <w:rPr>
          <w:rFonts w:ascii="Book Antiqua" w:hAnsi="Book Antiqua" w:cs="Times New Roman"/>
          <w:sz w:val="24"/>
          <w:szCs w:val="24"/>
        </w:rPr>
        <w:t xml:space="preserve">še korišćenih gljiva iz ovog roda u suzbijanju bolesti drveta vinove loze jeste </w:t>
      </w:r>
      <w:r>
        <w:rPr>
          <w:rFonts w:ascii="Book Antiqua" w:hAnsi="Book Antiqua" w:cs="Times New Roman"/>
          <w:i/>
          <w:iCs/>
          <w:sz w:val="24"/>
          <w:szCs w:val="24"/>
        </w:rPr>
        <w:t>Trichoderma harzianum</w:t>
      </w:r>
      <w:r>
        <w:rPr>
          <w:rFonts w:ascii="Book Antiqua" w:hAnsi="Book Antiqua" w:cs="Times New Roman"/>
          <w:sz w:val="24"/>
          <w:szCs w:val="24"/>
        </w:rPr>
        <w:t xml:space="preserve"> soj T-22 (</w:t>
      </w:r>
      <w:r>
        <w:rPr>
          <w:rFonts w:ascii="Book Antiqua" w:hAnsi="Book Antiqua" w:cs="Times New Roman"/>
          <w:b/>
          <w:bCs/>
          <w:sz w:val="24"/>
          <w:szCs w:val="24"/>
        </w:rPr>
        <w:t>Harman, 2000</w:t>
      </w:r>
      <w:r>
        <w:rPr>
          <w:rFonts w:ascii="Book Antiqua" w:hAnsi="Book Antiqua" w:cs="Times New Roman"/>
          <w:sz w:val="24"/>
          <w:szCs w:val="24"/>
        </w:rPr>
        <w:t xml:space="preserve">). </w:t>
      </w:r>
      <w:r>
        <w:rPr>
          <w:rFonts w:ascii="Book Antiqua" w:hAnsi="Book Antiqua" w:cs="Times New Roman"/>
          <w:sz w:val="24"/>
          <w:szCs w:val="24"/>
          <w:lang w:val="sr-Latn-RS"/>
        </w:rPr>
        <w:t>Pomenuti preparati se miješaju sa vodom i nanose na nadzemne djelove biljaka premazivanjem rana nakon rezidbe. Takođe se mogu primijeniti unošenjem direktno u zemljište ili pomoću sistema za navodnjavanje. Komercijalni preparati u obliku granula ili peleta se mogu inkorporirati u kompost ili direktno u samo zemljište (</w:t>
      </w:r>
      <w:r>
        <w:rPr>
          <w:rFonts w:ascii="Book Antiqua" w:hAnsi="Book Antiqua" w:cs="Times New Roman"/>
          <w:b/>
          <w:bCs/>
          <w:sz w:val="24"/>
          <w:szCs w:val="24"/>
          <w:lang w:val="sr-Latn-RS"/>
        </w:rPr>
        <w:t>Leal &amp; Gramaje, 2024</w:t>
      </w:r>
      <w:r>
        <w:rPr>
          <w:rFonts w:ascii="Book Antiqua" w:hAnsi="Book Antiqua" w:cs="Times New Roman"/>
          <w:sz w:val="24"/>
          <w:szCs w:val="24"/>
          <w:lang w:val="sr-Latn-RS"/>
        </w:rPr>
        <w:t xml:space="preserve">). Potapanje reznica tokom proizvodnje sadnog materijala u suspenziju preparata na bazi vrsta iz roda </w:t>
      </w:r>
      <w:r>
        <w:rPr>
          <w:rFonts w:ascii="Book Antiqua" w:hAnsi="Book Antiqua" w:cs="Times New Roman"/>
          <w:i/>
          <w:iCs/>
          <w:sz w:val="24"/>
          <w:szCs w:val="24"/>
          <w:lang w:val="sr-Latn-RS"/>
        </w:rPr>
        <w:t>Trichoderma</w:t>
      </w:r>
      <w:r>
        <w:rPr>
          <w:rFonts w:ascii="Book Antiqua" w:hAnsi="Book Antiqua" w:cs="Times New Roman"/>
          <w:sz w:val="24"/>
          <w:szCs w:val="24"/>
          <w:lang w:val="sr-Latn-RS"/>
        </w:rPr>
        <w:t>, značajno doprinosi smanjenju infekcije patogenima drveta vinove loze (</w:t>
      </w:r>
      <w:r>
        <w:rPr>
          <w:rFonts w:ascii="Book Antiqua" w:hAnsi="Book Antiqua" w:cs="Times New Roman"/>
          <w:b/>
          <w:bCs/>
          <w:sz w:val="24"/>
          <w:szCs w:val="24"/>
          <w:lang w:val="sr-Latn-RS"/>
        </w:rPr>
        <w:t>Berbegal et al., 2020; Pertot et al., 2016</w:t>
      </w:r>
      <w:r>
        <w:rPr>
          <w:rFonts w:ascii="Book Antiqua" w:hAnsi="Book Antiqua" w:cs="Times New Roman"/>
          <w:sz w:val="24"/>
          <w:szCs w:val="24"/>
          <w:lang w:val="sr-Latn-RS"/>
        </w:rPr>
        <w:t xml:space="preserve">).        </w:t>
      </w:r>
    </w:p>
    <w:p w14:paraId="744D8D77"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lang w:val="sr-Latn-RS"/>
        </w:rPr>
        <w:t xml:space="preserve">Veći broj vrsta gljiva iz roda </w:t>
      </w:r>
      <w:r>
        <w:rPr>
          <w:rFonts w:ascii="Book Antiqua" w:hAnsi="Book Antiqua" w:cs="Times New Roman"/>
          <w:i/>
          <w:iCs/>
          <w:sz w:val="24"/>
          <w:szCs w:val="24"/>
          <w:lang w:val="sr-Latn-RS"/>
        </w:rPr>
        <w:t>Trichoderma</w:t>
      </w:r>
      <w:r>
        <w:rPr>
          <w:rFonts w:ascii="Book Antiqua" w:hAnsi="Book Antiqua" w:cs="Times New Roman"/>
          <w:sz w:val="24"/>
          <w:szCs w:val="24"/>
          <w:lang w:val="sr-Latn-RS"/>
        </w:rPr>
        <w:t xml:space="preserve"> su pokazale antagonistički potencijal prema patogenima drveta vinove loze u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uslovima, ali ne i u poljskim uslovima. Među njima su najznačajnije: </w:t>
      </w:r>
      <w:r>
        <w:rPr>
          <w:rFonts w:ascii="Book Antiqua" w:hAnsi="Book Antiqua" w:cs="Times New Roman"/>
          <w:i/>
          <w:iCs/>
          <w:sz w:val="24"/>
          <w:szCs w:val="24"/>
          <w:lang w:val="sr-Latn-RS"/>
        </w:rPr>
        <w:t>T. asperelloides</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Saha et al., 2023</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T. canadense</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Pollard-Flamand et al., 2022</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T. guizhouense</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Úrbez-Torres et al., 2020</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T. koningiopsis</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Úrbez- Torres et al., 2020</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T. longibrachiatum</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De Zotti et al., 2020</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T. paratoviride</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Úrbez-Torres et al., 2020</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T. simmonsii</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Kovács et al., 2021</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T. spirale</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Úrbez-Torres et al., 2020</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T. tomentosum</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Pollard-Flamand et al., 2022</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T. viticola</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Pollard-Flamand et al., 2022</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Leal &amp; Gramaje, 2024</w:t>
      </w:r>
      <w:r>
        <w:rPr>
          <w:rFonts w:ascii="Book Antiqua" w:hAnsi="Book Antiqua" w:cs="Times New Roman"/>
          <w:sz w:val="24"/>
          <w:szCs w:val="24"/>
          <w:lang w:val="sr-Latn-RS"/>
        </w:rPr>
        <w:t xml:space="preserve">). Efikasnost primjene gljiva iz roda </w:t>
      </w:r>
      <w:r>
        <w:rPr>
          <w:rFonts w:ascii="Book Antiqua" w:hAnsi="Book Antiqua" w:cs="Times New Roman"/>
          <w:i/>
          <w:iCs/>
          <w:sz w:val="24"/>
          <w:szCs w:val="24"/>
          <w:lang w:val="sr-Latn-RS"/>
        </w:rPr>
        <w:t xml:space="preserve">Trichoderma </w:t>
      </w:r>
      <w:r>
        <w:rPr>
          <w:rFonts w:ascii="Book Antiqua" w:hAnsi="Book Antiqua" w:cs="Times New Roman"/>
          <w:sz w:val="24"/>
          <w:szCs w:val="24"/>
        </w:rPr>
        <w:t>u suzbijanju bolesti drveta vinove loze zavisi od velikog broja faktora, prvenstveno od njihove sposobnosti da prežive u nepovoljnim uslovima spoljne sredine, reproduktivnog kapaciteta, efikasnosti korišćenja hranljivih materija, sposobnosti modifikacije rizosfere, jake agresivnosti prema određenim fitopatogenim gljivama i sposobnosti podsticanja imunog odgovora biljke (</w:t>
      </w:r>
      <w:r>
        <w:rPr>
          <w:rFonts w:ascii="Book Antiqua" w:hAnsi="Book Antiqua" w:cs="Times New Roman"/>
          <w:b/>
          <w:bCs/>
          <w:sz w:val="24"/>
          <w:szCs w:val="24"/>
        </w:rPr>
        <w:t>Verma et al., 2007</w:t>
      </w:r>
      <w:r>
        <w:rPr>
          <w:rFonts w:ascii="Book Antiqua" w:hAnsi="Book Antiqua" w:cs="Times New Roman"/>
          <w:sz w:val="24"/>
          <w:szCs w:val="24"/>
        </w:rPr>
        <w:t xml:space="preserve">). </w:t>
      </w:r>
    </w:p>
    <w:p w14:paraId="5E390271"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Gljive iz roda </w:t>
      </w:r>
      <w:r>
        <w:rPr>
          <w:rFonts w:ascii="Book Antiqua" w:hAnsi="Book Antiqua" w:cs="Times New Roman"/>
          <w:i/>
          <w:iCs/>
          <w:sz w:val="24"/>
          <w:szCs w:val="24"/>
          <w:lang w:val="sr-Latn-RS"/>
        </w:rPr>
        <w:t>Fusarium</w:t>
      </w:r>
      <w:r>
        <w:rPr>
          <w:rFonts w:ascii="Book Antiqua" w:hAnsi="Book Antiqua" w:cs="Times New Roman"/>
          <w:sz w:val="24"/>
          <w:szCs w:val="24"/>
          <w:lang w:val="sr-Latn-RS"/>
        </w:rPr>
        <w:t xml:space="preserve"> su poznate po svom antagonističkom efektu prema gljivama prouzrokovačima bolesti na vinovoj lozi, direktno kroz antibiozu ili </w:t>
      </w:r>
      <w:r>
        <w:rPr>
          <w:rFonts w:ascii="Book Antiqua" w:hAnsi="Book Antiqua" w:cs="Times New Roman"/>
          <w:sz w:val="24"/>
          <w:szCs w:val="24"/>
          <w:lang w:val="sr-Latn-RS"/>
        </w:rPr>
        <w:lastRenderedPageBreak/>
        <w:t>konkurenciju za prostor i hranljive materije (</w:t>
      </w:r>
      <w:r>
        <w:rPr>
          <w:rFonts w:ascii="Book Antiqua" w:hAnsi="Book Antiqua" w:cs="Times New Roman"/>
          <w:b/>
          <w:bCs/>
          <w:sz w:val="24"/>
          <w:szCs w:val="24"/>
          <w:lang w:val="sr-Latn-RS"/>
        </w:rPr>
        <w:t>Gkikas et al., 2021</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Mondello et al. (2019)</w:t>
      </w:r>
      <w:r>
        <w:rPr>
          <w:rFonts w:ascii="Book Antiqua" w:hAnsi="Book Antiqua" w:cs="Times New Roman"/>
          <w:sz w:val="24"/>
          <w:szCs w:val="24"/>
          <w:lang w:val="sr-Latn-RS"/>
        </w:rPr>
        <w:t xml:space="preserve"> i </w:t>
      </w:r>
      <w:r>
        <w:rPr>
          <w:rFonts w:ascii="Book Antiqua" w:hAnsi="Book Antiqua" w:cs="Times New Roman"/>
          <w:b/>
          <w:bCs/>
          <w:sz w:val="24"/>
          <w:szCs w:val="24"/>
          <w:lang w:val="sr-Latn-RS"/>
        </w:rPr>
        <w:t>Gkikas et al. (2021)</w:t>
      </w:r>
      <w:r>
        <w:rPr>
          <w:rFonts w:ascii="Book Antiqua" w:hAnsi="Book Antiqua" w:cs="Times New Roman"/>
          <w:sz w:val="24"/>
          <w:szCs w:val="24"/>
          <w:lang w:val="sr-Latn-RS"/>
        </w:rPr>
        <w:t xml:space="preserve"> su dokazali antagonistički potencijal </w:t>
      </w:r>
      <w:r>
        <w:rPr>
          <w:rFonts w:ascii="Book Antiqua" w:hAnsi="Book Antiqua" w:cs="Times New Roman"/>
          <w:i/>
          <w:iCs/>
          <w:sz w:val="24"/>
          <w:szCs w:val="24"/>
          <w:lang w:val="sr-Latn-RS"/>
        </w:rPr>
        <w:t>F. proliferatum</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F. oxysporum</w:t>
      </w:r>
      <w:r>
        <w:rPr>
          <w:rFonts w:ascii="Book Antiqua" w:hAnsi="Book Antiqua" w:cs="Times New Roman"/>
          <w:sz w:val="24"/>
          <w:szCs w:val="24"/>
          <w:lang w:val="sr-Latn-RS"/>
        </w:rPr>
        <w:t xml:space="preserve"> prema patogenima drveta vinove loze, u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i u </w:t>
      </w:r>
      <w:r>
        <w:rPr>
          <w:rFonts w:ascii="Book Antiqua" w:hAnsi="Book Antiqua" w:cs="Times New Roman"/>
          <w:i/>
          <w:iCs/>
          <w:sz w:val="24"/>
          <w:szCs w:val="24"/>
          <w:lang w:val="sr-Latn-RS"/>
        </w:rPr>
        <w:t>in vivo</w:t>
      </w:r>
      <w:r>
        <w:rPr>
          <w:rFonts w:ascii="Book Antiqua" w:hAnsi="Book Antiqua" w:cs="Times New Roman"/>
          <w:sz w:val="24"/>
          <w:szCs w:val="24"/>
          <w:lang w:val="sr-Latn-RS"/>
        </w:rPr>
        <w:t xml:space="preserve"> uslovima. Iako ove vrste iz roda </w:t>
      </w:r>
      <w:r>
        <w:rPr>
          <w:rFonts w:ascii="Book Antiqua" w:hAnsi="Book Antiqua" w:cs="Times New Roman"/>
          <w:i/>
          <w:iCs/>
          <w:sz w:val="24"/>
          <w:szCs w:val="24"/>
          <w:lang w:val="sr-Latn-RS"/>
        </w:rPr>
        <w:t xml:space="preserve">Fusarium </w:t>
      </w:r>
      <w:r>
        <w:rPr>
          <w:rFonts w:ascii="Book Antiqua" w:hAnsi="Book Antiqua" w:cs="Times New Roman"/>
          <w:sz w:val="24"/>
          <w:szCs w:val="24"/>
          <w:lang w:val="sr-Latn-RS"/>
        </w:rPr>
        <w:t xml:space="preserve">imaju obećavajuće rezultate, nedavna istraživanja pokazuju prisustvo gljiva iz roda </w:t>
      </w:r>
      <w:r>
        <w:rPr>
          <w:rFonts w:ascii="Book Antiqua" w:hAnsi="Book Antiqua" w:cs="Times New Roman"/>
          <w:i/>
          <w:iCs/>
          <w:sz w:val="24"/>
          <w:szCs w:val="24"/>
          <w:lang w:val="sr-Latn-RS"/>
        </w:rPr>
        <w:t>Fusarium</w:t>
      </w:r>
      <w:r>
        <w:rPr>
          <w:rFonts w:ascii="Book Antiqua" w:hAnsi="Book Antiqua" w:cs="Times New Roman"/>
          <w:sz w:val="24"/>
          <w:szCs w:val="24"/>
          <w:lang w:val="sr-Latn-RS"/>
        </w:rPr>
        <w:t xml:space="preserve"> u korjenovom sistemu i rizosfernom sloju čokota vinove loze koje imaju simptome naglog sušenja (</w:t>
      </w:r>
      <w:r>
        <w:rPr>
          <w:rFonts w:ascii="Book Antiqua" w:hAnsi="Book Antiqua" w:cs="Times New Roman"/>
          <w:b/>
          <w:bCs/>
          <w:sz w:val="24"/>
          <w:szCs w:val="24"/>
          <w:lang w:val="sr-Latn-RS"/>
        </w:rPr>
        <w:t>Leal &amp; Gramaje, 2024</w:t>
      </w:r>
      <w:r>
        <w:rPr>
          <w:rFonts w:ascii="Book Antiqua" w:hAnsi="Book Antiqua" w:cs="Times New Roman"/>
          <w:sz w:val="24"/>
          <w:szCs w:val="24"/>
          <w:lang w:val="sr-Latn-RS"/>
        </w:rPr>
        <w:t xml:space="preserve">). </w:t>
      </w:r>
    </w:p>
    <w:p w14:paraId="4C1F9EC3"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Zbog izraženog antagonističkog djelovanja prema patogenima drveta vinove loze</w:t>
      </w:r>
      <w:r>
        <w:rPr>
          <w:rFonts w:ascii="Book Antiqua" w:hAnsi="Book Antiqua" w:cs="Times New Roman"/>
          <w:i/>
          <w:iCs/>
          <w:sz w:val="24"/>
          <w:szCs w:val="24"/>
          <w:lang w:val="sr-Latn-RS"/>
        </w:rPr>
        <w:t xml:space="preserve"> Clonostachys rosea </w:t>
      </w:r>
      <w:r>
        <w:rPr>
          <w:rFonts w:ascii="Book Antiqua" w:hAnsi="Book Antiqua" w:cs="Times New Roman"/>
          <w:sz w:val="24"/>
          <w:szCs w:val="24"/>
          <w:lang w:val="sr-Latn-RS"/>
        </w:rPr>
        <w:t>postaje veoma važan biološki agens (</w:t>
      </w:r>
      <w:r>
        <w:rPr>
          <w:rFonts w:ascii="Book Antiqua" w:hAnsi="Book Antiqua" w:cs="Times New Roman"/>
          <w:b/>
          <w:bCs/>
          <w:sz w:val="24"/>
          <w:szCs w:val="24"/>
          <w:lang w:val="sr-Latn-RS"/>
        </w:rPr>
        <w:t>Leal &amp; Gramaje, 2024</w:t>
      </w:r>
      <w:r>
        <w:rPr>
          <w:rFonts w:ascii="Book Antiqua" w:hAnsi="Book Antiqua" w:cs="Times New Roman"/>
          <w:sz w:val="24"/>
          <w:szCs w:val="24"/>
          <w:lang w:val="sr-Latn-RS"/>
        </w:rPr>
        <w:t xml:space="preserve">). Antagonistički efekat </w:t>
      </w:r>
      <w:r>
        <w:rPr>
          <w:rFonts w:ascii="Book Antiqua" w:hAnsi="Book Antiqua" w:cs="Times New Roman"/>
          <w:i/>
          <w:iCs/>
          <w:sz w:val="24"/>
          <w:szCs w:val="24"/>
          <w:lang w:val="sr-Latn-RS"/>
        </w:rPr>
        <w:t xml:space="preserve">C. rosea </w:t>
      </w:r>
      <w:r>
        <w:rPr>
          <w:rFonts w:ascii="Book Antiqua" w:hAnsi="Book Antiqua" w:cs="Times New Roman"/>
          <w:sz w:val="24"/>
          <w:szCs w:val="24"/>
          <w:lang w:val="sr-Latn-RS"/>
        </w:rPr>
        <w:t xml:space="preserve">prema </w:t>
      </w:r>
      <w:r>
        <w:rPr>
          <w:rFonts w:ascii="Book Antiqua" w:hAnsi="Book Antiqua" w:cs="Times New Roman"/>
          <w:i/>
          <w:iCs/>
          <w:sz w:val="24"/>
          <w:szCs w:val="24"/>
          <w:lang w:val="sr-Latn-RS"/>
        </w:rPr>
        <w:t xml:space="preserve">P. chlamydospora, </w:t>
      </w:r>
      <w:r>
        <w:rPr>
          <w:rFonts w:ascii="Book Antiqua" w:hAnsi="Book Antiqua" w:cs="Times New Roman"/>
          <w:sz w:val="24"/>
          <w:szCs w:val="24"/>
          <w:lang w:val="sr-Latn-RS"/>
        </w:rPr>
        <w:t xml:space="preserve">ispitali su </w:t>
      </w:r>
      <w:r>
        <w:rPr>
          <w:rFonts w:ascii="Book Antiqua" w:hAnsi="Book Antiqua" w:cs="Times New Roman"/>
          <w:b/>
          <w:bCs/>
          <w:sz w:val="24"/>
          <w:szCs w:val="24"/>
          <w:lang w:val="sr-Latn-RS"/>
        </w:rPr>
        <w:t xml:space="preserve">Geiger et al. (2022) </w:t>
      </w:r>
      <w:r>
        <w:rPr>
          <w:rFonts w:ascii="Book Antiqua" w:hAnsi="Book Antiqua" w:cs="Times New Roman"/>
          <w:sz w:val="24"/>
          <w:szCs w:val="24"/>
          <w:lang w:val="sr-Latn-RS"/>
        </w:rPr>
        <w:t xml:space="preserve">pokazujući da tretirane biljke imaju mnogo manju ekspresiju folijarnih simptoma. </w:t>
      </w:r>
      <w:r>
        <w:rPr>
          <w:rFonts w:ascii="Book Antiqua" w:hAnsi="Book Antiqua" w:cs="Times New Roman"/>
          <w:b/>
          <w:bCs/>
          <w:sz w:val="24"/>
          <w:szCs w:val="24"/>
          <w:lang w:val="sr-Latn-RS"/>
        </w:rPr>
        <w:t xml:space="preserve">Silva Valderrama et al. (2021) </w:t>
      </w:r>
      <w:r>
        <w:rPr>
          <w:rFonts w:ascii="Book Antiqua" w:hAnsi="Book Antiqua" w:cs="Times New Roman"/>
          <w:sz w:val="24"/>
          <w:szCs w:val="24"/>
          <w:lang w:val="sr-Latn-RS"/>
        </w:rPr>
        <w:t xml:space="preserve">su utvrdili antagonistički kapacitet </w:t>
      </w:r>
      <w:r>
        <w:rPr>
          <w:rFonts w:ascii="Book Antiqua" w:hAnsi="Book Antiqua" w:cs="Times New Roman"/>
          <w:i/>
          <w:iCs/>
          <w:sz w:val="24"/>
          <w:szCs w:val="24"/>
          <w:lang w:val="sr-Latn-RS"/>
        </w:rPr>
        <w:t xml:space="preserve">C. rosea </w:t>
      </w:r>
      <w:r>
        <w:rPr>
          <w:rFonts w:ascii="Book Antiqua" w:hAnsi="Book Antiqua" w:cs="Times New Roman"/>
          <w:sz w:val="24"/>
          <w:szCs w:val="24"/>
          <w:lang w:val="sr-Latn-RS"/>
        </w:rPr>
        <w:t xml:space="preserve">u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uslovima prema </w:t>
      </w:r>
      <w:r>
        <w:rPr>
          <w:rFonts w:ascii="Book Antiqua" w:hAnsi="Book Antiqua" w:cs="Times New Roman"/>
          <w:i/>
          <w:iCs/>
          <w:sz w:val="24"/>
          <w:szCs w:val="24"/>
          <w:lang w:val="sr-Latn-RS"/>
        </w:rPr>
        <w:t>D. seriata</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N. parvum</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Korjenov sistem vinove loze može da formira simbiotsku asocijaciju sa zemljišnim gljivama iz razdjela </w:t>
      </w:r>
      <w:r>
        <w:rPr>
          <w:rFonts w:ascii="Book Antiqua" w:hAnsi="Book Antiqua" w:cs="Times New Roman"/>
          <w:i/>
          <w:iCs/>
          <w:sz w:val="24"/>
          <w:szCs w:val="24"/>
          <w:lang w:val="sr-Latn-RS"/>
        </w:rPr>
        <w:t>Glomeromycota</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Trouvelot et al., 2015</w:t>
      </w:r>
      <w:r>
        <w:rPr>
          <w:rFonts w:ascii="Book Antiqua" w:hAnsi="Book Antiqua" w:cs="Times New Roman"/>
          <w:sz w:val="24"/>
          <w:szCs w:val="24"/>
          <w:lang w:val="sr-Latn-RS"/>
        </w:rPr>
        <w:t xml:space="preserve">). </w:t>
      </w:r>
    </w:p>
    <w:p w14:paraId="741A8663"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Prema studiji </w:t>
      </w:r>
      <w:r>
        <w:rPr>
          <w:rFonts w:ascii="Book Antiqua" w:hAnsi="Book Antiqua" w:cs="Times New Roman"/>
          <w:b/>
          <w:bCs/>
          <w:sz w:val="24"/>
          <w:szCs w:val="24"/>
          <w:lang w:val="sr-Latn-RS"/>
        </w:rPr>
        <w:t>Petit &amp; Gubler, (2006)</w:t>
      </w:r>
      <w:r>
        <w:rPr>
          <w:rFonts w:ascii="Book Antiqua" w:hAnsi="Book Antiqua" w:cs="Times New Roman"/>
          <w:sz w:val="24"/>
          <w:szCs w:val="24"/>
          <w:lang w:val="sr-Latn-RS"/>
        </w:rPr>
        <w:t xml:space="preserve"> vinova loza mikorizovana sa </w:t>
      </w:r>
      <w:r>
        <w:rPr>
          <w:rFonts w:ascii="Book Antiqua" w:hAnsi="Book Antiqua" w:cs="Times New Roman"/>
          <w:i/>
          <w:iCs/>
          <w:sz w:val="24"/>
          <w:szCs w:val="24"/>
          <w:lang w:val="sr-Latn-RS"/>
        </w:rPr>
        <w:t xml:space="preserve">Glomus intraradices </w:t>
      </w:r>
      <w:r>
        <w:rPr>
          <w:rFonts w:ascii="Book Antiqua" w:hAnsi="Book Antiqua" w:cs="Times New Roman"/>
          <w:sz w:val="24"/>
          <w:szCs w:val="24"/>
          <w:lang w:val="sr-Latn-RS"/>
        </w:rPr>
        <w:t xml:space="preserve">razvija manje folijarnih simptoma bolesti drveta vinove loze. Neki komercijalni proizvodi na bazi mikoriznih gljiva certifikovni su za vinovu lozu, ali kao biostimulatori.  </w:t>
      </w:r>
    </w:p>
    <w:p w14:paraId="38A28538"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 xml:space="preserve">Veći broj različitih vrsta kvasaca među kojima su najznačajniji </w:t>
      </w:r>
      <w:r>
        <w:rPr>
          <w:rFonts w:ascii="Book Antiqua" w:hAnsi="Book Antiqua" w:cs="Times New Roman"/>
          <w:i/>
          <w:iCs/>
          <w:sz w:val="24"/>
          <w:szCs w:val="24"/>
        </w:rPr>
        <w:t>Candida</w:t>
      </w:r>
      <w:r>
        <w:rPr>
          <w:rFonts w:ascii="Book Antiqua" w:hAnsi="Book Antiqua" w:cs="Times New Roman"/>
          <w:sz w:val="24"/>
          <w:szCs w:val="24"/>
        </w:rPr>
        <w:t xml:space="preserve"> spp., </w:t>
      </w:r>
      <w:r>
        <w:rPr>
          <w:rFonts w:ascii="Book Antiqua" w:hAnsi="Book Antiqua" w:cs="Times New Roman"/>
          <w:i/>
          <w:iCs/>
          <w:sz w:val="24"/>
          <w:szCs w:val="24"/>
        </w:rPr>
        <w:t>Hanseniaspora uvarum</w:t>
      </w:r>
      <w:r>
        <w:rPr>
          <w:rFonts w:ascii="Book Antiqua" w:hAnsi="Book Antiqua" w:cs="Times New Roman"/>
          <w:sz w:val="24"/>
          <w:szCs w:val="24"/>
        </w:rPr>
        <w:t xml:space="preserve">, </w:t>
      </w:r>
      <w:r>
        <w:rPr>
          <w:rFonts w:ascii="Book Antiqua" w:hAnsi="Book Antiqua" w:cs="Times New Roman"/>
          <w:i/>
          <w:iCs/>
          <w:sz w:val="24"/>
          <w:szCs w:val="24"/>
        </w:rPr>
        <w:t>Kluyveromyces maxianus</w:t>
      </w:r>
      <w:r>
        <w:rPr>
          <w:rFonts w:ascii="Book Antiqua" w:hAnsi="Book Antiqua" w:cs="Times New Roman"/>
          <w:sz w:val="24"/>
          <w:szCs w:val="24"/>
        </w:rPr>
        <w:t xml:space="preserve">, </w:t>
      </w:r>
      <w:r>
        <w:rPr>
          <w:rFonts w:ascii="Book Antiqua" w:hAnsi="Book Antiqua" w:cs="Times New Roman"/>
          <w:i/>
          <w:iCs/>
          <w:sz w:val="24"/>
          <w:szCs w:val="24"/>
        </w:rPr>
        <w:t>Kluyveromyces thermotolerans</w:t>
      </w:r>
      <w:r>
        <w:rPr>
          <w:rFonts w:ascii="Book Antiqua" w:hAnsi="Book Antiqua" w:cs="Times New Roman"/>
          <w:sz w:val="24"/>
          <w:szCs w:val="24"/>
        </w:rPr>
        <w:t xml:space="preserve">, </w:t>
      </w:r>
      <w:r>
        <w:rPr>
          <w:rFonts w:ascii="Book Antiqua" w:hAnsi="Book Antiqua" w:cs="Times New Roman"/>
          <w:i/>
          <w:iCs/>
          <w:sz w:val="24"/>
          <w:szCs w:val="24"/>
        </w:rPr>
        <w:t>Metschnikowia pulcherrima</w:t>
      </w:r>
      <w:r>
        <w:rPr>
          <w:rFonts w:ascii="Book Antiqua" w:hAnsi="Book Antiqua" w:cs="Times New Roman"/>
          <w:sz w:val="24"/>
          <w:szCs w:val="24"/>
        </w:rPr>
        <w:t xml:space="preserve">, </w:t>
      </w:r>
      <w:r>
        <w:rPr>
          <w:rFonts w:ascii="Book Antiqua" w:hAnsi="Book Antiqua" w:cs="Times New Roman"/>
          <w:i/>
          <w:iCs/>
          <w:sz w:val="24"/>
          <w:szCs w:val="24"/>
        </w:rPr>
        <w:t>Metschnikowia fructicola</w:t>
      </w:r>
      <w:r>
        <w:rPr>
          <w:rFonts w:ascii="Book Antiqua" w:hAnsi="Book Antiqua" w:cs="Times New Roman"/>
          <w:sz w:val="24"/>
          <w:szCs w:val="24"/>
        </w:rPr>
        <w:t xml:space="preserve">, </w:t>
      </w:r>
      <w:r>
        <w:rPr>
          <w:rFonts w:ascii="Book Antiqua" w:hAnsi="Book Antiqua" w:cs="Times New Roman"/>
          <w:i/>
          <w:iCs/>
          <w:sz w:val="24"/>
          <w:szCs w:val="24"/>
        </w:rPr>
        <w:t>Wickerhamomyces anomalus,</w:t>
      </w:r>
      <w:r>
        <w:rPr>
          <w:rFonts w:ascii="Book Antiqua" w:hAnsi="Book Antiqua"/>
          <w:sz w:val="24"/>
          <w:szCs w:val="24"/>
        </w:rPr>
        <w:t xml:space="preserve"> </w:t>
      </w:r>
      <w:r>
        <w:rPr>
          <w:rFonts w:ascii="Book Antiqua" w:hAnsi="Book Antiqua" w:cs="Times New Roman"/>
          <w:i/>
          <w:iCs/>
          <w:sz w:val="24"/>
          <w:szCs w:val="24"/>
        </w:rPr>
        <w:t xml:space="preserve">Zygosaccharomyces baili </w:t>
      </w:r>
      <w:r>
        <w:rPr>
          <w:rFonts w:ascii="Book Antiqua" w:hAnsi="Book Antiqua" w:cs="Times New Roman"/>
          <w:sz w:val="24"/>
          <w:szCs w:val="24"/>
        </w:rPr>
        <w:t xml:space="preserve"> je  takođe u procesu </w:t>
      </w:r>
      <w:r>
        <w:rPr>
          <w:rFonts w:ascii="Book Antiqua" w:hAnsi="Book Antiqua" w:cs="Times New Roman"/>
          <w:i/>
          <w:iCs/>
          <w:sz w:val="24"/>
          <w:szCs w:val="24"/>
        </w:rPr>
        <w:t>in vitro</w:t>
      </w:r>
      <w:r>
        <w:rPr>
          <w:rFonts w:ascii="Book Antiqua" w:hAnsi="Book Antiqua" w:cs="Times New Roman"/>
          <w:sz w:val="24"/>
          <w:szCs w:val="24"/>
        </w:rPr>
        <w:t xml:space="preserve"> testiranja prema patogenima drveta vinove loze (</w:t>
      </w:r>
      <w:r>
        <w:rPr>
          <w:rFonts w:ascii="Book Antiqua" w:hAnsi="Book Antiqua" w:cs="Times New Roman"/>
          <w:b/>
          <w:bCs/>
          <w:sz w:val="24"/>
          <w:szCs w:val="24"/>
        </w:rPr>
        <w:t>Leal and Gramaje, 2024</w:t>
      </w:r>
      <w:r>
        <w:rPr>
          <w:rFonts w:ascii="Book Antiqua" w:hAnsi="Book Antiqua" w:cs="Times New Roman"/>
          <w:sz w:val="24"/>
          <w:szCs w:val="24"/>
        </w:rPr>
        <w:t xml:space="preserve">). </w:t>
      </w:r>
    </w:p>
    <w:p w14:paraId="4DDD758F"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Pojedine oomicete koje koloniziraju korjenov sistem biljaka bez oštećenja i preživljavaju u rizosferi, mogu se koristiti kao biološki agensi za suzbijanje bolesti drveta vinove loze (</w:t>
      </w:r>
      <w:r>
        <w:rPr>
          <w:rFonts w:ascii="Book Antiqua" w:hAnsi="Book Antiqua" w:cs="Times New Roman"/>
          <w:b/>
          <w:bCs/>
          <w:sz w:val="24"/>
          <w:szCs w:val="24"/>
        </w:rPr>
        <w:t>Vallance et al., 2009</w:t>
      </w:r>
      <w:r>
        <w:rPr>
          <w:rFonts w:ascii="Book Antiqua" w:hAnsi="Book Antiqua" w:cs="Times New Roman"/>
          <w:sz w:val="24"/>
          <w:szCs w:val="24"/>
        </w:rPr>
        <w:t xml:space="preserve">). Do sada su iz ove grupe mikroorganizma testirane samo gljive iz roda </w:t>
      </w:r>
      <w:r>
        <w:rPr>
          <w:rFonts w:ascii="Book Antiqua" w:hAnsi="Book Antiqua" w:cs="Times New Roman"/>
          <w:i/>
          <w:iCs/>
          <w:sz w:val="24"/>
          <w:szCs w:val="24"/>
        </w:rPr>
        <w:t>Pythium</w:t>
      </w:r>
      <w:r>
        <w:rPr>
          <w:rFonts w:ascii="Book Antiqua" w:hAnsi="Book Antiqua" w:cs="Times New Roman"/>
          <w:sz w:val="24"/>
          <w:szCs w:val="24"/>
        </w:rPr>
        <w:t xml:space="preserve">, među kojima vrsta </w:t>
      </w:r>
      <w:r>
        <w:rPr>
          <w:rFonts w:ascii="Book Antiqua" w:hAnsi="Book Antiqua" w:cs="Times New Roman"/>
          <w:i/>
          <w:iCs/>
          <w:sz w:val="24"/>
          <w:szCs w:val="24"/>
        </w:rPr>
        <w:lastRenderedPageBreak/>
        <w:t xml:space="preserve">Pythium oligandrum </w:t>
      </w:r>
      <w:r>
        <w:rPr>
          <w:rFonts w:ascii="Book Antiqua" w:hAnsi="Book Antiqua" w:cs="Times New Roman"/>
          <w:sz w:val="24"/>
          <w:szCs w:val="24"/>
        </w:rPr>
        <w:t xml:space="preserve">ima najveći značaj. Efikasnost soja </w:t>
      </w:r>
      <w:r>
        <w:rPr>
          <w:rFonts w:ascii="Book Antiqua" w:hAnsi="Book Antiqua" w:cs="Times New Roman"/>
          <w:i/>
          <w:iCs/>
          <w:sz w:val="24"/>
          <w:szCs w:val="24"/>
        </w:rPr>
        <w:t xml:space="preserve">Pythium oligandrum </w:t>
      </w:r>
      <w:r>
        <w:rPr>
          <w:rFonts w:ascii="Book Antiqua" w:hAnsi="Book Antiqua" w:cs="Times New Roman"/>
          <w:sz w:val="24"/>
          <w:szCs w:val="24"/>
        </w:rPr>
        <w:t xml:space="preserve">Po 37 ispitana je na saksijskim biljkama vinove loze u stakleničkim uslovima prema patogenima </w:t>
      </w:r>
      <w:r>
        <w:rPr>
          <w:rFonts w:ascii="Book Antiqua" w:hAnsi="Book Antiqua" w:cs="Times New Roman"/>
          <w:i/>
          <w:iCs/>
          <w:sz w:val="24"/>
          <w:szCs w:val="24"/>
        </w:rPr>
        <w:t>N. parvum</w:t>
      </w:r>
      <w:r>
        <w:rPr>
          <w:rFonts w:ascii="Book Antiqua" w:hAnsi="Book Antiqua" w:cs="Times New Roman"/>
          <w:sz w:val="24"/>
          <w:szCs w:val="24"/>
        </w:rPr>
        <w:t xml:space="preserve"> (</w:t>
      </w:r>
      <w:r>
        <w:rPr>
          <w:rFonts w:ascii="Book Antiqua" w:hAnsi="Book Antiqua" w:cs="Times New Roman"/>
          <w:b/>
          <w:bCs/>
          <w:sz w:val="24"/>
          <w:szCs w:val="24"/>
        </w:rPr>
        <w:t>Daraignes et al., 2018</w:t>
      </w:r>
      <w:r>
        <w:rPr>
          <w:rFonts w:ascii="Book Antiqua" w:hAnsi="Book Antiqua" w:cs="Times New Roman"/>
          <w:sz w:val="24"/>
          <w:szCs w:val="24"/>
        </w:rPr>
        <w:t xml:space="preserve">; </w:t>
      </w:r>
      <w:r>
        <w:rPr>
          <w:rFonts w:ascii="Book Antiqua" w:hAnsi="Book Antiqua" w:cs="Times New Roman"/>
          <w:b/>
          <w:bCs/>
          <w:sz w:val="24"/>
          <w:szCs w:val="24"/>
        </w:rPr>
        <w:t>Yacoub et al., 2020</w:t>
      </w:r>
      <w:r>
        <w:rPr>
          <w:rFonts w:ascii="Book Antiqua" w:hAnsi="Book Antiqua" w:cs="Times New Roman"/>
          <w:sz w:val="24"/>
          <w:szCs w:val="24"/>
        </w:rPr>
        <w:t xml:space="preserve">) i </w:t>
      </w:r>
      <w:r>
        <w:rPr>
          <w:rFonts w:ascii="Book Antiqua" w:hAnsi="Book Antiqua" w:cs="Times New Roman"/>
          <w:i/>
          <w:iCs/>
          <w:sz w:val="24"/>
          <w:szCs w:val="24"/>
        </w:rPr>
        <w:t>P. chlamydospora</w:t>
      </w:r>
      <w:r>
        <w:rPr>
          <w:rFonts w:ascii="Book Antiqua" w:hAnsi="Book Antiqua" w:cs="Times New Roman"/>
          <w:sz w:val="24"/>
          <w:szCs w:val="24"/>
        </w:rPr>
        <w:t xml:space="preserve"> (</w:t>
      </w:r>
      <w:r>
        <w:rPr>
          <w:rFonts w:ascii="Book Antiqua" w:hAnsi="Book Antiqua" w:cs="Times New Roman"/>
          <w:b/>
          <w:bCs/>
          <w:sz w:val="24"/>
          <w:szCs w:val="24"/>
        </w:rPr>
        <w:t>Yacoub et al., 2016</w:t>
      </w:r>
      <w:r>
        <w:rPr>
          <w:rFonts w:ascii="Book Antiqua" w:hAnsi="Book Antiqua" w:cs="Times New Roman"/>
          <w:sz w:val="24"/>
          <w:szCs w:val="24"/>
        </w:rPr>
        <w:t xml:space="preserve">). Međutim, dvogodišnje istraživanje </w:t>
      </w:r>
      <w:r>
        <w:rPr>
          <w:rFonts w:ascii="Book Antiqua" w:hAnsi="Book Antiqua" w:cs="Times New Roman"/>
          <w:b/>
          <w:bCs/>
          <w:sz w:val="24"/>
          <w:szCs w:val="24"/>
        </w:rPr>
        <w:t>Martinez-Diz et al. (2021)</w:t>
      </w:r>
      <w:r>
        <w:rPr>
          <w:rFonts w:ascii="Book Antiqua" w:hAnsi="Book Antiqua" w:cs="Times New Roman"/>
          <w:sz w:val="24"/>
          <w:szCs w:val="24"/>
        </w:rPr>
        <w:t xml:space="preserve"> sprovedeno u poljskim uslovima, pokazalo je nizak nivo efikasnosti ovog organizma prema prouzrokovačima Petrijeve bolesti. </w:t>
      </w:r>
    </w:p>
    <w:p w14:paraId="43F3BBFA"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Najvi</w:t>
      </w:r>
      <w:r>
        <w:rPr>
          <w:rFonts w:ascii="Book Antiqua" w:hAnsi="Book Antiqua" w:cs="Times New Roman"/>
          <w:sz w:val="24"/>
          <w:szCs w:val="24"/>
        </w:rPr>
        <w:t xml:space="preserve">še korišćene bakterije kao biološki agensi </w:t>
      </w:r>
      <w:r>
        <w:rPr>
          <w:rFonts w:ascii="Book Antiqua" w:hAnsi="Book Antiqua" w:cs="Times New Roman"/>
          <w:sz w:val="24"/>
          <w:szCs w:val="24"/>
          <w:lang w:val="sr-Latn-RS"/>
        </w:rPr>
        <w:t>su bakterije iz roda</w:t>
      </w:r>
      <w:r>
        <w:rPr>
          <w:rFonts w:ascii="Book Antiqua" w:hAnsi="Book Antiqua" w:cs="Times New Roman"/>
          <w:i/>
          <w:iCs/>
          <w:sz w:val="24"/>
          <w:szCs w:val="24"/>
          <w:lang w:val="sr-Latn-RS"/>
        </w:rPr>
        <w:t xml:space="preserve"> Bacillus</w:t>
      </w:r>
      <w:r>
        <w:rPr>
          <w:rFonts w:ascii="Book Antiqua" w:hAnsi="Book Antiqua" w:cs="Times New Roman"/>
          <w:sz w:val="24"/>
          <w:szCs w:val="24"/>
        </w:rPr>
        <w:t>. Široko su rasprostranjene u različitim sredinama uključujući i zemljište. Posjeduju širok spektar fizioloških mogućnosti, što pruža otpornost na različite uslove spoljašnje sredine. Proizvode</w:t>
      </w:r>
      <w:r>
        <w:rPr>
          <w:rFonts w:ascii="Book Antiqua" w:hAnsi="Book Antiqua" w:cs="Times New Roman"/>
          <w:sz w:val="24"/>
          <w:szCs w:val="24"/>
          <w:lang w:val="sr-Latn-RS"/>
        </w:rPr>
        <w:t xml:space="preserve"> širok spektar korisnih molekula, indukuju imuni odgovor biljaka, a takođe posjeduju sposobnost direktne konkurencije. Do sada je proučavan veliki broj vrsta bakterija iz roda </w:t>
      </w:r>
      <w:r>
        <w:rPr>
          <w:rFonts w:ascii="Book Antiqua" w:hAnsi="Book Antiqua" w:cs="Times New Roman"/>
          <w:i/>
          <w:iCs/>
          <w:sz w:val="24"/>
          <w:szCs w:val="24"/>
          <w:lang w:val="sr-Latn-RS"/>
        </w:rPr>
        <w:t>Bacillus</w:t>
      </w:r>
      <w:r>
        <w:rPr>
          <w:rFonts w:ascii="Book Antiqua" w:hAnsi="Book Antiqua" w:cs="Times New Roman"/>
          <w:sz w:val="24"/>
          <w:szCs w:val="24"/>
          <w:lang w:val="sr-Latn-RS"/>
        </w:rPr>
        <w:t xml:space="preserve"> prema patogenima vinove loze, ali </w:t>
      </w:r>
      <w:r>
        <w:rPr>
          <w:rFonts w:ascii="Book Antiqua" w:hAnsi="Book Antiqua" w:cs="Times New Roman"/>
          <w:i/>
          <w:iCs/>
          <w:sz w:val="24"/>
          <w:szCs w:val="24"/>
          <w:lang w:val="sr-Latn-RS"/>
        </w:rPr>
        <w:t>Bacillus subtilis</w:t>
      </w:r>
      <w:r>
        <w:rPr>
          <w:rFonts w:ascii="Book Antiqua" w:hAnsi="Book Antiqua" w:cs="Times New Roman"/>
          <w:sz w:val="24"/>
          <w:szCs w:val="24"/>
          <w:lang w:val="sr-Latn-RS"/>
        </w:rPr>
        <w:t xml:space="preserve"> je do sada najviše korišćena vrsta iz ovog roda (</w:t>
      </w:r>
      <w:r>
        <w:rPr>
          <w:rFonts w:ascii="Book Antiqua" w:hAnsi="Book Antiqua" w:cs="Times New Roman"/>
          <w:b/>
          <w:bCs/>
          <w:sz w:val="24"/>
          <w:szCs w:val="24"/>
          <w:lang w:val="sr-Latn-RS"/>
        </w:rPr>
        <w:t>Maachia et al., 2015</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Rego &amp; Blume, 2016</w:t>
      </w:r>
      <w:r>
        <w:rPr>
          <w:rFonts w:ascii="Book Antiqua" w:hAnsi="Book Antiqua" w:cs="Times New Roman"/>
          <w:sz w:val="24"/>
          <w:szCs w:val="24"/>
          <w:lang w:val="sr-Latn-RS"/>
        </w:rPr>
        <w:t>;</w:t>
      </w:r>
      <w:r>
        <w:rPr>
          <w:rFonts w:ascii="Book Antiqua" w:hAnsi="Book Antiqua" w:cs="Times New Roman"/>
          <w:b/>
          <w:bCs/>
          <w:sz w:val="24"/>
          <w:szCs w:val="24"/>
          <w:lang w:val="sr-Latn-RS"/>
        </w:rPr>
        <w:t xml:space="preserve"> Russi et al., 2020</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Zhang et al., 17</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Alfonzo et al. (2009)</w:t>
      </w:r>
      <w:r>
        <w:rPr>
          <w:rFonts w:ascii="Book Antiqua" w:hAnsi="Book Antiqua" w:cs="Times New Roman"/>
          <w:sz w:val="24"/>
          <w:szCs w:val="24"/>
          <w:lang w:val="sr-Latn-RS"/>
        </w:rPr>
        <w:t xml:space="preserve"> i </w:t>
      </w:r>
      <w:r>
        <w:rPr>
          <w:rFonts w:ascii="Book Antiqua" w:hAnsi="Book Antiqua" w:cs="Times New Roman"/>
          <w:b/>
          <w:bCs/>
          <w:sz w:val="24"/>
          <w:szCs w:val="24"/>
          <w:lang w:val="sr-Latn-RS"/>
        </w:rPr>
        <w:t>Rezgui et al. (2016)</w:t>
      </w:r>
      <w:r>
        <w:rPr>
          <w:rFonts w:ascii="Book Antiqua" w:hAnsi="Book Antiqua" w:cs="Times New Roman"/>
          <w:sz w:val="24"/>
          <w:szCs w:val="24"/>
          <w:lang w:val="sr-Latn-RS"/>
        </w:rPr>
        <w:t xml:space="preserve"> ukazuju na jako veliki antagonistički potencijal </w:t>
      </w:r>
      <w:r>
        <w:rPr>
          <w:rFonts w:ascii="Book Antiqua" w:hAnsi="Book Antiqua" w:cs="Times New Roman"/>
          <w:i/>
          <w:iCs/>
          <w:sz w:val="24"/>
          <w:szCs w:val="24"/>
          <w:lang w:val="sr-Latn-RS"/>
        </w:rPr>
        <w:t>B. subtilis</w:t>
      </w:r>
      <w:r>
        <w:rPr>
          <w:rFonts w:ascii="Book Antiqua" w:hAnsi="Book Antiqua" w:cs="Times New Roman"/>
          <w:sz w:val="24"/>
          <w:szCs w:val="24"/>
          <w:lang w:val="sr-Latn-RS"/>
        </w:rPr>
        <w:t xml:space="preserve"> prema patogenima </w:t>
      </w:r>
      <w:r>
        <w:rPr>
          <w:rFonts w:ascii="Book Antiqua" w:hAnsi="Book Antiqua" w:cs="Times New Roman"/>
          <w:i/>
          <w:iCs/>
          <w:sz w:val="24"/>
          <w:szCs w:val="24"/>
          <w:lang w:val="sr-Latn-RS"/>
        </w:rPr>
        <w:t>P. minimum</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Na bazi ove vrste registrovani su neki komercijalni preparati za primjenu u vinogradarstvu kao što su: Amylo-X®, Serenade®, i Serifel® (</w:t>
      </w:r>
      <w:r>
        <w:rPr>
          <w:rFonts w:ascii="Book Antiqua" w:hAnsi="Book Antiqua" w:cs="Times New Roman"/>
          <w:b/>
          <w:bCs/>
          <w:sz w:val="24"/>
          <w:szCs w:val="24"/>
          <w:lang w:val="sr-Latn-RS"/>
        </w:rPr>
        <w:t>Calvo et al., 2021</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Leal &amp; Gramaje, 2024</w:t>
      </w:r>
      <w:r>
        <w:rPr>
          <w:rFonts w:ascii="Book Antiqua" w:hAnsi="Book Antiqua" w:cs="Times New Roman"/>
          <w:sz w:val="24"/>
          <w:szCs w:val="24"/>
          <w:lang w:val="sr-Latn-RS"/>
        </w:rPr>
        <w:t xml:space="preserve">). </w:t>
      </w:r>
    </w:p>
    <w:p w14:paraId="787F352B"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Istraživanja </w:t>
      </w:r>
      <w:r>
        <w:rPr>
          <w:rFonts w:ascii="Book Antiqua" w:hAnsi="Book Antiqua" w:cs="Times New Roman"/>
          <w:b/>
          <w:bCs/>
          <w:sz w:val="24"/>
          <w:szCs w:val="24"/>
          <w:lang w:val="sr-Latn-RS"/>
        </w:rPr>
        <w:t>Alfonzo et al. (2012</w:t>
      </w:r>
      <w:r>
        <w:rPr>
          <w:rFonts w:ascii="Book Antiqua" w:hAnsi="Book Antiqua" w:cs="Times New Roman"/>
          <w:sz w:val="24"/>
          <w:szCs w:val="24"/>
          <w:lang w:val="sr-Latn-RS"/>
        </w:rPr>
        <w:t xml:space="preserve">) su pokazala antagonističko djelovanje vrste </w:t>
      </w:r>
      <w:r>
        <w:rPr>
          <w:rFonts w:ascii="Book Antiqua" w:hAnsi="Book Antiqua" w:cs="Times New Roman"/>
          <w:i/>
          <w:iCs/>
          <w:sz w:val="24"/>
          <w:szCs w:val="24"/>
          <w:lang w:val="sr-Latn-RS"/>
        </w:rPr>
        <w:t>B. amiloliquefaciens</w:t>
      </w:r>
      <w:r>
        <w:rPr>
          <w:rFonts w:ascii="Book Antiqua" w:hAnsi="Book Antiqua" w:cs="Times New Roman"/>
          <w:sz w:val="24"/>
          <w:szCs w:val="24"/>
          <w:lang w:val="sr-Latn-RS"/>
        </w:rPr>
        <w:t xml:space="preserve"> prema patogenu </w:t>
      </w:r>
      <w:r>
        <w:rPr>
          <w:rFonts w:ascii="Book Antiqua" w:hAnsi="Book Antiqua" w:cs="Times New Roman"/>
          <w:i/>
          <w:iCs/>
          <w:sz w:val="24"/>
          <w:szCs w:val="24"/>
          <w:lang w:val="sr-Latn-RS"/>
        </w:rPr>
        <w:t>F. mediterranea</w:t>
      </w:r>
      <w:r>
        <w:rPr>
          <w:rFonts w:ascii="Book Antiqua" w:hAnsi="Book Antiqua" w:cs="Times New Roman"/>
          <w:sz w:val="24"/>
          <w:szCs w:val="24"/>
          <w:lang w:val="sr-Latn-RS"/>
        </w:rPr>
        <w:t xml:space="preserve">. Osim navedenih vrsta antagonistički potencijal u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uslovima prema patogenima drveta vinove loze pokazuju i </w:t>
      </w:r>
      <w:r>
        <w:rPr>
          <w:rFonts w:ascii="Book Antiqua" w:hAnsi="Book Antiqua" w:cs="Times New Roman"/>
          <w:i/>
          <w:iCs/>
          <w:sz w:val="24"/>
          <w:szCs w:val="24"/>
          <w:lang w:val="sr-Latn-RS"/>
        </w:rPr>
        <w:t>B. velezensis</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Hamaoka et al., 2021</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Ramos et al., 2022</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B. firmus</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B.  licheniformes</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B. methyltrophicus</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B.licheniformis</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B. pumilus</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B. cereus</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Leal &amp; Gramaje, 2024</w:t>
      </w:r>
      <w:r>
        <w:rPr>
          <w:rFonts w:ascii="Book Antiqua" w:hAnsi="Book Antiqua" w:cs="Times New Roman"/>
          <w:sz w:val="24"/>
          <w:szCs w:val="24"/>
          <w:lang w:val="sr-Latn-RS"/>
        </w:rPr>
        <w:t xml:space="preserve">). </w:t>
      </w:r>
    </w:p>
    <w:p w14:paraId="43279A2C"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lang w:val="sr-Latn-RS"/>
        </w:rPr>
        <w:t xml:space="preserve">Bakterije iz </w:t>
      </w:r>
      <w:r>
        <w:rPr>
          <w:rFonts w:ascii="Book Antiqua" w:hAnsi="Book Antiqua" w:cs="Times New Roman"/>
          <w:sz w:val="24"/>
          <w:szCs w:val="24"/>
        </w:rPr>
        <w:t xml:space="preserve">roda </w:t>
      </w:r>
      <w:r>
        <w:rPr>
          <w:rFonts w:ascii="Book Antiqua" w:hAnsi="Book Antiqua" w:cs="Times New Roman"/>
          <w:i/>
          <w:iCs/>
          <w:sz w:val="24"/>
          <w:szCs w:val="24"/>
        </w:rPr>
        <w:t>Pseudomonas</w:t>
      </w:r>
      <w:r>
        <w:rPr>
          <w:rFonts w:ascii="Book Antiqua" w:hAnsi="Book Antiqua" w:cs="Times New Roman"/>
          <w:sz w:val="24"/>
          <w:szCs w:val="24"/>
        </w:rPr>
        <w:t xml:space="preserve"> su široko rasprostranjene sa visokim stepenom prilagodljivosti različitim ekološkim uslovima. Kao potencijalni biokontrolni agensi, biokontrolni predstavnici ovog roda se ističu izraženim antagonističkim kapacitetom prema različitim fitopatogenima i sposobnošću iniciranja imunog odgovora biljke (</w:t>
      </w:r>
      <w:r>
        <w:rPr>
          <w:rFonts w:ascii="Book Antiqua" w:hAnsi="Book Antiqua" w:cs="Times New Roman"/>
          <w:b/>
          <w:bCs/>
          <w:sz w:val="24"/>
          <w:szCs w:val="24"/>
        </w:rPr>
        <w:t>Bonaterra et al., 2022</w:t>
      </w:r>
      <w:r>
        <w:rPr>
          <w:rFonts w:ascii="Book Antiqua" w:hAnsi="Book Antiqua" w:cs="Times New Roman"/>
          <w:sz w:val="24"/>
          <w:szCs w:val="24"/>
        </w:rPr>
        <w:t xml:space="preserve">). Do sada je proučavan antagonistički </w:t>
      </w:r>
      <w:r>
        <w:rPr>
          <w:rFonts w:ascii="Book Antiqua" w:hAnsi="Book Antiqua" w:cs="Times New Roman"/>
          <w:sz w:val="24"/>
          <w:szCs w:val="24"/>
        </w:rPr>
        <w:lastRenderedPageBreak/>
        <w:t xml:space="preserve">potencijal vrsta </w:t>
      </w:r>
      <w:r>
        <w:rPr>
          <w:rFonts w:ascii="Book Antiqua" w:hAnsi="Book Antiqua" w:cs="Times New Roman"/>
          <w:i/>
          <w:iCs/>
          <w:sz w:val="24"/>
          <w:szCs w:val="24"/>
        </w:rPr>
        <w:t>P. protegens</w:t>
      </w:r>
      <w:r>
        <w:rPr>
          <w:rFonts w:ascii="Book Antiqua" w:hAnsi="Book Antiqua" w:cs="Times New Roman"/>
          <w:sz w:val="24"/>
          <w:szCs w:val="24"/>
        </w:rPr>
        <w:t xml:space="preserve">, </w:t>
      </w:r>
      <w:r>
        <w:rPr>
          <w:rFonts w:ascii="Book Antiqua" w:hAnsi="Book Antiqua" w:cs="Times New Roman"/>
          <w:i/>
          <w:iCs/>
          <w:sz w:val="24"/>
          <w:szCs w:val="24"/>
        </w:rPr>
        <w:t>P. fluorescens</w:t>
      </w:r>
      <w:r>
        <w:rPr>
          <w:rFonts w:ascii="Book Antiqua" w:hAnsi="Book Antiqua" w:cs="Times New Roman"/>
          <w:sz w:val="24"/>
          <w:szCs w:val="24"/>
        </w:rPr>
        <w:t xml:space="preserve">, </w:t>
      </w:r>
      <w:r>
        <w:rPr>
          <w:rFonts w:ascii="Book Antiqua" w:hAnsi="Book Antiqua" w:cs="Times New Roman"/>
          <w:i/>
          <w:iCs/>
          <w:sz w:val="24"/>
          <w:szCs w:val="24"/>
        </w:rPr>
        <w:t>P. chlororaphis</w:t>
      </w:r>
      <w:r>
        <w:rPr>
          <w:rFonts w:ascii="Book Antiqua" w:hAnsi="Book Antiqua" w:cs="Times New Roman"/>
          <w:sz w:val="24"/>
          <w:szCs w:val="24"/>
        </w:rPr>
        <w:t xml:space="preserve">, </w:t>
      </w:r>
      <w:r>
        <w:rPr>
          <w:rFonts w:ascii="Book Antiqua" w:hAnsi="Book Antiqua" w:cs="Times New Roman"/>
          <w:i/>
          <w:iCs/>
          <w:sz w:val="24"/>
          <w:szCs w:val="24"/>
        </w:rPr>
        <w:t>P. aeruginosa</w:t>
      </w:r>
      <w:r>
        <w:rPr>
          <w:rFonts w:ascii="Book Antiqua" w:hAnsi="Book Antiqua" w:cs="Times New Roman"/>
          <w:sz w:val="24"/>
          <w:szCs w:val="24"/>
        </w:rPr>
        <w:t xml:space="preserve"> i </w:t>
      </w:r>
      <w:r>
        <w:rPr>
          <w:rFonts w:ascii="Book Antiqua" w:hAnsi="Book Antiqua" w:cs="Times New Roman"/>
          <w:i/>
          <w:iCs/>
          <w:sz w:val="24"/>
          <w:szCs w:val="24"/>
        </w:rPr>
        <w:t>P. veronii</w:t>
      </w:r>
      <w:r>
        <w:rPr>
          <w:rFonts w:ascii="Book Antiqua" w:hAnsi="Book Antiqua" w:cs="Times New Roman"/>
          <w:sz w:val="24"/>
          <w:szCs w:val="24"/>
        </w:rPr>
        <w:t xml:space="preserve"> prema patogenima drveta vinove loze, ali do sada bez komercijalizovanog preparata na tržištu za njihovo suzbijanje (</w:t>
      </w:r>
      <w:r>
        <w:rPr>
          <w:rFonts w:ascii="Book Antiqua" w:hAnsi="Book Antiqua" w:cs="Times New Roman"/>
          <w:b/>
          <w:bCs/>
          <w:sz w:val="24"/>
          <w:szCs w:val="24"/>
        </w:rPr>
        <w:t>Leal &amp; Gramaje, 2024</w:t>
      </w:r>
      <w:r>
        <w:rPr>
          <w:rFonts w:ascii="Book Antiqua" w:hAnsi="Book Antiqua" w:cs="Times New Roman"/>
          <w:sz w:val="24"/>
          <w:szCs w:val="24"/>
        </w:rPr>
        <w:t>).</w:t>
      </w:r>
      <w:r>
        <w:rPr>
          <w:rFonts w:ascii="Book Antiqua" w:hAnsi="Book Antiqua" w:cs="Times New Roman"/>
          <w:sz w:val="24"/>
          <w:szCs w:val="24"/>
          <w:lang w:val="en-US"/>
        </w:rPr>
        <w:t xml:space="preserve"> </w:t>
      </w:r>
      <w:r>
        <w:rPr>
          <w:rFonts w:ascii="Book Antiqua" w:hAnsi="Book Antiqua" w:cs="Times New Roman"/>
          <w:sz w:val="24"/>
          <w:szCs w:val="24"/>
        </w:rPr>
        <w:t xml:space="preserve">Različiti sojevi bakterija iz roda </w:t>
      </w:r>
      <w:r>
        <w:rPr>
          <w:rFonts w:ascii="Book Antiqua" w:hAnsi="Book Antiqua" w:cs="Times New Roman"/>
          <w:i/>
          <w:iCs/>
          <w:sz w:val="24"/>
          <w:szCs w:val="24"/>
        </w:rPr>
        <w:t>Streptomyces</w:t>
      </w:r>
      <w:r>
        <w:rPr>
          <w:rFonts w:ascii="Book Antiqua" w:hAnsi="Book Antiqua" w:cs="Times New Roman"/>
          <w:sz w:val="24"/>
          <w:szCs w:val="24"/>
        </w:rPr>
        <w:t xml:space="preserve"> su takođe poznati po svom antagonističkom dejlovanju prema određenim fitopatogenima. Međutim, kada su u pitanju eska patogeni i drugi patogeni drveta vinove loze značajno je istaći antagonistički potencijal </w:t>
      </w:r>
      <w:r>
        <w:rPr>
          <w:rFonts w:ascii="Book Antiqua" w:hAnsi="Book Antiqua" w:cs="Times New Roman"/>
          <w:i/>
          <w:iCs/>
          <w:sz w:val="24"/>
          <w:szCs w:val="24"/>
        </w:rPr>
        <w:t>Streptomyces</w:t>
      </w:r>
      <w:r>
        <w:rPr>
          <w:rFonts w:ascii="Book Antiqua" w:hAnsi="Book Antiqua" w:cs="Times New Roman"/>
          <w:sz w:val="24"/>
          <w:szCs w:val="24"/>
        </w:rPr>
        <w:t xml:space="preserve"> sp. E1+R4 (</w:t>
      </w:r>
      <w:r>
        <w:rPr>
          <w:rFonts w:ascii="Book Antiqua" w:hAnsi="Book Antiqua" w:cs="Times New Roman"/>
          <w:b/>
          <w:bCs/>
          <w:sz w:val="24"/>
          <w:szCs w:val="24"/>
        </w:rPr>
        <w:t>Álvarez-Pérez et al., 2017</w:t>
      </w:r>
      <w:r>
        <w:rPr>
          <w:rFonts w:ascii="Book Antiqua" w:hAnsi="Book Antiqua" w:cs="Times New Roman"/>
          <w:sz w:val="24"/>
          <w:szCs w:val="24"/>
        </w:rPr>
        <w:t xml:space="preserve">).  Osim navedenih rodova, veliki broj drugih bakterija je u fazi proučavanja prema patogenima vinove loze, od kojih je značajno istaći </w:t>
      </w:r>
      <w:r>
        <w:rPr>
          <w:rFonts w:ascii="Book Antiqua" w:hAnsi="Book Antiqua" w:cs="Times New Roman"/>
          <w:i/>
          <w:iCs/>
          <w:sz w:val="24"/>
          <w:szCs w:val="24"/>
        </w:rPr>
        <w:t>Brevibacillus</w:t>
      </w:r>
      <w:r>
        <w:rPr>
          <w:rFonts w:ascii="Book Antiqua" w:hAnsi="Book Antiqua" w:cs="Times New Roman"/>
          <w:sz w:val="24"/>
          <w:szCs w:val="24"/>
        </w:rPr>
        <w:t xml:space="preserve"> spp., </w:t>
      </w:r>
      <w:r>
        <w:rPr>
          <w:rFonts w:ascii="Book Antiqua" w:hAnsi="Book Antiqua" w:cs="Times New Roman"/>
          <w:i/>
          <w:iCs/>
          <w:sz w:val="24"/>
          <w:szCs w:val="24"/>
        </w:rPr>
        <w:t>Enterobacter</w:t>
      </w:r>
      <w:r>
        <w:rPr>
          <w:rFonts w:ascii="Book Antiqua" w:hAnsi="Book Antiqua" w:cs="Times New Roman"/>
          <w:sz w:val="24"/>
          <w:szCs w:val="24"/>
        </w:rPr>
        <w:t xml:space="preserve"> spp., </w:t>
      </w:r>
      <w:r>
        <w:rPr>
          <w:rFonts w:ascii="Book Antiqua" w:hAnsi="Book Antiqua" w:cs="Times New Roman"/>
          <w:i/>
          <w:iCs/>
          <w:sz w:val="24"/>
          <w:szCs w:val="24"/>
        </w:rPr>
        <w:t>Paenibacillus</w:t>
      </w:r>
      <w:r>
        <w:rPr>
          <w:rFonts w:ascii="Book Antiqua" w:hAnsi="Book Antiqua" w:cs="Times New Roman"/>
          <w:sz w:val="24"/>
          <w:szCs w:val="24"/>
        </w:rPr>
        <w:t xml:space="preserve"> spp., </w:t>
      </w:r>
      <w:r>
        <w:rPr>
          <w:rFonts w:ascii="Book Antiqua" w:hAnsi="Book Antiqua" w:cs="Times New Roman"/>
          <w:i/>
          <w:iCs/>
          <w:sz w:val="24"/>
          <w:szCs w:val="24"/>
        </w:rPr>
        <w:t xml:space="preserve">Pantoea </w:t>
      </w:r>
      <w:r>
        <w:rPr>
          <w:rFonts w:ascii="Book Antiqua" w:hAnsi="Book Antiqua" w:cs="Times New Roman"/>
          <w:sz w:val="24"/>
          <w:szCs w:val="24"/>
        </w:rPr>
        <w:t xml:space="preserve">spp., </w:t>
      </w:r>
      <w:r>
        <w:rPr>
          <w:rFonts w:ascii="Book Antiqua" w:hAnsi="Book Antiqua" w:cs="Times New Roman"/>
          <w:i/>
          <w:iCs/>
          <w:sz w:val="24"/>
          <w:szCs w:val="24"/>
        </w:rPr>
        <w:t>Serratia</w:t>
      </w:r>
      <w:r>
        <w:rPr>
          <w:rFonts w:ascii="Book Antiqua" w:hAnsi="Book Antiqua" w:cs="Times New Roman"/>
          <w:sz w:val="24"/>
          <w:szCs w:val="24"/>
        </w:rPr>
        <w:t xml:space="preserve"> spp., </w:t>
      </w:r>
      <w:r>
        <w:rPr>
          <w:rFonts w:ascii="Book Antiqua" w:hAnsi="Book Antiqua" w:cs="Times New Roman"/>
          <w:i/>
          <w:iCs/>
          <w:sz w:val="24"/>
          <w:szCs w:val="24"/>
        </w:rPr>
        <w:t xml:space="preserve">Stenotrophomonas </w:t>
      </w:r>
      <w:r>
        <w:rPr>
          <w:rFonts w:ascii="Book Antiqua" w:hAnsi="Book Antiqua" w:cs="Times New Roman"/>
          <w:sz w:val="24"/>
          <w:szCs w:val="24"/>
        </w:rPr>
        <w:t xml:space="preserve">spp., i vrsta </w:t>
      </w:r>
      <w:r>
        <w:rPr>
          <w:rFonts w:ascii="Book Antiqua" w:hAnsi="Book Antiqua" w:cs="Times New Roman"/>
          <w:i/>
          <w:iCs/>
          <w:sz w:val="24"/>
          <w:szCs w:val="24"/>
        </w:rPr>
        <w:t>Erwinia herbicola</w:t>
      </w:r>
      <w:r>
        <w:rPr>
          <w:rFonts w:ascii="Book Antiqua" w:hAnsi="Book Antiqua" w:cs="Times New Roman"/>
          <w:sz w:val="24"/>
          <w:szCs w:val="24"/>
        </w:rPr>
        <w:t xml:space="preserve">.  Međutim, ove bakterije su testirane samo u </w:t>
      </w:r>
      <w:r>
        <w:rPr>
          <w:rFonts w:ascii="Book Antiqua" w:hAnsi="Book Antiqua" w:cs="Times New Roman"/>
          <w:i/>
          <w:iCs/>
          <w:sz w:val="24"/>
          <w:szCs w:val="24"/>
        </w:rPr>
        <w:t xml:space="preserve">in vitro </w:t>
      </w:r>
      <w:r>
        <w:rPr>
          <w:rFonts w:ascii="Book Antiqua" w:hAnsi="Book Antiqua" w:cs="Times New Roman"/>
          <w:sz w:val="24"/>
          <w:szCs w:val="24"/>
        </w:rPr>
        <w:t>uslovima, bez dokazane efikasnosti njihovog potencijala u poljskim uslovima u vinogradima.</w:t>
      </w:r>
      <w:r>
        <w:rPr>
          <w:rFonts w:ascii="Book Antiqua" w:hAnsi="Book Antiqua" w:cs="Times New Roman"/>
          <w:sz w:val="24"/>
          <w:szCs w:val="24"/>
          <w:lang w:val="en-US"/>
        </w:rPr>
        <w:t xml:space="preserve"> </w:t>
      </w:r>
      <w:r>
        <w:rPr>
          <w:rFonts w:ascii="Book Antiqua" w:hAnsi="Book Antiqua" w:cs="Times New Roman"/>
          <w:sz w:val="24"/>
          <w:szCs w:val="24"/>
        </w:rPr>
        <w:t>Hidrolizati proteina, pirogeni materijali, ekstarkti morskih algi, humusne supstance, rizobakterije koje mikorizno stimulišu rast biljaka takođe mogu pronaći svoje mjesto u programima zaštite vinove loze od bolesti (</w:t>
      </w:r>
      <w:r>
        <w:rPr>
          <w:rFonts w:ascii="Book Antiqua" w:hAnsi="Book Antiqua" w:cs="Times New Roman"/>
          <w:b/>
          <w:bCs/>
          <w:sz w:val="24"/>
          <w:szCs w:val="24"/>
        </w:rPr>
        <w:t>Leal &amp; Gramaje, 2024</w:t>
      </w:r>
      <w:r>
        <w:rPr>
          <w:rFonts w:ascii="Book Antiqua" w:hAnsi="Book Antiqua" w:cs="Times New Roman"/>
          <w:sz w:val="24"/>
          <w:szCs w:val="24"/>
        </w:rPr>
        <w:t>). Danas se posebno koriste esktrakti morskih algi kako bi se povećala otpornost vinove loze na stres tokom vegetacije (</w:t>
      </w:r>
      <w:r>
        <w:rPr>
          <w:rFonts w:ascii="Book Antiqua" w:hAnsi="Book Antiqua" w:cs="Times New Roman"/>
          <w:b/>
          <w:bCs/>
          <w:sz w:val="24"/>
          <w:szCs w:val="24"/>
        </w:rPr>
        <w:t>Deolu-Ajayi et al., 2022</w:t>
      </w:r>
      <w:r>
        <w:rPr>
          <w:rFonts w:ascii="Book Antiqua" w:hAnsi="Book Antiqua" w:cs="Times New Roman"/>
          <w:sz w:val="24"/>
          <w:szCs w:val="24"/>
        </w:rPr>
        <w:t xml:space="preserve">). Morske alge poput </w:t>
      </w:r>
      <w:r>
        <w:rPr>
          <w:rFonts w:ascii="Book Antiqua" w:hAnsi="Book Antiqua" w:cs="Times New Roman"/>
          <w:i/>
          <w:iCs/>
          <w:sz w:val="24"/>
          <w:szCs w:val="24"/>
        </w:rPr>
        <w:t>Ascophyllum nosdosum</w:t>
      </w:r>
      <w:r>
        <w:rPr>
          <w:rFonts w:ascii="Book Antiqua" w:hAnsi="Book Antiqua" w:cs="Times New Roman"/>
          <w:sz w:val="24"/>
          <w:szCs w:val="24"/>
        </w:rPr>
        <w:t xml:space="preserve">, </w:t>
      </w:r>
      <w:r>
        <w:rPr>
          <w:rFonts w:ascii="Book Antiqua" w:hAnsi="Book Antiqua" w:cs="Times New Roman"/>
          <w:i/>
          <w:iCs/>
          <w:sz w:val="24"/>
          <w:szCs w:val="24"/>
        </w:rPr>
        <w:t>Ecklonia maxima</w:t>
      </w:r>
      <w:r>
        <w:rPr>
          <w:rFonts w:ascii="Book Antiqua" w:hAnsi="Book Antiqua" w:cs="Times New Roman"/>
          <w:sz w:val="24"/>
          <w:szCs w:val="24"/>
        </w:rPr>
        <w:t xml:space="preserve">, </w:t>
      </w:r>
      <w:r>
        <w:rPr>
          <w:rFonts w:ascii="Book Antiqua" w:hAnsi="Book Antiqua" w:cs="Times New Roman"/>
          <w:i/>
          <w:iCs/>
          <w:sz w:val="24"/>
          <w:szCs w:val="24"/>
        </w:rPr>
        <w:t xml:space="preserve">Laminaria </w:t>
      </w:r>
      <w:r>
        <w:rPr>
          <w:rFonts w:ascii="Book Antiqua" w:hAnsi="Book Antiqua" w:cs="Times New Roman"/>
          <w:sz w:val="24"/>
          <w:szCs w:val="24"/>
        </w:rPr>
        <w:t xml:space="preserve">spp, </w:t>
      </w:r>
      <w:r>
        <w:rPr>
          <w:rFonts w:ascii="Book Antiqua" w:hAnsi="Book Antiqua" w:cs="Times New Roman"/>
          <w:i/>
          <w:iCs/>
          <w:sz w:val="24"/>
          <w:szCs w:val="24"/>
        </w:rPr>
        <w:t>Kappaphycus alvarezii</w:t>
      </w:r>
      <w:r>
        <w:rPr>
          <w:rFonts w:ascii="Book Antiqua" w:hAnsi="Book Antiqua" w:cs="Times New Roman"/>
          <w:sz w:val="24"/>
          <w:szCs w:val="24"/>
        </w:rPr>
        <w:t xml:space="preserve"> i </w:t>
      </w:r>
      <w:r>
        <w:rPr>
          <w:rFonts w:ascii="Book Antiqua" w:hAnsi="Book Antiqua" w:cs="Times New Roman"/>
          <w:i/>
          <w:iCs/>
          <w:sz w:val="24"/>
          <w:szCs w:val="24"/>
        </w:rPr>
        <w:t>Gracilaria edulis</w:t>
      </w:r>
      <w:r>
        <w:rPr>
          <w:rFonts w:ascii="Book Antiqua" w:hAnsi="Book Antiqua" w:cs="Times New Roman"/>
          <w:sz w:val="24"/>
          <w:szCs w:val="24"/>
        </w:rPr>
        <w:t xml:space="preserve"> koriste se za komercijalizaciju preparata Maxicorp®, Proton®, Algipower®, Acadian LSC®, SUNRED®, i Seasol® koji su pokazali uticaj na poboljšan unos makronutritijenata (N, P, K, Mg) kod testiranih biljaka (</w:t>
      </w:r>
      <w:r>
        <w:rPr>
          <w:rFonts w:ascii="Book Antiqua" w:hAnsi="Book Antiqua" w:cs="Times New Roman"/>
          <w:b/>
          <w:bCs/>
          <w:sz w:val="24"/>
          <w:szCs w:val="24"/>
        </w:rPr>
        <w:t>Leal &amp; Gramaje, 2024</w:t>
      </w:r>
      <w:r>
        <w:rPr>
          <w:rFonts w:ascii="Book Antiqua" w:hAnsi="Book Antiqua" w:cs="Times New Roman"/>
          <w:sz w:val="24"/>
          <w:szCs w:val="24"/>
        </w:rPr>
        <w:t>). Huminske supstance su komercijalno dostupne u obliku proizvoda na bazi huminskih kiselina, fulvinskih kiselina ili njihovoj kombinaciji (</w:t>
      </w:r>
      <w:r>
        <w:rPr>
          <w:rFonts w:ascii="Book Antiqua" w:hAnsi="Book Antiqua" w:cs="Times New Roman"/>
          <w:b/>
          <w:bCs/>
          <w:sz w:val="24"/>
          <w:szCs w:val="24"/>
        </w:rPr>
        <w:t>Dobbss et al., 2018</w:t>
      </w:r>
      <w:r>
        <w:rPr>
          <w:rFonts w:ascii="Book Antiqua" w:hAnsi="Book Antiqua" w:cs="Times New Roman"/>
          <w:sz w:val="24"/>
          <w:szCs w:val="24"/>
        </w:rPr>
        <w:t xml:space="preserve">). </w:t>
      </w:r>
    </w:p>
    <w:p w14:paraId="61526505" w14:textId="77777777" w:rsidR="00A473AB" w:rsidRDefault="00A473AB">
      <w:pPr>
        <w:tabs>
          <w:tab w:val="left" w:pos="3315"/>
        </w:tabs>
        <w:spacing w:line="360" w:lineRule="auto"/>
        <w:jc w:val="both"/>
        <w:rPr>
          <w:rFonts w:ascii="Book Antiqua" w:hAnsi="Book Antiqua" w:cs="Times New Roman"/>
          <w:sz w:val="24"/>
          <w:szCs w:val="24"/>
        </w:rPr>
      </w:pPr>
    </w:p>
    <w:p w14:paraId="30FA6542" w14:textId="77777777" w:rsidR="00A473AB" w:rsidRDefault="00A473AB">
      <w:pPr>
        <w:tabs>
          <w:tab w:val="left" w:pos="3315"/>
        </w:tabs>
        <w:spacing w:line="360" w:lineRule="auto"/>
        <w:jc w:val="both"/>
        <w:rPr>
          <w:rFonts w:ascii="Book Antiqua" w:hAnsi="Book Antiqua" w:cs="Times New Roman"/>
          <w:sz w:val="24"/>
          <w:szCs w:val="24"/>
        </w:rPr>
      </w:pPr>
    </w:p>
    <w:p w14:paraId="110B52CC" w14:textId="77777777" w:rsidR="00A473AB" w:rsidRDefault="00A473AB">
      <w:pPr>
        <w:tabs>
          <w:tab w:val="left" w:pos="3315"/>
        </w:tabs>
        <w:spacing w:line="360" w:lineRule="auto"/>
        <w:jc w:val="both"/>
        <w:rPr>
          <w:rFonts w:ascii="Book Antiqua" w:hAnsi="Book Antiqua" w:cs="Times New Roman"/>
          <w:sz w:val="24"/>
          <w:szCs w:val="24"/>
        </w:rPr>
      </w:pPr>
    </w:p>
    <w:p w14:paraId="7A7409F6" w14:textId="77777777" w:rsidR="003801E8" w:rsidRDefault="003801E8">
      <w:pPr>
        <w:tabs>
          <w:tab w:val="left" w:pos="3315"/>
        </w:tabs>
        <w:spacing w:line="360" w:lineRule="auto"/>
        <w:jc w:val="both"/>
        <w:rPr>
          <w:rFonts w:ascii="Times New Roman" w:hAnsi="Times New Roman" w:cs="Times New Roman"/>
          <w:color w:val="1F3864" w:themeColor="accent1" w:themeShade="80"/>
          <w:sz w:val="22"/>
          <w:szCs w:val="22"/>
        </w:rPr>
      </w:pPr>
    </w:p>
    <w:p w14:paraId="50AF28DD" w14:textId="77777777" w:rsidR="003801E8" w:rsidRDefault="00E44AAE">
      <w:pPr>
        <w:tabs>
          <w:tab w:val="left" w:pos="3315"/>
        </w:tabs>
        <w:spacing w:line="360" w:lineRule="auto"/>
        <w:jc w:val="both"/>
        <w:rPr>
          <w:rFonts w:ascii="Book Antiqua" w:hAnsi="Book Antiqua" w:cs="Times New Roman"/>
          <w:b/>
          <w:bCs/>
          <w:sz w:val="24"/>
          <w:szCs w:val="24"/>
        </w:rPr>
      </w:pPr>
      <w:r>
        <w:rPr>
          <w:rFonts w:ascii="Book Antiqua" w:hAnsi="Book Antiqua" w:cs="Times New Roman"/>
          <w:b/>
          <w:bCs/>
          <w:sz w:val="24"/>
          <w:szCs w:val="24"/>
        </w:rPr>
        <w:lastRenderedPageBreak/>
        <w:t>3.15 Suzbijanje eska oboljenja u rasadnicima</w:t>
      </w:r>
    </w:p>
    <w:p w14:paraId="6ABF81EC"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lang w:val="sr-Latn-RS"/>
        </w:rPr>
        <w:t>Dosadašnja istraživanja ukazuju na prisustvo patogena prouzrokovača Petrijeve bolesti i eska oboljenja u matičnim biljkama i sadnom materijalu vinove loze. U pojedinim rasadnicima se ne primjenjuju mjere za suzbijanje bolesti drveta vinove loze tokom procesa proizvodnje, usled čega dolazi do infekcije i masovne distribucije patogena. Suzbijanje eska oboljenja i drugih bolesti drveta vinove loze u rasadnicima je mogu</w:t>
      </w:r>
      <w:r>
        <w:rPr>
          <w:rFonts w:ascii="Book Antiqua" w:hAnsi="Book Antiqua" w:cs="Times New Roman"/>
          <w:sz w:val="24"/>
          <w:szCs w:val="24"/>
        </w:rPr>
        <w:t>ća kombinacijom preventivnih mjera u matičnjaku, dijelu za hidrataciju i kalemljenje, kao i sektoru za sadnju kalemljenih reznica. Matične biljke u rasadnicima mogu akumulirati patogene drveta vinove loze tokom dužeg vremena u stablu. Uzgojem matičnih biljaka vinove loze na rešetkama obezbjeđuje se povećana masa i dužina samih izdanaka, a samim tim i bolji kvalitet u odnosu na matične biljke koje se uzgajaju u zemlji (</w:t>
      </w:r>
      <w:r>
        <w:rPr>
          <w:rFonts w:ascii="Book Antiqua" w:hAnsi="Book Antiqua" w:cs="Times New Roman"/>
          <w:b/>
          <w:bCs/>
          <w:sz w:val="24"/>
          <w:szCs w:val="24"/>
        </w:rPr>
        <w:t>Gramaje &amp; Di Marco, 2015</w:t>
      </w:r>
      <w:r>
        <w:rPr>
          <w:rFonts w:ascii="Book Antiqua" w:hAnsi="Book Antiqua" w:cs="Times New Roman"/>
          <w:sz w:val="24"/>
          <w:szCs w:val="24"/>
        </w:rPr>
        <w:t>). Vlažnost zemljišta i aeracija su veoma važne mere, jer prekomjerna količina vode pogoduje razvoju fitopatogenih gljiva. Odvodnjavanje na teškim zemljištima može se postići sadnjom biljaka na gredice i pomjeranjem sistema za navodnjavanje što dalje od samih biljaka. Nadzemno zalivanje se pokazalo kao dobra metoda navodnjavanja, pod uslovom da prskalice imaju ujednačenu distribuciju vode, međutim ovaj metod stimuliše razvoj folijarnih oboljenja vinove loze (</w:t>
      </w:r>
      <w:r>
        <w:rPr>
          <w:rFonts w:ascii="Book Antiqua" w:hAnsi="Book Antiqua" w:cs="Times New Roman"/>
          <w:b/>
          <w:bCs/>
          <w:sz w:val="24"/>
          <w:szCs w:val="24"/>
        </w:rPr>
        <w:t>Gramaje et al., 2018</w:t>
      </w:r>
      <w:r>
        <w:rPr>
          <w:rFonts w:ascii="Book Antiqua" w:hAnsi="Book Antiqua" w:cs="Times New Roman"/>
          <w:sz w:val="24"/>
          <w:szCs w:val="24"/>
        </w:rPr>
        <w:t>). Patogeni prouzrokovači eska oboljenja su pronađeni na mašinama za kalemljenje i rezervoarima za hidrataciju, a potapanje reznica u vodu dovodi do masovne infekcije (</w:t>
      </w:r>
      <w:r>
        <w:rPr>
          <w:rFonts w:ascii="Book Antiqua" w:hAnsi="Book Antiqua" w:cs="Times New Roman"/>
          <w:b/>
          <w:bCs/>
          <w:sz w:val="24"/>
          <w:szCs w:val="24"/>
        </w:rPr>
        <w:t>Pollastro et al., 2009</w:t>
      </w:r>
      <w:r>
        <w:rPr>
          <w:rFonts w:ascii="Book Antiqua" w:hAnsi="Book Antiqua" w:cs="Times New Roman"/>
          <w:sz w:val="24"/>
          <w:szCs w:val="24"/>
        </w:rPr>
        <w:t>). Proces kalemljenja je veoma značajan jer su novonastale rane osjetljive na infekciju (</w:t>
      </w:r>
      <w:r>
        <w:rPr>
          <w:rFonts w:ascii="Book Antiqua" w:hAnsi="Book Antiqua" w:cs="Times New Roman"/>
          <w:b/>
          <w:bCs/>
          <w:sz w:val="24"/>
          <w:szCs w:val="24"/>
        </w:rPr>
        <w:t>Gramaje &amp; Armengol, 2011</w:t>
      </w:r>
      <w:r>
        <w:rPr>
          <w:rFonts w:ascii="Book Antiqua" w:hAnsi="Book Antiqua" w:cs="Times New Roman"/>
          <w:sz w:val="24"/>
          <w:szCs w:val="24"/>
        </w:rPr>
        <w:t>). Loše spojeni kalemovi na sadnom materijalu ne zarastaju kako treba pa ostaju otvoreni za gljivične infekcije i dovode do strukturne slabosti mlade biljke. Čuvanje reznica i kalemljenih biljaka je veoma značajno jer mračni, vlažni i topli uslovi predstavljaju povoljne uslove sredine za razvoj patogena (</w:t>
      </w:r>
      <w:r>
        <w:rPr>
          <w:rFonts w:ascii="Book Antiqua" w:hAnsi="Book Antiqua" w:cs="Times New Roman"/>
          <w:b/>
          <w:bCs/>
          <w:sz w:val="24"/>
          <w:szCs w:val="24"/>
        </w:rPr>
        <w:t>Gramaje et al., 2018</w:t>
      </w:r>
      <w:r>
        <w:rPr>
          <w:rFonts w:ascii="Book Antiqua" w:hAnsi="Book Antiqua" w:cs="Times New Roman"/>
          <w:sz w:val="24"/>
          <w:szCs w:val="24"/>
        </w:rPr>
        <w:t>).</w:t>
      </w:r>
    </w:p>
    <w:p w14:paraId="4FE81A31"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 xml:space="preserve">Tretman toplom vodom (HWT) je relativno efikasan metod za suzbijanje patogena prouzrokovača eska oboljenja u rasadnicima. Tretiranje materijala za </w:t>
      </w:r>
      <w:r>
        <w:rPr>
          <w:rFonts w:ascii="Book Antiqua" w:hAnsi="Book Antiqua" w:cs="Times New Roman"/>
          <w:sz w:val="24"/>
          <w:szCs w:val="24"/>
        </w:rPr>
        <w:lastRenderedPageBreak/>
        <w:t>razmnožavanje toplom vodom je najefikasniji metod za dezinfekciju reznica u procesu razmnožavanja (</w:t>
      </w:r>
      <w:r>
        <w:rPr>
          <w:rFonts w:ascii="Book Antiqua" w:hAnsi="Book Antiqua" w:cs="Times New Roman"/>
          <w:b/>
          <w:bCs/>
          <w:sz w:val="24"/>
          <w:szCs w:val="24"/>
        </w:rPr>
        <w:t>Crous et al., 2001; Waite &amp; May, 2005; Gramaje et al., 2008; Gramaje et al., 2018</w:t>
      </w:r>
      <w:r>
        <w:rPr>
          <w:rFonts w:ascii="Book Antiqua" w:hAnsi="Book Antiqua" w:cs="Times New Roman"/>
          <w:sz w:val="24"/>
          <w:szCs w:val="24"/>
        </w:rPr>
        <w:t xml:space="preserve">). Ovaj tretman na 50 °C u trajanju od 30 minuta efikasan je u suzbijanju prouzrokovača crnog stopala vinove loze, dok za eliminaciju gljiva iz roda </w:t>
      </w:r>
      <w:r>
        <w:rPr>
          <w:rFonts w:ascii="Book Antiqua" w:hAnsi="Book Antiqua" w:cs="Times New Roman"/>
          <w:i/>
          <w:iCs/>
          <w:sz w:val="24"/>
          <w:szCs w:val="24"/>
        </w:rPr>
        <w:t>Botryosphaeria</w:t>
      </w:r>
      <w:r>
        <w:rPr>
          <w:rFonts w:ascii="Book Antiqua" w:hAnsi="Book Antiqua" w:cs="Times New Roman"/>
          <w:sz w:val="24"/>
          <w:szCs w:val="24"/>
        </w:rPr>
        <w:t xml:space="preserve"> ili gljiva prouzrokovača eska oboljenja neophodan tretman u trajanju od 60 minuta (</w:t>
      </w:r>
      <w:r>
        <w:rPr>
          <w:rFonts w:ascii="Book Antiqua" w:hAnsi="Book Antiqua" w:cs="Times New Roman"/>
          <w:b/>
          <w:bCs/>
          <w:sz w:val="24"/>
          <w:szCs w:val="24"/>
        </w:rPr>
        <w:t>Elena et al., 2015</w:t>
      </w:r>
      <w:r>
        <w:rPr>
          <w:rFonts w:ascii="Book Antiqua" w:hAnsi="Book Antiqua" w:cs="Times New Roman"/>
          <w:sz w:val="24"/>
          <w:szCs w:val="24"/>
        </w:rPr>
        <w:t xml:space="preserve">; </w:t>
      </w:r>
      <w:r>
        <w:rPr>
          <w:rFonts w:ascii="Book Antiqua" w:hAnsi="Book Antiqua" w:cs="Times New Roman"/>
          <w:b/>
          <w:bCs/>
          <w:sz w:val="24"/>
          <w:szCs w:val="24"/>
        </w:rPr>
        <w:t>Bleach et al., 2010</w:t>
      </w:r>
      <w:r>
        <w:rPr>
          <w:rFonts w:ascii="Book Antiqua" w:hAnsi="Book Antiqua" w:cs="Times New Roman"/>
          <w:sz w:val="24"/>
          <w:szCs w:val="24"/>
        </w:rPr>
        <w:t>). Nove tehnologije zasnovane na RNK ili DNK sekvencioniranju genoma su primjenjene za ispitivanje uticaja tretmana toplom vodom na mikobiom vinove loze, sa  posebnom pažnjom na patogene prouzrokovače bolesti drveta. Rezultati su pokazali da su biljke tretirane toplom vodom imale manje prisustvo patogena prouzrokovača bolesti drveta vinove loze. Međutim, postoji realna bojazan da bi se u polju i tretirane biljke brzo mogle naknadno inficirati (</w:t>
      </w:r>
      <w:r>
        <w:rPr>
          <w:rFonts w:ascii="Book Antiqua" w:hAnsi="Book Antiqua" w:cs="Times New Roman"/>
          <w:b/>
          <w:bCs/>
          <w:sz w:val="24"/>
          <w:szCs w:val="24"/>
        </w:rPr>
        <w:t>Eichmeier et al., 2018</w:t>
      </w:r>
      <w:r>
        <w:rPr>
          <w:rFonts w:ascii="Book Antiqua" w:hAnsi="Book Antiqua" w:cs="Times New Roman"/>
          <w:sz w:val="24"/>
          <w:szCs w:val="24"/>
        </w:rPr>
        <w:t>). Takođe, postoje i negativna iskustva sa tretmanom toplom vodom u proizvodnji sadnog materijala jer može doći do velikih gubitaka u proizvodnji ukoliko tretman traje duže od 30 minuta (</w:t>
      </w:r>
      <w:r>
        <w:rPr>
          <w:rFonts w:ascii="Book Antiqua" w:hAnsi="Book Antiqua" w:cs="Times New Roman"/>
          <w:b/>
          <w:bCs/>
          <w:sz w:val="24"/>
          <w:szCs w:val="24"/>
        </w:rPr>
        <w:t>Habib et al., 2009</w:t>
      </w:r>
      <w:r>
        <w:rPr>
          <w:rFonts w:ascii="Book Antiqua" w:hAnsi="Book Antiqua" w:cs="Times New Roman"/>
          <w:sz w:val="24"/>
          <w:szCs w:val="24"/>
        </w:rPr>
        <w:t xml:space="preserve">). </w:t>
      </w:r>
    </w:p>
    <w:p w14:paraId="1641B361"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Na Novom Zelandu u nešto hladnijem klimatu za proizvodnju vinove loze, ustanovljeno je da tretman toplom vodom može dovesti do masovnog propadanja sadnog materijala pri temperaturi od 50 °C. Niža temperatura od 48 °C ne dovodi do propadanja sadnog materijala, ali nije efikasna prema patogenim mikroorganizmima. S druge strane, tretman toplom vodom u nešto toplijim regionima uzgoja vinove loze kao što je Španija, pokazao je visok stepen efikasnosti i to pri temperaturi od 53 °C u trajanju od 30 minuta (</w:t>
      </w:r>
      <w:r>
        <w:rPr>
          <w:rFonts w:ascii="Book Antiqua" w:hAnsi="Book Antiqua" w:cs="Times New Roman"/>
          <w:b/>
          <w:bCs/>
          <w:sz w:val="24"/>
          <w:szCs w:val="24"/>
        </w:rPr>
        <w:t>Gramaje et al., 2014; Gramaje et al., 2018</w:t>
      </w:r>
      <w:r>
        <w:rPr>
          <w:rFonts w:ascii="Book Antiqua" w:hAnsi="Book Antiqua" w:cs="Times New Roman"/>
          <w:sz w:val="24"/>
          <w:szCs w:val="24"/>
        </w:rPr>
        <w:t xml:space="preserve">). </w:t>
      </w:r>
    </w:p>
    <w:p w14:paraId="718B4117"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Tretman toplom vodom se u nekim zemljama primjenjuje i na podlogama ili mladim kalemljenim biljkama neposredno prije otpremanja iz rasadnika. Međutim, sadni materijal koji je tretiran toplom vodom veoma je osjetljiv na skladištenje nakon tretmana, posebno na čuvanje u hladnim skladištima (</w:t>
      </w:r>
      <w:r>
        <w:rPr>
          <w:rFonts w:ascii="Book Antiqua" w:hAnsi="Book Antiqua" w:cs="Times New Roman"/>
          <w:b/>
          <w:bCs/>
          <w:sz w:val="24"/>
          <w:szCs w:val="24"/>
        </w:rPr>
        <w:t>Gramaje &amp; Armengol, 2012; Fourie &amp; Hallen, 2004</w:t>
      </w:r>
      <w:r>
        <w:rPr>
          <w:rFonts w:ascii="Book Antiqua" w:hAnsi="Book Antiqua" w:cs="Times New Roman"/>
          <w:sz w:val="24"/>
          <w:szCs w:val="24"/>
        </w:rPr>
        <w:t xml:space="preserve">). Iako </w:t>
      </w:r>
      <w:r>
        <w:rPr>
          <w:rFonts w:ascii="Book Antiqua" w:hAnsi="Book Antiqua" w:cs="Times New Roman"/>
          <w:b/>
          <w:bCs/>
          <w:sz w:val="24"/>
          <w:szCs w:val="24"/>
        </w:rPr>
        <w:t xml:space="preserve">Gramaje et al. </w:t>
      </w:r>
      <w:r>
        <w:rPr>
          <w:rFonts w:ascii="Book Antiqua" w:hAnsi="Book Antiqua" w:cs="Times New Roman"/>
          <w:sz w:val="24"/>
          <w:szCs w:val="24"/>
        </w:rPr>
        <w:t>(</w:t>
      </w:r>
      <w:r>
        <w:rPr>
          <w:rFonts w:ascii="Book Antiqua" w:hAnsi="Book Antiqua" w:cs="Times New Roman"/>
          <w:b/>
          <w:bCs/>
          <w:sz w:val="24"/>
          <w:szCs w:val="24"/>
        </w:rPr>
        <w:t>2009</w:t>
      </w:r>
      <w:r>
        <w:rPr>
          <w:rFonts w:ascii="Book Antiqua" w:hAnsi="Book Antiqua" w:cs="Times New Roman"/>
          <w:sz w:val="24"/>
          <w:szCs w:val="24"/>
        </w:rPr>
        <w:t>)</w:t>
      </w:r>
      <w:r>
        <w:rPr>
          <w:rFonts w:ascii="Book Antiqua" w:hAnsi="Book Antiqua" w:cs="Times New Roman"/>
          <w:b/>
          <w:bCs/>
          <w:sz w:val="24"/>
          <w:szCs w:val="24"/>
        </w:rPr>
        <w:t xml:space="preserve"> </w:t>
      </w:r>
      <w:r>
        <w:rPr>
          <w:rFonts w:ascii="Book Antiqua" w:hAnsi="Book Antiqua" w:cs="Times New Roman"/>
          <w:sz w:val="24"/>
          <w:szCs w:val="24"/>
        </w:rPr>
        <w:t xml:space="preserve">i </w:t>
      </w:r>
      <w:r>
        <w:rPr>
          <w:rFonts w:ascii="Book Antiqua" w:hAnsi="Book Antiqua" w:cs="Times New Roman"/>
          <w:b/>
          <w:bCs/>
          <w:sz w:val="24"/>
          <w:szCs w:val="24"/>
        </w:rPr>
        <w:t xml:space="preserve">Laukart et al. </w:t>
      </w:r>
      <w:r>
        <w:rPr>
          <w:rFonts w:ascii="Book Antiqua" w:hAnsi="Book Antiqua" w:cs="Times New Roman"/>
          <w:sz w:val="24"/>
          <w:szCs w:val="24"/>
        </w:rPr>
        <w:t>(</w:t>
      </w:r>
      <w:r>
        <w:rPr>
          <w:rFonts w:ascii="Book Antiqua" w:hAnsi="Book Antiqua" w:cs="Times New Roman"/>
          <w:b/>
          <w:bCs/>
          <w:sz w:val="24"/>
          <w:szCs w:val="24"/>
        </w:rPr>
        <w:t>2001</w:t>
      </w:r>
      <w:r>
        <w:rPr>
          <w:rFonts w:ascii="Book Antiqua" w:hAnsi="Book Antiqua" w:cs="Times New Roman"/>
          <w:sz w:val="24"/>
          <w:szCs w:val="24"/>
        </w:rPr>
        <w:t xml:space="preserve">) ukazuju na niz negativnih efekata tretmana toplom vodom </w:t>
      </w:r>
      <w:r>
        <w:rPr>
          <w:rFonts w:ascii="Book Antiqua" w:hAnsi="Book Antiqua" w:cs="Times New Roman"/>
          <w:sz w:val="24"/>
          <w:szCs w:val="24"/>
        </w:rPr>
        <w:lastRenderedPageBreak/>
        <w:t>kalemljenih biljaka vinove loze u pojedinim zemljama kao što je Kanada, tretman toplom vodom je obavezan za sadni materijal vinove loze prilikom uvoza u državu (</w:t>
      </w:r>
      <w:r>
        <w:rPr>
          <w:rFonts w:ascii="Book Antiqua" w:hAnsi="Book Antiqua" w:cs="Times New Roman"/>
          <w:b/>
          <w:bCs/>
          <w:sz w:val="24"/>
          <w:szCs w:val="24"/>
        </w:rPr>
        <w:t>Waite &amp; May, 2005</w:t>
      </w:r>
      <w:r>
        <w:rPr>
          <w:rFonts w:ascii="Book Antiqua" w:hAnsi="Book Antiqua" w:cs="Times New Roman"/>
          <w:sz w:val="24"/>
          <w:szCs w:val="24"/>
        </w:rPr>
        <w:t xml:space="preserve">). </w:t>
      </w:r>
    </w:p>
    <w:p w14:paraId="064CF9AF"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Elektrolizovana voda se poslednjih godina pojavila kao održiva alternativna mjera za dezinfekciju (</w:t>
      </w:r>
      <w:r>
        <w:rPr>
          <w:rFonts w:ascii="Book Antiqua" w:hAnsi="Book Antiqua" w:cs="Times New Roman"/>
          <w:b/>
          <w:bCs/>
          <w:sz w:val="24"/>
          <w:szCs w:val="24"/>
          <w:lang w:val="sr-Latn-RS"/>
        </w:rPr>
        <w:t>Berbegal et al., 2024</w:t>
      </w:r>
      <w:r>
        <w:rPr>
          <w:rFonts w:ascii="Book Antiqua" w:hAnsi="Book Antiqua" w:cs="Times New Roman"/>
          <w:sz w:val="24"/>
          <w:szCs w:val="24"/>
          <w:lang w:val="sr-Latn-RS"/>
        </w:rPr>
        <w:t xml:space="preserve">). Prema </w:t>
      </w:r>
      <w:r>
        <w:rPr>
          <w:rFonts w:ascii="Book Antiqua" w:hAnsi="Book Antiqua" w:cs="Times New Roman"/>
          <w:b/>
          <w:bCs/>
          <w:sz w:val="24"/>
          <w:szCs w:val="24"/>
          <w:lang w:val="sr-Latn-RS"/>
        </w:rPr>
        <w:t xml:space="preserve">Di Marco et al. </w:t>
      </w:r>
      <w:r>
        <w:rPr>
          <w:rFonts w:ascii="Book Antiqua" w:hAnsi="Book Antiqua" w:cs="Times New Roman"/>
          <w:sz w:val="24"/>
          <w:szCs w:val="24"/>
          <w:lang w:val="sr-Latn-RS"/>
        </w:rPr>
        <w:t>(</w:t>
      </w:r>
      <w:r>
        <w:rPr>
          <w:rFonts w:ascii="Book Antiqua" w:hAnsi="Book Antiqua" w:cs="Times New Roman"/>
          <w:b/>
          <w:bCs/>
          <w:sz w:val="24"/>
          <w:szCs w:val="24"/>
          <w:lang w:val="sr-Latn-RS"/>
        </w:rPr>
        <w:t>2019</w:t>
      </w:r>
      <w:r>
        <w:rPr>
          <w:rFonts w:ascii="Book Antiqua" w:hAnsi="Book Antiqua" w:cs="Times New Roman"/>
          <w:sz w:val="24"/>
          <w:szCs w:val="24"/>
          <w:lang w:val="sr-Latn-RS"/>
        </w:rPr>
        <w:t xml:space="preserve">) upotreba elektrolizovane vode dovodi do smanjenja infekcije patogenima drveta u tretiranim biljkama. Pozitivni efekti elektrolizovane vode ogledaju se u smanjenu konidijalnog klijanja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i </w:t>
      </w:r>
      <w:r>
        <w:rPr>
          <w:rFonts w:ascii="Book Antiqua" w:hAnsi="Book Antiqua" w:cs="Times New Roman"/>
          <w:i/>
          <w:iCs/>
          <w:sz w:val="24"/>
          <w:szCs w:val="24"/>
          <w:lang w:val="sr-Latn-RS"/>
        </w:rPr>
        <w:t>P. minimum</w:t>
      </w:r>
      <w:r>
        <w:rPr>
          <w:rFonts w:ascii="Book Antiqua" w:hAnsi="Book Antiqua" w:cs="Times New Roman"/>
          <w:sz w:val="24"/>
          <w:szCs w:val="24"/>
          <w:lang w:val="sr-Latn-RS"/>
        </w:rPr>
        <w:t>. Isti autori ističu da tokom eksperimenta nijesu primijećeni fitotoksični efekti na tretirane biljke. Međutim, ranija istraživanja su pokazala da usled produženog potapanja reznica u elektrolizovanu vodu (24 sata) može dovesti do blage promjene boje na površini drveta (</w:t>
      </w:r>
      <w:r>
        <w:rPr>
          <w:rFonts w:ascii="Book Antiqua" w:hAnsi="Book Antiqua" w:cs="Times New Roman"/>
          <w:b/>
          <w:bCs/>
          <w:sz w:val="24"/>
          <w:szCs w:val="24"/>
          <w:lang w:val="sr-Latn-RS"/>
        </w:rPr>
        <w:t>Di Marco &amp; Osti, 2007</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Di Marco and Osti, 2009</w:t>
      </w:r>
      <w:r>
        <w:rPr>
          <w:rFonts w:ascii="Book Antiqua" w:hAnsi="Book Antiqua" w:cs="Times New Roman"/>
          <w:sz w:val="24"/>
          <w:szCs w:val="24"/>
          <w:lang w:val="sr-Latn-RS"/>
        </w:rPr>
        <w:t xml:space="preserve">).   </w:t>
      </w:r>
    </w:p>
    <w:p w14:paraId="52135875"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Jedna od novijih metoda za suzbijanje patogena prouzrokovača eska oboljenja je ozonizacija. Smatra se da efikasnost ozona nastaje zbog njegovog oksidacionog kapaciteta i njegove aktivnosti sa različitim ćelijskim komponentama, što rezultira širokim antimikrobnim efektom (</w:t>
      </w:r>
      <w:r>
        <w:rPr>
          <w:rFonts w:ascii="Book Antiqua" w:hAnsi="Book Antiqua" w:cs="Times New Roman"/>
          <w:b/>
          <w:bCs/>
          <w:sz w:val="24"/>
          <w:szCs w:val="24"/>
          <w:lang w:val="sr-Latn-RS"/>
        </w:rPr>
        <w:t>Khadre et al., 2011</w:t>
      </w:r>
      <w:r>
        <w:rPr>
          <w:rFonts w:ascii="Book Antiqua" w:hAnsi="Book Antiqua" w:cs="Times New Roman"/>
          <w:sz w:val="24"/>
          <w:szCs w:val="24"/>
          <w:lang w:val="sr-Latn-RS"/>
        </w:rPr>
        <w:t xml:space="preserve">). Međutim, sva dosadašnja istraživanja uticaja ozonizovane vode na patogene drveta vinove loze bila su usmjerena na eksperimente u plastenicima,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uslovima ili u rasadnicima. U pomenutim eksperimentima smanjen je razvoj </w:t>
      </w:r>
      <w:r>
        <w:rPr>
          <w:rFonts w:ascii="Book Antiqua" w:hAnsi="Book Antiqua" w:cs="Times New Roman"/>
          <w:i/>
          <w:iCs/>
          <w:sz w:val="24"/>
          <w:szCs w:val="24"/>
          <w:lang w:val="sr-Latn-RS"/>
        </w:rPr>
        <w:t>P. minimum</w:t>
      </w:r>
      <w:r>
        <w:rPr>
          <w:rFonts w:ascii="Book Antiqua" w:hAnsi="Book Antiqua" w:cs="Times New Roman"/>
          <w:sz w:val="24"/>
          <w:szCs w:val="24"/>
          <w:lang w:val="sr-Latn-RS"/>
        </w:rPr>
        <w:t xml:space="preserve"> za 50%. Utvrđeno je da je isti efekat potapanja reznica u rastvor različitih sintetičkih hemikalija i u vodenom rastvoru ozona od 5 g/m3 (</w:t>
      </w:r>
      <w:r>
        <w:rPr>
          <w:rFonts w:ascii="Book Antiqua" w:hAnsi="Book Antiqua" w:cs="Times New Roman"/>
          <w:b/>
          <w:bCs/>
          <w:sz w:val="24"/>
          <w:szCs w:val="24"/>
          <w:lang w:val="sr-Latn-RS"/>
        </w:rPr>
        <w:t>Romeo Olivan et al., 2022</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Pierron et al., 2015)</w:t>
      </w:r>
      <w:r>
        <w:rPr>
          <w:rFonts w:ascii="Book Antiqua" w:hAnsi="Book Antiqua" w:cs="Times New Roman"/>
          <w:sz w:val="24"/>
          <w:szCs w:val="24"/>
          <w:lang w:val="sr-Latn-RS"/>
        </w:rPr>
        <w:t>. Pojedini autori ukazuju na negativan uticaj ozona na rast i razvoj biljke usled oksidativnh procesa na stablu vinove loze (</w:t>
      </w:r>
      <w:r>
        <w:rPr>
          <w:rFonts w:ascii="Book Antiqua" w:hAnsi="Book Antiqua" w:cs="Times New Roman"/>
          <w:b/>
          <w:bCs/>
          <w:sz w:val="24"/>
          <w:szCs w:val="24"/>
          <w:lang w:val="sr-Latn-RS"/>
        </w:rPr>
        <w:t>Westover, 2019</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Leal &amp; Gramaje, 2024</w:t>
      </w:r>
      <w:r>
        <w:rPr>
          <w:rFonts w:ascii="Book Antiqua" w:hAnsi="Book Antiqua" w:cs="Times New Roman"/>
          <w:sz w:val="24"/>
          <w:szCs w:val="24"/>
          <w:lang w:val="sr-Latn-RS"/>
        </w:rPr>
        <w:t xml:space="preserve">). Međutim, </w:t>
      </w:r>
      <w:r>
        <w:rPr>
          <w:rFonts w:ascii="Book Antiqua" w:hAnsi="Book Antiqua" w:cs="Times New Roman"/>
          <w:b/>
          <w:bCs/>
          <w:sz w:val="24"/>
          <w:szCs w:val="24"/>
          <w:lang w:val="sr-Latn-RS"/>
        </w:rPr>
        <w:t xml:space="preserve">Romeo Olivan et al. </w:t>
      </w:r>
      <w:r>
        <w:rPr>
          <w:rFonts w:ascii="Book Antiqua" w:hAnsi="Book Antiqua" w:cs="Times New Roman"/>
          <w:sz w:val="24"/>
          <w:szCs w:val="24"/>
          <w:lang w:val="sr-Latn-RS"/>
        </w:rPr>
        <w:t>(</w:t>
      </w:r>
      <w:r>
        <w:rPr>
          <w:rFonts w:ascii="Book Antiqua" w:hAnsi="Book Antiqua" w:cs="Times New Roman"/>
          <w:b/>
          <w:bCs/>
          <w:sz w:val="24"/>
          <w:szCs w:val="24"/>
          <w:lang w:val="sr-Latn-RS"/>
        </w:rPr>
        <w:t>2022</w:t>
      </w:r>
      <w:r>
        <w:rPr>
          <w:rFonts w:ascii="Book Antiqua" w:hAnsi="Book Antiqua" w:cs="Times New Roman"/>
          <w:sz w:val="24"/>
          <w:szCs w:val="24"/>
          <w:lang w:val="sr-Latn-RS"/>
        </w:rPr>
        <w:t>)</w:t>
      </w:r>
      <w:r>
        <w:rPr>
          <w:rFonts w:ascii="Book Antiqua" w:hAnsi="Book Antiqua" w:cs="Times New Roman"/>
          <w:b/>
          <w:bCs/>
          <w:sz w:val="24"/>
          <w:szCs w:val="24"/>
          <w:lang w:val="sr-Latn-RS"/>
        </w:rPr>
        <w:t xml:space="preserve"> </w:t>
      </w:r>
      <w:r>
        <w:rPr>
          <w:rFonts w:ascii="Book Antiqua" w:hAnsi="Book Antiqua" w:cs="Times New Roman"/>
          <w:sz w:val="24"/>
          <w:szCs w:val="24"/>
          <w:lang w:val="sr-Latn-RS"/>
        </w:rPr>
        <w:t>i</w:t>
      </w:r>
      <w:r>
        <w:rPr>
          <w:rFonts w:ascii="Book Antiqua" w:hAnsi="Book Antiqua" w:cs="Times New Roman"/>
          <w:b/>
          <w:bCs/>
          <w:sz w:val="24"/>
          <w:szCs w:val="24"/>
          <w:lang w:val="sr-Latn-RS"/>
        </w:rPr>
        <w:t xml:space="preserve"> Perron et al. </w:t>
      </w:r>
      <w:r>
        <w:rPr>
          <w:rFonts w:ascii="Book Antiqua" w:hAnsi="Book Antiqua" w:cs="Times New Roman"/>
          <w:sz w:val="24"/>
          <w:szCs w:val="24"/>
          <w:lang w:val="sr-Latn-RS"/>
        </w:rPr>
        <w:t>(</w:t>
      </w:r>
      <w:r>
        <w:rPr>
          <w:rFonts w:ascii="Book Antiqua" w:hAnsi="Book Antiqua" w:cs="Times New Roman"/>
          <w:b/>
          <w:bCs/>
          <w:sz w:val="24"/>
          <w:szCs w:val="24"/>
          <w:lang w:val="sr-Latn-RS"/>
        </w:rPr>
        <w:t>2015</w:t>
      </w:r>
      <w:r>
        <w:rPr>
          <w:rFonts w:ascii="Book Antiqua" w:hAnsi="Book Antiqua" w:cs="Times New Roman"/>
          <w:sz w:val="24"/>
          <w:szCs w:val="24"/>
          <w:lang w:val="sr-Latn-RS"/>
        </w:rPr>
        <w:t xml:space="preserve">) ukazuju da ozonizirana voda u koncentraciji 4,5g/m3 nema negativne efekte na tretirane biljke. Generalno ozonizacija ima nedosledne rezultate jer ima selektivno dejstvo prema fitopatogenima. U Francuskoj ozonizacija nije pokazala efikasnost prema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u rasadnicima, iako je u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testovima </w:t>
      </w:r>
      <w:r>
        <w:rPr>
          <w:rFonts w:ascii="Book Antiqua" w:hAnsi="Book Antiqua" w:cs="Times New Roman"/>
          <w:sz w:val="24"/>
          <w:szCs w:val="24"/>
          <w:lang w:val="sr-Latn-RS"/>
        </w:rPr>
        <w:lastRenderedPageBreak/>
        <w:t>pokazala inhibitorno djelovanje, zbog čega su za utvrđivanje stvarne efikasnosti ove tehnike neophodna dalja istraživanja (</w:t>
      </w:r>
      <w:r>
        <w:rPr>
          <w:rFonts w:ascii="Book Antiqua" w:hAnsi="Book Antiqua" w:cs="Times New Roman"/>
          <w:b/>
          <w:bCs/>
          <w:sz w:val="24"/>
          <w:szCs w:val="24"/>
          <w:lang w:val="sr-Latn-RS"/>
        </w:rPr>
        <w:t>Gramaje et al., 2018</w:t>
      </w:r>
      <w:r>
        <w:rPr>
          <w:rFonts w:ascii="Book Antiqua" w:hAnsi="Book Antiqua" w:cs="Times New Roman"/>
          <w:sz w:val="24"/>
          <w:szCs w:val="24"/>
          <w:lang w:val="sr-Latn-RS"/>
        </w:rPr>
        <w:t xml:space="preserve">).         </w:t>
      </w:r>
    </w:p>
    <w:p w14:paraId="4B356EF3"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U cilju suzbijanja patogena prouzrokovča eska oboljenja u rasadnicima neophodno je u program zaštite uključiti biološke mjere kontrole. </w:t>
      </w:r>
      <w:r>
        <w:rPr>
          <w:rFonts w:ascii="Book Antiqua" w:hAnsi="Book Antiqua" w:cs="Times New Roman"/>
          <w:b/>
          <w:bCs/>
          <w:sz w:val="24"/>
          <w:szCs w:val="24"/>
          <w:lang w:val="sr-Latn-RS"/>
        </w:rPr>
        <w:t>Di Marco &amp; Osti (2008)</w:t>
      </w:r>
      <w:r>
        <w:rPr>
          <w:rFonts w:ascii="Book Antiqua" w:hAnsi="Book Antiqua" w:cs="Times New Roman"/>
          <w:sz w:val="24"/>
          <w:szCs w:val="24"/>
          <w:lang w:val="sr-Latn-RS"/>
        </w:rPr>
        <w:t xml:space="preserve"> ukazuju na pozitivne efekte </w:t>
      </w:r>
      <w:r>
        <w:rPr>
          <w:rFonts w:ascii="Book Antiqua" w:hAnsi="Book Antiqua" w:cs="Times New Roman"/>
          <w:i/>
          <w:iCs/>
          <w:sz w:val="24"/>
          <w:szCs w:val="24"/>
          <w:lang w:val="sr-Latn-RS"/>
        </w:rPr>
        <w:t>T. harzianum</w:t>
      </w:r>
      <w:r>
        <w:rPr>
          <w:rFonts w:ascii="Book Antiqua" w:hAnsi="Book Antiqua" w:cs="Times New Roman"/>
          <w:sz w:val="24"/>
          <w:szCs w:val="24"/>
          <w:lang w:val="sr-Latn-RS"/>
        </w:rPr>
        <w:t xml:space="preserve"> T22, </w:t>
      </w:r>
      <w:r>
        <w:rPr>
          <w:rFonts w:ascii="Book Antiqua" w:hAnsi="Book Antiqua" w:cs="Times New Roman"/>
          <w:i/>
          <w:iCs/>
          <w:sz w:val="24"/>
          <w:szCs w:val="24"/>
          <w:lang w:val="sr-Latn-RS"/>
        </w:rPr>
        <w:t>T. harzianum</w:t>
      </w:r>
      <w:r>
        <w:rPr>
          <w:rFonts w:ascii="Book Antiqua" w:hAnsi="Book Antiqua" w:cs="Times New Roman"/>
          <w:sz w:val="24"/>
          <w:szCs w:val="24"/>
          <w:lang w:val="sr-Latn-RS"/>
        </w:rPr>
        <w:t xml:space="preserve"> ICC012 i </w:t>
      </w:r>
      <w:r>
        <w:rPr>
          <w:rFonts w:ascii="Book Antiqua" w:hAnsi="Book Antiqua" w:cs="Times New Roman"/>
          <w:i/>
          <w:iCs/>
          <w:sz w:val="24"/>
          <w:szCs w:val="24"/>
          <w:lang w:val="sr-Latn-RS"/>
        </w:rPr>
        <w:t>T. viride</w:t>
      </w:r>
      <w:r>
        <w:rPr>
          <w:rFonts w:ascii="Book Antiqua" w:hAnsi="Book Antiqua" w:cs="Times New Roman"/>
          <w:sz w:val="24"/>
          <w:szCs w:val="24"/>
          <w:lang w:val="sr-Latn-RS"/>
        </w:rPr>
        <w:t xml:space="preserve"> ICC080 u procesu proizvodnje sadnog materijala. Najbolji efekti su primijećeni na korjenovom sistemu tretiranih biljaka koji su se manifestovali u vidu poboljšanja kvantitativno-kvalitativnih karakteristika korijena. Reznice koje su u procesu kalemljenja potapane u suspenziju preparata na bazi gljiva iz roda </w:t>
      </w:r>
      <w:r>
        <w:rPr>
          <w:rFonts w:ascii="Book Antiqua" w:hAnsi="Book Antiqua" w:cs="Times New Roman"/>
          <w:i/>
          <w:iCs/>
          <w:sz w:val="24"/>
          <w:szCs w:val="24"/>
          <w:lang w:val="sr-Latn-RS"/>
        </w:rPr>
        <w:t>Trichoderma</w:t>
      </w:r>
      <w:r>
        <w:rPr>
          <w:rFonts w:ascii="Book Antiqua" w:hAnsi="Book Antiqua" w:cs="Times New Roman"/>
          <w:sz w:val="24"/>
          <w:szCs w:val="24"/>
          <w:lang w:val="sr-Latn-RS"/>
        </w:rPr>
        <w:t xml:space="preserve"> imale su bolji razvoj korjenovih dlačica (</w:t>
      </w:r>
      <w:r>
        <w:rPr>
          <w:rFonts w:ascii="Book Antiqua" w:hAnsi="Book Antiqua" w:cs="Times New Roman"/>
          <w:b/>
          <w:bCs/>
          <w:sz w:val="24"/>
          <w:szCs w:val="24"/>
          <w:lang w:val="sr-Latn-RS"/>
        </w:rPr>
        <w:t>Di Marco et al., 2004</w:t>
      </w:r>
      <w:r>
        <w:rPr>
          <w:rFonts w:ascii="Book Antiqua" w:hAnsi="Book Antiqua" w:cs="Times New Roman"/>
          <w:sz w:val="24"/>
          <w:szCs w:val="24"/>
          <w:lang w:val="sr-Latn-RS"/>
        </w:rPr>
        <w:t xml:space="preserve">). </w:t>
      </w:r>
      <w:r>
        <w:rPr>
          <w:rFonts w:ascii="Book Antiqua" w:hAnsi="Book Antiqua" w:cs="Times New Roman"/>
          <w:b/>
          <w:bCs/>
          <w:sz w:val="24"/>
          <w:szCs w:val="24"/>
          <w:lang w:val="sr-Latn-RS"/>
        </w:rPr>
        <w:t>Mesina (1999)</w:t>
      </w:r>
      <w:r>
        <w:rPr>
          <w:rFonts w:ascii="Book Antiqua" w:hAnsi="Book Antiqua" w:cs="Times New Roman"/>
          <w:sz w:val="24"/>
          <w:szCs w:val="24"/>
          <w:lang w:val="sr-Latn-RS"/>
        </w:rPr>
        <w:t xml:space="preserve"> ukazuju da kalemovi vinove loze značajno brže i snažnije kalusiraju kada su tretirani gljivama iz roda </w:t>
      </w:r>
      <w:r>
        <w:rPr>
          <w:rFonts w:ascii="Book Antiqua" w:hAnsi="Book Antiqua" w:cs="Times New Roman"/>
          <w:i/>
          <w:iCs/>
          <w:sz w:val="24"/>
          <w:szCs w:val="24"/>
          <w:lang w:val="sr-Latn-RS"/>
        </w:rPr>
        <w:t>Trichoderma</w:t>
      </w:r>
      <w:r>
        <w:rPr>
          <w:rFonts w:ascii="Book Antiqua" w:hAnsi="Book Antiqua" w:cs="Times New Roman"/>
          <w:sz w:val="24"/>
          <w:szCs w:val="24"/>
          <w:lang w:val="sr-Latn-RS"/>
        </w:rPr>
        <w:t xml:space="preserve">. </w:t>
      </w:r>
    </w:p>
    <w:p w14:paraId="5BEE3013"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Primjena nanočestica srebra takođe ima značajan potencijal u suzbijanju patogena prouzrokovača eska oboljenja u rasadnicima. Njihov način djelovanja još uvijek nije u potpunosti razjašnjen, ali je poznato da utiču na strukturu i funkcije ćelijske membrane gljiva (</w:t>
      </w:r>
      <w:r>
        <w:rPr>
          <w:rFonts w:ascii="Book Antiqua" w:hAnsi="Book Antiqua" w:cs="Times New Roman"/>
          <w:b/>
          <w:bCs/>
          <w:sz w:val="24"/>
          <w:szCs w:val="24"/>
          <w:lang w:val="sr-Latn-RS"/>
        </w:rPr>
        <w:t>Del Frari et al., 2018</w:t>
      </w:r>
      <w:r>
        <w:rPr>
          <w:rFonts w:ascii="Book Antiqua" w:hAnsi="Book Antiqua" w:cs="Times New Roman"/>
          <w:sz w:val="24"/>
          <w:szCs w:val="24"/>
          <w:lang w:val="sr-Latn-RS"/>
        </w:rPr>
        <w:t xml:space="preserve">). Isti autori su u svom istraživanju, osim čestica elementarnog srebra, testirali i vodonik peroksid i glutardehid. Primjenom navedenih hemikalija putem endoterapije, glutardehid je redukovao kolonije </w:t>
      </w:r>
      <w:r>
        <w:rPr>
          <w:rFonts w:ascii="Book Antiqua" w:hAnsi="Book Antiqua" w:cs="Times New Roman"/>
          <w:i/>
          <w:iCs/>
          <w:sz w:val="24"/>
          <w:szCs w:val="24"/>
          <w:lang w:val="sr-Latn-RS"/>
        </w:rPr>
        <w:t>P. chlamydospora</w:t>
      </w:r>
      <w:r>
        <w:rPr>
          <w:rFonts w:ascii="Book Antiqua" w:hAnsi="Book Antiqua" w:cs="Times New Roman"/>
          <w:sz w:val="24"/>
          <w:szCs w:val="24"/>
          <w:lang w:val="sr-Latn-RS"/>
        </w:rPr>
        <w:t xml:space="preserve"> od 91-95%, vodonik peroksid 69-96%, i elementarno srebro 68-77%. Primjena ove metode nije moguća na starijim oboljelim biljkama jer je unutrašnja površina ksilema velika, drvo je gusto i u njega se ne mogu lako inkorporirati hemikalije. Za razliku od starijih biljaka vinove loze, endoterapija može imati mnogo više uspjeha kod sadnica vinove loze, jer je biljno tkivo značajno manjeg prečnika (</w:t>
      </w:r>
      <w:r>
        <w:rPr>
          <w:rFonts w:ascii="Book Antiqua" w:hAnsi="Book Antiqua" w:cs="Times New Roman"/>
          <w:b/>
          <w:bCs/>
          <w:sz w:val="24"/>
          <w:szCs w:val="24"/>
          <w:lang w:val="sr-Latn-RS"/>
        </w:rPr>
        <w:t>Del Frari et al., 2018</w:t>
      </w:r>
      <w:r>
        <w:rPr>
          <w:rFonts w:ascii="Book Antiqua" w:hAnsi="Book Antiqua" w:cs="Times New Roman"/>
          <w:sz w:val="24"/>
          <w:szCs w:val="24"/>
          <w:lang w:val="sr-Latn-RS"/>
        </w:rPr>
        <w:t xml:space="preserve">). </w:t>
      </w:r>
    </w:p>
    <w:p w14:paraId="5BB733E6" w14:textId="77777777" w:rsidR="007A71EF" w:rsidRDefault="007A71EF">
      <w:pPr>
        <w:tabs>
          <w:tab w:val="left" w:pos="3315"/>
        </w:tabs>
        <w:spacing w:line="360" w:lineRule="auto"/>
        <w:jc w:val="both"/>
        <w:rPr>
          <w:rFonts w:ascii="Book Antiqua" w:hAnsi="Book Antiqua" w:cs="Times New Roman"/>
          <w:sz w:val="24"/>
          <w:szCs w:val="24"/>
          <w:lang w:val="sr-Latn-RS"/>
        </w:rPr>
      </w:pPr>
    </w:p>
    <w:p w14:paraId="1E4EE715" w14:textId="77777777" w:rsidR="007A71EF" w:rsidRDefault="007A71EF">
      <w:pPr>
        <w:tabs>
          <w:tab w:val="left" w:pos="3315"/>
        </w:tabs>
        <w:spacing w:line="360" w:lineRule="auto"/>
        <w:jc w:val="both"/>
        <w:rPr>
          <w:rFonts w:ascii="Book Antiqua" w:hAnsi="Book Antiqua" w:cs="Times New Roman"/>
          <w:sz w:val="24"/>
          <w:szCs w:val="24"/>
          <w:lang w:val="sr-Latn-RS"/>
        </w:rPr>
      </w:pPr>
    </w:p>
    <w:p w14:paraId="5403D304" w14:textId="77777777" w:rsidR="003801E8" w:rsidRDefault="003801E8">
      <w:pPr>
        <w:tabs>
          <w:tab w:val="left" w:pos="3315"/>
        </w:tabs>
        <w:spacing w:line="360" w:lineRule="auto"/>
        <w:jc w:val="both"/>
        <w:rPr>
          <w:rFonts w:ascii="Book Antiqua" w:hAnsi="Book Antiqua" w:cs="Times New Roman"/>
          <w:sz w:val="24"/>
          <w:szCs w:val="24"/>
          <w:lang w:val="sr-Latn-RS"/>
        </w:rPr>
      </w:pPr>
    </w:p>
    <w:p w14:paraId="31C317BF" w14:textId="77777777" w:rsidR="003801E8" w:rsidRDefault="00E44AAE">
      <w:pPr>
        <w:tabs>
          <w:tab w:val="left" w:pos="3315"/>
        </w:tabs>
        <w:spacing w:line="360" w:lineRule="auto"/>
        <w:jc w:val="both"/>
        <w:rPr>
          <w:rFonts w:ascii="Book Antiqua" w:hAnsi="Book Antiqua" w:cs="Times New Roman"/>
          <w:b/>
          <w:bCs/>
          <w:sz w:val="24"/>
          <w:szCs w:val="24"/>
          <w:lang w:val="sr-Latn-RS"/>
        </w:rPr>
      </w:pPr>
      <w:r>
        <w:rPr>
          <w:rFonts w:ascii="Book Antiqua" w:hAnsi="Book Antiqua" w:cs="Times New Roman"/>
          <w:b/>
          <w:bCs/>
          <w:sz w:val="24"/>
          <w:szCs w:val="24"/>
          <w:lang w:val="sr-Latn-RS"/>
        </w:rPr>
        <w:lastRenderedPageBreak/>
        <w:t xml:space="preserve">IV MATERIJAL I METODE    </w:t>
      </w:r>
    </w:p>
    <w:p w14:paraId="2472C551" w14:textId="77777777" w:rsidR="003801E8" w:rsidRDefault="00E44AAE">
      <w:pPr>
        <w:tabs>
          <w:tab w:val="left" w:pos="3315"/>
        </w:tabs>
        <w:spacing w:line="360" w:lineRule="auto"/>
        <w:jc w:val="both"/>
        <w:rPr>
          <w:rFonts w:ascii="Book Antiqua" w:hAnsi="Book Antiqua" w:cs="Times New Roman"/>
          <w:b/>
          <w:bCs/>
          <w:sz w:val="24"/>
          <w:szCs w:val="24"/>
          <w:lang w:val="sr-Latn-RS"/>
        </w:rPr>
      </w:pPr>
      <w:r>
        <w:rPr>
          <w:rFonts w:ascii="Book Antiqua" w:hAnsi="Book Antiqua" w:cs="Times New Roman"/>
          <w:b/>
          <w:bCs/>
          <w:sz w:val="24"/>
          <w:szCs w:val="24"/>
          <w:lang w:val="sr-Latn-RS"/>
        </w:rPr>
        <w:t xml:space="preserve">4.1 </w:t>
      </w:r>
      <w:r>
        <w:rPr>
          <w:rFonts w:ascii="Book Antiqua" w:hAnsi="Book Antiqua" w:cs="Times New Roman"/>
          <w:b/>
          <w:bCs/>
          <w:iCs/>
          <w:sz w:val="24"/>
          <w:szCs w:val="24"/>
          <w:lang w:val="sr-Latn-RS"/>
        </w:rPr>
        <w:t>Monitoring</w:t>
      </w:r>
    </w:p>
    <w:p w14:paraId="6208807A"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lang w:val="sr-Latn-RS"/>
        </w:rPr>
        <w:t>Trogodi</w:t>
      </w:r>
      <w:r>
        <w:rPr>
          <w:rFonts w:ascii="Book Antiqua" w:hAnsi="Book Antiqua" w:cs="Times New Roman"/>
          <w:sz w:val="24"/>
          <w:szCs w:val="24"/>
        </w:rPr>
        <w:t>šnji monitoring</w:t>
      </w:r>
      <w:r>
        <w:rPr>
          <w:rFonts w:ascii="Book Antiqua" w:hAnsi="Book Antiqua" w:cs="Times New Roman"/>
          <w:sz w:val="24"/>
          <w:szCs w:val="24"/>
          <w:lang w:val="sr-Latn-RS"/>
        </w:rPr>
        <w:t xml:space="preserve"> je obavljen u periodu 2022-2024. godine, a obuhvatio je obilazak 30 vinograda na teritoriji Crne Gore. Istraživanjem su obuhvaćeni vinogradi razli</w:t>
      </w:r>
      <w:r>
        <w:rPr>
          <w:rFonts w:ascii="Book Antiqua" w:hAnsi="Book Antiqua" w:cs="Times New Roman"/>
          <w:sz w:val="24"/>
          <w:szCs w:val="24"/>
        </w:rPr>
        <w:t>čite starosti i sortimenta,</w:t>
      </w:r>
      <w:r>
        <w:rPr>
          <w:rFonts w:ascii="Book Antiqua" w:hAnsi="Book Antiqua" w:cs="Times New Roman"/>
          <w:sz w:val="24"/>
          <w:szCs w:val="24"/>
          <w:lang w:val="sr-Latn-RS"/>
        </w:rPr>
        <w:t xml:space="preserve"> a sprovedeno je u periodu najintenzivnije pojave simptoma (jun-septembar). Šest vinograda su klasifikovani u kategoriju mladih (starosti do 8 godina), a 24 u kategoriju starijih (starosti više od 8 godina). Takođe u okviru vinograda koji su svrstani u kategoriju starijih nalazili su se pojedini djelovi vinograda koji su mlađi od 8 godina. Od svih 30 pregledanih vinograda samo je u 6 vinograda bila zastupljena jedna sorta, iste starosti. Preostala 24 vinograda su zasnovana sa više sorti, različite starosti, koje su u vinogradu odvojene u zasebne parcele. </w:t>
      </w:r>
      <w:r>
        <w:rPr>
          <w:rFonts w:ascii="Book Antiqua" w:hAnsi="Book Antiqua" w:cs="Times New Roman"/>
          <w:sz w:val="24"/>
          <w:szCs w:val="24"/>
        </w:rPr>
        <w:t xml:space="preserve">Analiza varijanse (ANOVA) i Bonferonijeva metoda korekcije su korišćeni u cilju utvrđivanja statistički značajne razlike u osjetljivosti različitih sorti vinove loze prema eska oboljenju. Nivo statističke značajnosti je postavljen na p=0.05. </w:t>
      </w:r>
      <w:r>
        <w:rPr>
          <w:rFonts w:ascii="Book Antiqua" w:hAnsi="Book Antiqua" w:cs="Times New Roman"/>
          <w:sz w:val="24"/>
          <w:szCs w:val="24"/>
          <w:lang w:val="sr-Latn-RS"/>
        </w:rPr>
        <w:t xml:space="preserve">Podaci o pregledanim vinogradima su prikazani u tabeli 3. </w:t>
      </w:r>
    </w:p>
    <w:p w14:paraId="7B35B02B" w14:textId="77777777" w:rsidR="003801E8" w:rsidRDefault="00E44AAE">
      <w:pPr>
        <w:tabs>
          <w:tab w:val="left" w:pos="3315"/>
        </w:tabs>
        <w:spacing w:line="360" w:lineRule="auto"/>
        <w:jc w:val="both"/>
        <w:rPr>
          <w:rFonts w:ascii="Book Antiqua" w:hAnsi="Book Antiqua" w:cs="Times New Roman"/>
          <w:b/>
          <w:sz w:val="22"/>
          <w:szCs w:val="22"/>
        </w:rPr>
      </w:pPr>
      <w:r>
        <w:rPr>
          <w:rFonts w:ascii="Book Antiqua" w:hAnsi="Book Antiqua" w:cs="Times New Roman"/>
          <w:sz w:val="24"/>
          <w:szCs w:val="24"/>
          <w:lang w:val="sr-Latn-RS"/>
        </w:rPr>
        <w:t xml:space="preserve">U cilju utvrđivanja intenziteta zaraze eska oboljenja detaljno je pregledano 500 čokota (10 redova po 50 čokota) različitih sorti, različite starosti. Ukupno je pregledano 9.500 čokota u mladim, odnosno 34.500 čokota u starijim vinogradima. Prikupljeno je 40 uzoraka (čitav čokot ili dijelovi čokota): 4 uzorka iz mladih i 36 uzoraka iz starijih vinograda. Za dalji rad su prikupljeni uzorci sa sorti: Vranac (18 uzoraka), Kratošija (6 uzoraka), Afus ali (3 uzorka), Ribijer (2 uzorka), Kardinal (4 uzorka), Merlo (2 uzorka), Kabernet Souvignjon (2 uzorka), Krstač (1 uzorak), Čubrica (1 uzorak), Moldava (1 uzorak). Sedam uzoraka je uzeto sa čokota na kojima je bio prisutan apoplektičan oblik bolesti, a 33 uzorka sa čokota sa simptomima hroničnog oblika eska oboljenja. Takođe je uzeto i 10 uzoraka sa čokota koji nijesu pokazivali folijarne simptome bolesti, od čega 8 uzoraka iz mladih i 2 uzorka iz starijih vinograda. </w:t>
      </w:r>
    </w:p>
    <w:p w14:paraId="55B45862" w14:textId="77777777" w:rsidR="003801E8" w:rsidRDefault="00E44AAE">
      <w:pPr>
        <w:tabs>
          <w:tab w:val="left" w:pos="3315"/>
        </w:tabs>
        <w:spacing w:line="360" w:lineRule="auto"/>
        <w:jc w:val="both"/>
        <w:rPr>
          <w:rFonts w:ascii="Book Antiqua" w:hAnsi="Book Antiqua" w:cs="Times New Roman"/>
          <w:b/>
          <w:sz w:val="22"/>
          <w:szCs w:val="22"/>
        </w:rPr>
      </w:pPr>
      <w:r>
        <w:rPr>
          <w:rFonts w:ascii="Book Antiqua" w:hAnsi="Book Antiqua" w:cs="Times New Roman"/>
          <w:b/>
          <w:sz w:val="22"/>
          <w:szCs w:val="22"/>
        </w:rPr>
        <w:lastRenderedPageBreak/>
        <w:t>Tabela 3.</w:t>
      </w:r>
      <w:r>
        <w:rPr>
          <w:rFonts w:ascii="Book Antiqua" w:hAnsi="Book Antiqua" w:cs="Times New Roman"/>
          <w:sz w:val="22"/>
          <w:szCs w:val="22"/>
        </w:rPr>
        <w:t xml:space="preserve"> Lokaliteti pregledanih vinograda u periodu 2022-2024. godina</w:t>
      </w:r>
    </w:p>
    <w:tbl>
      <w:tblPr>
        <w:tblStyle w:val="PlainTable210"/>
        <w:tblW w:w="8550" w:type="dxa"/>
        <w:tblLook w:val="04A0" w:firstRow="1" w:lastRow="0" w:firstColumn="1" w:lastColumn="0" w:noHBand="0" w:noVBand="1"/>
      </w:tblPr>
      <w:tblGrid>
        <w:gridCol w:w="2250"/>
        <w:gridCol w:w="3150"/>
        <w:gridCol w:w="3150"/>
      </w:tblGrid>
      <w:tr w:rsidR="003801E8" w14:paraId="57F677AC" w14:textId="77777777" w:rsidTr="003801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tcPr>
          <w:p w14:paraId="02AF7DB3"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Lokalitet</w:t>
            </w:r>
          </w:p>
        </w:tc>
        <w:tc>
          <w:tcPr>
            <w:tcW w:w="3150" w:type="dxa"/>
          </w:tcPr>
          <w:p w14:paraId="2175E431" w14:textId="77777777" w:rsidR="003801E8" w:rsidRDefault="00E44AAE">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b w:val="0"/>
                <w:bCs w:val="0"/>
                <w:sz w:val="18"/>
                <w:szCs w:val="18"/>
              </w:rPr>
            </w:pPr>
            <w:r>
              <w:rPr>
                <w:rFonts w:ascii="Book Antiqua" w:hAnsi="Book Antiqua" w:cs="Times New Roman"/>
                <w:sz w:val="18"/>
                <w:szCs w:val="18"/>
              </w:rPr>
              <w:t>Koordinate</w:t>
            </w:r>
          </w:p>
        </w:tc>
        <w:tc>
          <w:tcPr>
            <w:tcW w:w="3150" w:type="dxa"/>
          </w:tcPr>
          <w:p w14:paraId="42BFED11" w14:textId="77777777" w:rsidR="003801E8" w:rsidRDefault="00E44AAE">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b w:val="0"/>
                <w:bCs w:val="0"/>
                <w:sz w:val="18"/>
                <w:szCs w:val="18"/>
              </w:rPr>
            </w:pPr>
            <w:r>
              <w:rPr>
                <w:rFonts w:ascii="Book Antiqua" w:hAnsi="Book Antiqua" w:cs="Times New Roman"/>
                <w:sz w:val="18"/>
                <w:szCs w:val="18"/>
              </w:rPr>
              <w:t>Vinogradarski region</w:t>
            </w:r>
          </w:p>
        </w:tc>
      </w:tr>
      <w:tr w:rsidR="003801E8" w14:paraId="569A2ACE"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2559DACD"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Vuksanlekić</w:t>
            </w:r>
          </w:p>
        </w:tc>
        <w:tc>
          <w:tcPr>
            <w:tcW w:w="3150" w:type="dxa"/>
            <w:tcBorders>
              <w:top w:val="single" w:sz="4" w:space="0" w:color="7F7F7F" w:themeColor="text1" w:themeTint="80"/>
              <w:bottom w:val="single" w:sz="4" w:space="0" w:color="7F7F7F" w:themeColor="text1" w:themeTint="80"/>
            </w:tcBorders>
          </w:tcPr>
          <w:p w14:paraId="032BB1BC"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20</w:t>
            </w:r>
            <w:r>
              <w:rPr>
                <w:rFonts w:ascii="Book Antiqua" w:hAnsi="Book Antiqua" w:cs="Book Antiqua"/>
                <w:sz w:val="18"/>
                <w:szCs w:val="18"/>
              </w:rPr>
              <w:t>΄</w:t>
            </w:r>
            <w:r>
              <w:rPr>
                <w:rFonts w:ascii="Book Antiqua" w:hAnsi="Book Antiqua" w:cs="Times New Roman"/>
                <w:sz w:val="18"/>
                <w:szCs w:val="18"/>
              </w:rPr>
              <w:t xml:space="preserve"> 46</w:t>
            </w:r>
            <w:r>
              <w:rPr>
                <w:rFonts w:ascii="Book Antiqua" w:hAnsi="Book Antiqua" w:cs="Book Antiqua"/>
                <w:sz w:val="18"/>
                <w:szCs w:val="18"/>
              </w:rPr>
              <w:t>΄΄</w:t>
            </w:r>
            <w:r>
              <w:rPr>
                <w:rFonts w:ascii="Book Antiqua" w:hAnsi="Book Antiqua" w:cs="Times New Roman"/>
                <w:sz w:val="18"/>
                <w:szCs w:val="18"/>
              </w:rPr>
              <w:t xml:space="preserve"> N  19°20</w:t>
            </w:r>
            <w:r>
              <w:rPr>
                <w:rFonts w:ascii="Book Antiqua" w:hAnsi="Book Antiqua" w:cs="Book Antiqua"/>
                <w:sz w:val="18"/>
                <w:szCs w:val="18"/>
              </w:rPr>
              <w:t>΄</w:t>
            </w:r>
            <w:r>
              <w:rPr>
                <w:rFonts w:ascii="Book Antiqua" w:hAnsi="Book Antiqua" w:cs="Times New Roman"/>
                <w:sz w:val="18"/>
                <w:szCs w:val="18"/>
              </w:rPr>
              <w:t xml:space="preserve"> 18</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3E4E22CF"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0099FBBF"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7368F5E0"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Vuksanlekić</w:t>
            </w:r>
          </w:p>
        </w:tc>
        <w:tc>
          <w:tcPr>
            <w:tcW w:w="3150" w:type="dxa"/>
          </w:tcPr>
          <w:p w14:paraId="1CAD98CD"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20</w:t>
            </w:r>
            <w:r>
              <w:rPr>
                <w:rFonts w:ascii="Book Antiqua" w:hAnsi="Book Antiqua" w:cs="Book Antiqua"/>
                <w:sz w:val="18"/>
                <w:szCs w:val="18"/>
              </w:rPr>
              <w:t>΄</w:t>
            </w:r>
            <w:r>
              <w:rPr>
                <w:rFonts w:ascii="Book Antiqua" w:hAnsi="Book Antiqua" w:cs="Times New Roman"/>
                <w:sz w:val="18"/>
                <w:szCs w:val="18"/>
              </w:rPr>
              <w:t xml:space="preserve"> 14</w:t>
            </w:r>
            <w:r>
              <w:rPr>
                <w:rFonts w:ascii="Book Antiqua" w:hAnsi="Book Antiqua" w:cs="Book Antiqua"/>
                <w:sz w:val="18"/>
                <w:szCs w:val="18"/>
              </w:rPr>
              <w:t>΄΄</w:t>
            </w:r>
            <w:r>
              <w:rPr>
                <w:rFonts w:ascii="Book Antiqua" w:hAnsi="Book Antiqua" w:cs="Times New Roman"/>
                <w:sz w:val="18"/>
                <w:szCs w:val="18"/>
              </w:rPr>
              <w:t xml:space="preserve"> N  19°20</w:t>
            </w:r>
            <w:r>
              <w:rPr>
                <w:rFonts w:ascii="Book Antiqua" w:hAnsi="Book Antiqua" w:cs="Book Antiqua"/>
                <w:sz w:val="18"/>
                <w:szCs w:val="18"/>
              </w:rPr>
              <w:t>΄</w:t>
            </w:r>
            <w:r>
              <w:rPr>
                <w:rFonts w:ascii="Book Antiqua" w:hAnsi="Book Antiqua" w:cs="Times New Roman"/>
                <w:sz w:val="18"/>
                <w:szCs w:val="18"/>
              </w:rPr>
              <w:t xml:space="preserve"> 20</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4ACB9EDA"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1102A77C"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2E5B8D1A"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Martinići</w:t>
            </w:r>
          </w:p>
        </w:tc>
        <w:tc>
          <w:tcPr>
            <w:tcW w:w="3150" w:type="dxa"/>
            <w:tcBorders>
              <w:top w:val="single" w:sz="4" w:space="0" w:color="7F7F7F" w:themeColor="text1" w:themeTint="80"/>
              <w:bottom w:val="single" w:sz="4" w:space="0" w:color="7F7F7F" w:themeColor="text1" w:themeTint="80"/>
            </w:tcBorders>
          </w:tcPr>
          <w:p w14:paraId="0940F990"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33</w:t>
            </w:r>
            <w:r>
              <w:rPr>
                <w:rFonts w:ascii="Book Antiqua" w:hAnsi="Book Antiqua" w:cs="Book Antiqua"/>
                <w:sz w:val="18"/>
                <w:szCs w:val="18"/>
              </w:rPr>
              <w:t>΄</w:t>
            </w:r>
            <w:r>
              <w:rPr>
                <w:rFonts w:ascii="Book Antiqua" w:hAnsi="Book Antiqua" w:cs="Times New Roman"/>
                <w:sz w:val="18"/>
                <w:szCs w:val="18"/>
              </w:rPr>
              <w:t xml:space="preserve"> 28</w:t>
            </w:r>
            <w:r>
              <w:rPr>
                <w:rFonts w:ascii="Book Antiqua" w:hAnsi="Book Antiqua" w:cs="Book Antiqua"/>
                <w:sz w:val="18"/>
                <w:szCs w:val="18"/>
              </w:rPr>
              <w:t>΄΄</w:t>
            </w:r>
            <w:r>
              <w:rPr>
                <w:rFonts w:ascii="Book Antiqua" w:hAnsi="Book Antiqua" w:cs="Times New Roman"/>
                <w:sz w:val="18"/>
                <w:szCs w:val="18"/>
              </w:rPr>
              <w:t xml:space="preserve"> N  19°09</w:t>
            </w:r>
            <w:r>
              <w:rPr>
                <w:rFonts w:ascii="Book Antiqua" w:hAnsi="Book Antiqua" w:cs="Book Antiqua"/>
                <w:sz w:val="18"/>
                <w:szCs w:val="18"/>
              </w:rPr>
              <w:t>΄</w:t>
            </w:r>
            <w:r>
              <w:rPr>
                <w:rFonts w:ascii="Book Antiqua" w:hAnsi="Book Antiqua" w:cs="Times New Roman"/>
                <w:sz w:val="18"/>
                <w:szCs w:val="18"/>
              </w:rPr>
              <w:t xml:space="preserve"> 21</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1CB2C37F"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1C857825"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2DDFEEB1"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Sutomore</w:t>
            </w:r>
          </w:p>
        </w:tc>
        <w:tc>
          <w:tcPr>
            <w:tcW w:w="3150" w:type="dxa"/>
          </w:tcPr>
          <w:p w14:paraId="02D4C5B2"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09</w:t>
            </w:r>
            <w:r>
              <w:rPr>
                <w:rFonts w:ascii="Book Antiqua" w:hAnsi="Book Antiqua" w:cs="Book Antiqua"/>
                <w:sz w:val="18"/>
                <w:szCs w:val="18"/>
              </w:rPr>
              <w:t>΄</w:t>
            </w:r>
            <w:r>
              <w:rPr>
                <w:rFonts w:ascii="Book Antiqua" w:hAnsi="Book Antiqua" w:cs="Times New Roman"/>
                <w:sz w:val="18"/>
                <w:szCs w:val="18"/>
              </w:rPr>
              <w:t xml:space="preserve"> 20</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01</w:t>
            </w:r>
            <w:r>
              <w:rPr>
                <w:rFonts w:ascii="Book Antiqua" w:hAnsi="Book Antiqua" w:cs="Book Antiqua"/>
                <w:sz w:val="18"/>
                <w:szCs w:val="18"/>
              </w:rPr>
              <w:t>΄</w:t>
            </w:r>
            <w:r>
              <w:rPr>
                <w:rFonts w:ascii="Book Antiqua" w:hAnsi="Book Antiqua" w:cs="Times New Roman"/>
                <w:sz w:val="18"/>
                <w:szCs w:val="18"/>
              </w:rPr>
              <w:t xml:space="preserve"> 56</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37B10123"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Crnogorsko primorje</w:t>
            </w:r>
          </w:p>
        </w:tc>
      </w:tr>
      <w:tr w:rsidR="003801E8" w14:paraId="7BE07601"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475EDCC3"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Gluhi do</w:t>
            </w:r>
          </w:p>
        </w:tc>
        <w:tc>
          <w:tcPr>
            <w:tcW w:w="3150" w:type="dxa"/>
            <w:tcBorders>
              <w:top w:val="single" w:sz="4" w:space="0" w:color="7F7F7F" w:themeColor="text1" w:themeTint="80"/>
              <w:bottom w:val="single" w:sz="4" w:space="0" w:color="7F7F7F" w:themeColor="text1" w:themeTint="80"/>
            </w:tcBorders>
          </w:tcPr>
          <w:p w14:paraId="1D47FCF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12</w:t>
            </w:r>
            <w:r>
              <w:rPr>
                <w:rFonts w:ascii="Book Antiqua" w:hAnsi="Book Antiqua" w:cs="Book Antiqua"/>
                <w:sz w:val="18"/>
                <w:szCs w:val="18"/>
              </w:rPr>
              <w:t>΄</w:t>
            </w:r>
            <w:r>
              <w:rPr>
                <w:rFonts w:ascii="Book Antiqua" w:hAnsi="Book Antiqua" w:cs="Times New Roman"/>
                <w:sz w:val="18"/>
                <w:szCs w:val="18"/>
              </w:rPr>
              <w:t xml:space="preserve"> 13</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03</w:t>
            </w:r>
            <w:r>
              <w:rPr>
                <w:rFonts w:ascii="Book Antiqua" w:hAnsi="Book Antiqua" w:cs="Book Antiqua"/>
                <w:sz w:val="18"/>
                <w:szCs w:val="18"/>
              </w:rPr>
              <w:t>΄</w:t>
            </w:r>
            <w:r>
              <w:rPr>
                <w:rFonts w:ascii="Book Antiqua" w:hAnsi="Book Antiqua" w:cs="Times New Roman"/>
                <w:sz w:val="18"/>
                <w:szCs w:val="18"/>
              </w:rPr>
              <w:t xml:space="preserve"> 30</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6DC00DDB"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6532EDDA"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6D1BF07B"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Godinje</w:t>
            </w:r>
          </w:p>
        </w:tc>
        <w:tc>
          <w:tcPr>
            <w:tcW w:w="3150" w:type="dxa"/>
          </w:tcPr>
          <w:p w14:paraId="63E5A314"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13</w:t>
            </w:r>
            <w:r>
              <w:rPr>
                <w:rFonts w:ascii="Book Antiqua" w:hAnsi="Book Antiqua" w:cs="Book Antiqua"/>
                <w:sz w:val="18"/>
                <w:szCs w:val="18"/>
              </w:rPr>
              <w:t>΄</w:t>
            </w:r>
            <w:r>
              <w:rPr>
                <w:rFonts w:ascii="Book Antiqua" w:hAnsi="Book Antiqua" w:cs="Times New Roman"/>
                <w:sz w:val="18"/>
                <w:szCs w:val="18"/>
              </w:rPr>
              <w:t xml:space="preserve"> 24</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06</w:t>
            </w:r>
            <w:r>
              <w:rPr>
                <w:rFonts w:ascii="Book Antiqua" w:hAnsi="Book Antiqua" w:cs="Book Antiqua"/>
                <w:sz w:val="18"/>
                <w:szCs w:val="18"/>
              </w:rPr>
              <w:t>΄</w:t>
            </w:r>
            <w:r>
              <w:rPr>
                <w:rFonts w:ascii="Book Antiqua" w:hAnsi="Book Antiqua" w:cs="Times New Roman"/>
                <w:sz w:val="18"/>
                <w:szCs w:val="18"/>
              </w:rPr>
              <w:t xml:space="preserve"> 31</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7BAE34F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29D5A81E"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6DDBA36D"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Mataguži</w:t>
            </w:r>
          </w:p>
        </w:tc>
        <w:tc>
          <w:tcPr>
            <w:tcW w:w="3150" w:type="dxa"/>
            <w:tcBorders>
              <w:top w:val="single" w:sz="4" w:space="0" w:color="7F7F7F" w:themeColor="text1" w:themeTint="80"/>
              <w:bottom w:val="single" w:sz="4" w:space="0" w:color="7F7F7F" w:themeColor="text1" w:themeTint="80"/>
            </w:tcBorders>
          </w:tcPr>
          <w:p w14:paraId="1E1987A2"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19</w:t>
            </w:r>
            <w:r>
              <w:rPr>
                <w:rFonts w:ascii="Book Antiqua" w:hAnsi="Book Antiqua" w:cs="Book Antiqua"/>
                <w:sz w:val="18"/>
                <w:szCs w:val="18"/>
              </w:rPr>
              <w:t>΄</w:t>
            </w:r>
            <w:r>
              <w:rPr>
                <w:rFonts w:ascii="Book Antiqua" w:hAnsi="Book Antiqua" w:cs="Times New Roman"/>
                <w:sz w:val="18"/>
                <w:szCs w:val="18"/>
              </w:rPr>
              <w:t xml:space="preserve"> 30</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17</w:t>
            </w:r>
            <w:r>
              <w:rPr>
                <w:rFonts w:ascii="Book Antiqua" w:hAnsi="Book Antiqua" w:cs="Book Antiqua"/>
                <w:sz w:val="18"/>
                <w:szCs w:val="18"/>
              </w:rPr>
              <w:t>΄</w:t>
            </w:r>
            <w:r>
              <w:rPr>
                <w:rFonts w:ascii="Book Antiqua" w:hAnsi="Book Antiqua" w:cs="Times New Roman"/>
                <w:sz w:val="18"/>
                <w:szCs w:val="18"/>
              </w:rPr>
              <w:t xml:space="preserve"> 01</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54750F38"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456E137F"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049F5966"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Beri</w:t>
            </w:r>
          </w:p>
        </w:tc>
        <w:tc>
          <w:tcPr>
            <w:tcW w:w="3150" w:type="dxa"/>
          </w:tcPr>
          <w:p w14:paraId="70355101"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26</w:t>
            </w:r>
            <w:r>
              <w:rPr>
                <w:rFonts w:ascii="Book Antiqua" w:hAnsi="Book Antiqua" w:cs="Book Antiqua"/>
                <w:sz w:val="18"/>
                <w:szCs w:val="18"/>
              </w:rPr>
              <w:t>΄</w:t>
            </w:r>
            <w:r>
              <w:rPr>
                <w:rFonts w:ascii="Book Antiqua" w:hAnsi="Book Antiqua" w:cs="Times New Roman"/>
                <w:sz w:val="18"/>
                <w:szCs w:val="18"/>
              </w:rPr>
              <w:t xml:space="preserve"> 11</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10</w:t>
            </w:r>
            <w:r>
              <w:rPr>
                <w:rFonts w:ascii="Book Antiqua" w:hAnsi="Book Antiqua" w:cs="Book Antiqua"/>
                <w:sz w:val="18"/>
                <w:szCs w:val="18"/>
              </w:rPr>
              <w:t>΄</w:t>
            </w:r>
            <w:r>
              <w:rPr>
                <w:rFonts w:ascii="Book Antiqua" w:hAnsi="Book Antiqua" w:cs="Times New Roman"/>
                <w:sz w:val="18"/>
                <w:szCs w:val="18"/>
              </w:rPr>
              <w:t xml:space="preserve"> 21</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487180FC"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57FE14D0"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2AEEC1B6"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Savina</w:t>
            </w:r>
          </w:p>
        </w:tc>
        <w:tc>
          <w:tcPr>
            <w:tcW w:w="3150" w:type="dxa"/>
            <w:tcBorders>
              <w:top w:val="single" w:sz="4" w:space="0" w:color="7F7F7F" w:themeColor="text1" w:themeTint="80"/>
              <w:bottom w:val="single" w:sz="4" w:space="0" w:color="7F7F7F" w:themeColor="text1" w:themeTint="80"/>
            </w:tcBorders>
          </w:tcPr>
          <w:p w14:paraId="248A1D0A"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27</w:t>
            </w:r>
            <w:r>
              <w:rPr>
                <w:rFonts w:ascii="Book Antiqua" w:hAnsi="Book Antiqua" w:cs="Book Antiqua"/>
                <w:sz w:val="18"/>
                <w:szCs w:val="18"/>
              </w:rPr>
              <w:t>΄</w:t>
            </w:r>
            <w:r>
              <w:rPr>
                <w:rFonts w:ascii="Book Antiqua" w:hAnsi="Book Antiqua" w:cs="Times New Roman"/>
                <w:sz w:val="18"/>
                <w:szCs w:val="18"/>
              </w:rPr>
              <w:t xml:space="preserve"> 10</w:t>
            </w:r>
            <w:r>
              <w:rPr>
                <w:rFonts w:ascii="Book Antiqua" w:hAnsi="Book Antiqua" w:cs="Book Antiqua"/>
                <w:sz w:val="18"/>
                <w:szCs w:val="18"/>
              </w:rPr>
              <w:t>΄΄</w:t>
            </w:r>
            <w:r>
              <w:rPr>
                <w:rFonts w:ascii="Book Antiqua" w:hAnsi="Book Antiqua" w:cs="Times New Roman"/>
                <w:sz w:val="18"/>
                <w:szCs w:val="18"/>
              </w:rPr>
              <w:t xml:space="preserve"> N  18 </w:t>
            </w:r>
            <w:r>
              <w:rPr>
                <w:rFonts w:ascii="Times New Roman" w:hAnsi="Times New Roman" w:cs="Times New Roman"/>
                <w:sz w:val="18"/>
                <w:szCs w:val="18"/>
              </w:rPr>
              <w:t>ͦ</w:t>
            </w:r>
            <w:r>
              <w:rPr>
                <w:rFonts w:ascii="Book Antiqua" w:hAnsi="Book Antiqua" w:cs="Times New Roman"/>
                <w:sz w:val="18"/>
                <w:szCs w:val="18"/>
              </w:rPr>
              <w:t xml:space="preserve"> 33</w:t>
            </w:r>
            <w:r>
              <w:rPr>
                <w:rFonts w:ascii="Book Antiqua" w:hAnsi="Book Antiqua" w:cs="Book Antiqua"/>
                <w:sz w:val="18"/>
                <w:szCs w:val="18"/>
              </w:rPr>
              <w:t>΄</w:t>
            </w:r>
            <w:r>
              <w:rPr>
                <w:rFonts w:ascii="Book Antiqua" w:hAnsi="Book Antiqua" w:cs="Times New Roman"/>
                <w:sz w:val="18"/>
                <w:szCs w:val="18"/>
              </w:rPr>
              <w:t xml:space="preserve"> 01</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6188CBC4"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Crnogorsko primorje</w:t>
            </w:r>
          </w:p>
        </w:tc>
      </w:tr>
      <w:tr w:rsidR="003801E8" w14:paraId="259B4A60"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49715E02"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Nudo</w:t>
            </w:r>
          </w:p>
        </w:tc>
        <w:tc>
          <w:tcPr>
            <w:tcW w:w="3150" w:type="dxa"/>
          </w:tcPr>
          <w:p w14:paraId="1D30428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40</w:t>
            </w:r>
            <w:r>
              <w:rPr>
                <w:rFonts w:ascii="Book Antiqua" w:hAnsi="Book Antiqua" w:cs="Book Antiqua"/>
                <w:sz w:val="18"/>
                <w:szCs w:val="18"/>
              </w:rPr>
              <w:t>΄</w:t>
            </w:r>
            <w:r>
              <w:rPr>
                <w:rFonts w:ascii="Book Antiqua" w:hAnsi="Book Antiqua" w:cs="Times New Roman"/>
                <w:sz w:val="18"/>
                <w:szCs w:val="18"/>
              </w:rPr>
              <w:t xml:space="preserve"> 16</w:t>
            </w:r>
            <w:r>
              <w:rPr>
                <w:rFonts w:ascii="Book Antiqua" w:hAnsi="Book Antiqua" w:cs="Book Antiqua"/>
                <w:sz w:val="18"/>
                <w:szCs w:val="18"/>
              </w:rPr>
              <w:t>΄΄</w:t>
            </w:r>
            <w:r>
              <w:rPr>
                <w:rFonts w:ascii="Book Antiqua" w:hAnsi="Book Antiqua" w:cs="Times New Roman"/>
                <w:sz w:val="18"/>
                <w:szCs w:val="18"/>
              </w:rPr>
              <w:t xml:space="preserve"> N  18 </w:t>
            </w:r>
            <w:r>
              <w:rPr>
                <w:rFonts w:ascii="Times New Roman" w:hAnsi="Times New Roman" w:cs="Times New Roman"/>
                <w:sz w:val="18"/>
                <w:szCs w:val="18"/>
              </w:rPr>
              <w:t>ͦ</w:t>
            </w:r>
            <w:r>
              <w:rPr>
                <w:rFonts w:ascii="Book Antiqua" w:hAnsi="Book Antiqua" w:cs="Times New Roman"/>
                <w:sz w:val="18"/>
                <w:szCs w:val="18"/>
              </w:rPr>
              <w:t xml:space="preserve"> 34</w:t>
            </w:r>
            <w:r>
              <w:rPr>
                <w:rFonts w:ascii="Book Antiqua" w:hAnsi="Book Antiqua" w:cs="Book Antiqua"/>
                <w:sz w:val="18"/>
                <w:szCs w:val="18"/>
              </w:rPr>
              <w:t>΄</w:t>
            </w:r>
            <w:r>
              <w:rPr>
                <w:rFonts w:ascii="Book Antiqua" w:hAnsi="Book Antiqua" w:cs="Times New Roman"/>
                <w:sz w:val="18"/>
                <w:szCs w:val="18"/>
              </w:rPr>
              <w:t xml:space="preserve"> 38</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5F74F9AD"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Nudo</w:t>
            </w:r>
          </w:p>
        </w:tc>
      </w:tr>
      <w:tr w:rsidR="003801E8" w14:paraId="2A38BDB6"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51810743"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Župa Dobrska</w:t>
            </w:r>
          </w:p>
        </w:tc>
        <w:tc>
          <w:tcPr>
            <w:tcW w:w="3150" w:type="dxa"/>
            <w:tcBorders>
              <w:top w:val="single" w:sz="4" w:space="0" w:color="7F7F7F" w:themeColor="text1" w:themeTint="80"/>
              <w:bottom w:val="single" w:sz="4" w:space="0" w:color="7F7F7F" w:themeColor="text1" w:themeTint="80"/>
            </w:tcBorders>
          </w:tcPr>
          <w:p w14:paraId="5E006CA1"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22΄ 32΄΄ N  18 </w:t>
            </w:r>
            <w:r>
              <w:rPr>
                <w:rFonts w:ascii="Times New Roman" w:hAnsi="Times New Roman" w:cs="Times New Roman"/>
                <w:sz w:val="18"/>
                <w:szCs w:val="18"/>
              </w:rPr>
              <w:t>ͦ</w:t>
            </w:r>
            <w:r>
              <w:rPr>
                <w:rFonts w:ascii="Book Antiqua" w:hAnsi="Book Antiqua" w:cs="Times New Roman"/>
                <w:sz w:val="18"/>
                <w:szCs w:val="18"/>
              </w:rPr>
              <w:t xml:space="preserve"> 58</w:t>
            </w:r>
            <w:r>
              <w:rPr>
                <w:rFonts w:ascii="Book Antiqua" w:hAnsi="Book Antiqua" w:cs="Book Antiqua"/>
                <w:sz w:val="18"/>
                <w:szCs w:val="18"/>
              </w:rPr>
              <w:t>΄</w:t>
            </w:r>
            <w:r>
              <w:rPr>
                <w:rFonts w:ascii="Book Antiqua" w:hAnsi="Book Antiqua" w:cs="Times New Roman"/>
                <w:sz w:val="18"/>
                <w:szCs w:val="18"/>
              </w:rPr>
              <w:t xml:space="preserve"> 09</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51544DC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4657BE7C"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5DD2B09A"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Briska Gora</w:t>
            </w:r>
          </w:p>
        </w:tc>
        <w:tc>
          <w:tcPr>
            <w:tcW w:w="3150" w:type="dxa"/>
          </w:tcPr>
          <w:p w14:paraId="76CDFAB4"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41 </w:t>
            </w:r>
            <w:r>
              <w:rPr>
                <w:rFonts w:ascii="Times New Roman" w:hAnsi="Times New Roman" w:cs="Times New Roman"/>
                <w:sz w:val="18"/>
                <w:szCs w:val="18"/>
              </w:rPr>
              <w:t>ͦ</w:t>
            </w:r>
            <w:r>
              <w:rPr>
                <w:rFonts w:ascii="Book Antiqua" w:hAnsi="Book Antiqua" w:cs="Times New Roman"/>
                <w:sz w:val="18"/>
                <w:szCs w:val="18"/>
              </w:rPr>
              <w:t xml:space="preserve"> 57</w:t>
            </w:r>
            <w:r>
              <w:rPr>
                <w:rFonts w:ascii="Book Antiqua" w:hAnsi="Book Antiqua" w:cs="Book Antiqua"/>
                <w:sz w:val="18"/>
                <w:szCs w:val="18"/>
              </w:rPr>
              <w:t>΄</w:t>
            </w:r>
            <w:r>
              <w:rPr>
                <w:rFonts w:ascii="Book Antiqua" w:hAnsi="Book Antiqua" w:cs="Times New Roman"/>
                <w:sz w:val="18"/>
                <w:szCs w:val="18"/>
              </w:rPr>
              <w:t xml:space="preserve"> 11</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18</w:t>
            </w:r>
            <w:r>
              <w:rPr>
                <w:rFonts w:ascii="Book Antiqua" w:hAnsi="Book Antiqua" w:cs="Book Antiqua"/>
                <w:sz w:val="18"/>
                <w:szCs w:val="18"/>
              </w:rPr>
              <w:t>΄</w:t>
            </w:r>
            <w:r>
              <w:rPr>
                <w:rFonts w:ascii="Book Antiqua" w:hAnsi="Book Antiqua" w:cs="Times New Roman"/>
                <w:sz w:val="18"/>
                <w:szCs w:val="18"/>
              </w:rPr>
              <w:t xml:space="preserve"> 17</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5717C7C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Crnogorsko primorje</w:t>
            </w:r>
          </w:p>
        </w:tc>
      </w:tr>
      <w:tr w:rsidR="003801E8" w14:paraId="04D7BC80"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2F3386CC"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Beri</w:t>
            </w:r>
          </w:p>
        </w:tc>
        <w:tc>
          <w:tcPr>
            <w:tcW w:w="3150" w:type="dxa"/>
            <w:tcBorders>
              <w:top w:val="single" w:sz="4" w:space="0" w:color="7F7F7F" w:themeColor="text1" w:themeTint="80"/>
              <w:bottom w:val="single" w:sz="4" w:space="0" w:color="7F7F7F" w:themeColor="text1" w:themeTint="80"/>
            </w:tcBorders>
          </w:tcPr>
          <w:p w14:paraId="66C6FB3A"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26</w:t>
            </w:r>
            <w:r>
              <w:rPr>
                <w:rFonts w:ascii="Book Antiqua" w:hAnsi="Book Antiqua" w:cs="Book Antiqua"/>
                <w:sz w:val="18"/>
                <w:szCs w:val="18"/>
              </w:rPr>
              <w:t>΄</w:t>
            </w:r>
            <w:r>
              <w:rPr>
                <w:rFonts w:ascii="Book Antiqua" w:hAnsi="Book Antiqua" w:cs="Times New Roman"/>
                <w:sz w:val="18"/>
                <w:szCs w:val="18"/>
              </w:rPr>
              <w:t xml:space="preserve"> 05</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11</w:t>
            </w:r>
            <w:r>
              <w:rPr>
                <w:rFonts w:ascii="Book Antiqua" w:hAnsi="Book Antiqua" w:cs="Book Antiqua"/>
                <w:sz w:val="18"/>
                <w:szCs w:val="18"/>
              </w:rPr>
              <w:t>΄</w:t>
            </w:r>
            <w:r>
              <w:rPr>
                <w:rFonts w:ascii="Book Antiqua" w:hAnsi="Book Antiqua" w:cs="Times New Roman"/>
                <w:sz w:val="18"/>
                <w:szCs w:val="18"/>
              </w:rPr>
              <w:t xml:space="preserve"> 00</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7AA0C5F8"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7DA991D9"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63672249"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Golubovci</w:t>
            </w:r>
          </w:p>
        </w:tc>
        <w:tc>
          <w:tcPr>
            <w:tcW w:w="3150" w:type="dxa"/>
          </w:tcPr>
          <w:p w14:paraId="069B35AC"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20</w:t>
            </w:r>
            <w:r>
              <w:rPr>
                <w:rFonts w:ascii="Book Antiqua" w:hAnsi="Book Antiqua" w:cs="Book Antiqua"/>
                <w:sz w:val="18"/>
                <w:szCs w:val="18"/>
              </w:rPr>
              <w:t>΄</w:t>
            </w:r>
            <w:r>
              <w:rPr>
                <w:rFonts w:ascii="Book Antiqua" w:hAnsi="Book Antiqua" w:cs="Times New Roman"/>
                <w:sz w:val="18"/>
                <w:szCs w:val="18"/>
              </w:rPr>
              <w:t xml:space="preserve"> 03</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15</w:t>
            </w:r>
            <w:r>
              <w:rPr>
                <w:rFonts w:ascii="Book Antiqua" w:hAnsi="Book Antiqua" w:cs="Book Antiqua"/>
                <w:sz w:val="18"/>
                <w:szCs w:val="18"/>
              </w:rPr>
              <w:t>΄</w:t>
            </w:r>
            <w:r>
              <w:rPr>
                <w:rFonts w:ascii="Book Antiqua" w:hAnsi="Book Antiqua" w:cs="Times New Roman"/>
                <w:sz w:val="18"/>
                <w:szCs w:val="18"/>
              </w:rPr>
              <w:t xml:space="preserve"> 20</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0B66B13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105302AD"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6D4D303C"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Golubovci</w:t>
            </w:r>
          </w:p>
        </w:tc>
        <w:tc>
          <w:tcPr>
            <w:tcW w:w="3150" w:type="dxa"/>
            <w:tcBorders>
              <w:top w:val="single" w:sz="4" w:space="0" w:color="7F7F7F" w:themeColor="text1" w:themeTint="80"/>
              <w:bottom w:val="single" w:sz="4" w:space="0" w:color="7F7F7F" w:themeColor="text1" w:themeTint="80"/>
            </w:tcBorders>
          </w:tcPr>
          <w:p w14:paraId="4540581F"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20</w:t>
            </w:r>
            <w:r>
              <w:rPr>
                <w:rFonts w:ascii="Book Antiqua" w:hAnsi="Book Antiqua" w:cs="Book Antiqua"/>
                <w:sz w:val="18"/>
                <w:szCs w:val="18"/>
              </w:rPr>
              <w:t>΄</w:t>
            </w:r>
            <w:r>
              <w:rPr>
                <w:rFonts w:ascii="Book Antiqua" w:hAnsi="Book Antiqua" w:cs="Times New Roman"/>
                <w:sz w:val="18"/>
                <w:szCs w:val="18"/>
              </w:rPr>
              <w:t xml:space="preserve"> 18</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14</w:t>
            </w:r>
            <w:r>
              <w:rPr>
                <w:rFonts w:ascii="Book Antiqua" w:hAnsi="Book Antiqua" w:cs="Book Antiqua"/>
                <w:sz w:val="18"/>
                <w:szCs w:val="18"/>
              </w:rPr>
              <w:t>΄</w:t>
            </w:r>
            <w:r>
              <w:rPr>
                <w:rFonts w:ascii="Book Antiqua" w:hAnsi="Book Antiqua" w:cs="Times New Roman"/>
                <w:sz w:val="18"/>
                <w:szCs w:val="18"/>
              </w:rPr>
              <w:t xml:space="preserve"> 28</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50816D82"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5338DC0D"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5B9A5048"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Golubovci</w:t>
            </w:r>
          </w:p>
        </w:tc>
        <w:tc>
          <w:tcPr>
            <w:tcW w:w="3150" w:type="dxa"/>
          </w:tcPr>
          <w:p w14:paraId="4A06C52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20</w:t>
            </w:r>
            <w:r>
              <w:rPr>
                <w:rFonts w:ascii="Book Antiqua" w:hAnsi="Book Antiqua" w:cs="Book Antiqua"/>
                <w:sz w:val="18"/>
                <w:szCs w:val="18"/>
              </w:rPr>
              <w:t>΄</w:t>
            </w:r>
            <w:r>
              <w:rPr>
                <w:rFonts w:ascii="Book Antiqua" w:hAnsi="Book Antiqua" w:cs="Times New Roman"/>
                <w:sz w:val="18"/>
                <w:szCs w:val="18"/>
              </w:rPr>
              <w:t xml:space="preserve"> 33</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14</w:t>
            </w:r>
            <w:r>
              <w:rPr>
                <w:rFonts w:ascii="Book Antiqua" w:hAnsi="Book Antiqua" w:cs="Book Antiqua"/>
                <w:sz w:val="18"/>
                <w:szCs w:val="18"/>
              </w:rPr>
              <w:t>΄</w:t>
            </w:r>
            <w:r>
              <w:rPr>
                <w:rFonts w:ascii="Book Antiqua" w:hAnsi="Book Antiqua" w:cs="Times New Roman"/>
                <w:sz w:val="18"/>
                <w:szCs w:val="18"/>
              </w:rPr>
              <w:t xml:space="preserve"> 48</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00C651B2"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11D9F8CB"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475EB604"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Balabani</w:t>
            </w:r>
          </w:p>
        </w:tc>
        <w:tc>
          <w:tcPr>
            <w:tcW w:w="3150" w:type="dxa"/>
            <w:tcBorders>
              <w:top w:val="single" w:sz="4" w:space="0" w:color="7F7F7F" w:themeColor="text1" w:themeTint="80"/>
              <w:bottom w:val="single" w:sz="4" w:space="0" w:color="7F7F7F" w:themeColor="text1" w:themeTint="80"/>
            </w:tcBorders>
          </w:tcPr>
          <w:p w14:paraId="17798DD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18</w:t>
            </w:r>
            <w:r>
              <w:rPr>
                <w:rFonts w:ascii="Book Antiqua" w:hAnsi="Book Antiqua" w:cs="Book Antiqua"/>
                <w:sz w:val="18"/>
                <w:szCs w:val="18"/>
              </w:rPr>
              <w:t>΄</w:t>
            </w:r>
            <w:r>
              <w:rPr>
                <w:rFonts w:ascii="Book Antiqua" w:hAnsi="Book Antiqua" w:cs="Times New Roman"/>
                <w:sz w:val="18"/>
                <w:szCs w:val="18"/>
              </w:rPr>
              <w:t xml:space="preserve"> 48</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14</w:t>
            </w:r>
            <w:r>
              <w:rPr>
                <w:rFonts w:ascii="Book Antiqua" w:hAnsi="Book Antiqua" w:cs="Book Antiqua"/>
                <w:sz w:val="18"/>
                <w:szCs w:val="18"/>
              </w:rPr>
              <w:t>΄</w:t>
            </w:r>
            <w:r>
              <w:rPr>
                <w:rFonts w:ascii="Book Antiqua" w:hAnsi="Book Antiqua" w:cs="Times New Roman"/>
                <w:sz w:val="18"/>
                <w:szCs w:val="18"/>
              </w:rPr>
              <w:t xml:space="preserve"> 12</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2D4381D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5EFE8155"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722A40BC"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Piperi</w:t>
            </w:r>
          </w:p>
        </w:tc>
        <w:tc>
          <w:tcPr>
            <w:tcW w:w="3150" w:type="dxa"/>
          </w:tcPr>
          <w:p w14:paraId="5A0266F4"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28</w:t>
            </w:r>
            <w:r>
              <w:rPr>
                <w:rFonts w:ascii="Book Antiqua" w:hAnsi="Book Antiqua" w:cs="Book Antiqua"/>
                <w:sz w:val="18"/>
                <w:szCs w:val="18"/>
              </w:rPr>
              <w:t>΄</w:t>
            </w:r>
            <w:r>
              <w:rPr>
                <w:rFonts w:ascii="Book Antiqua" w:hAnsi="Book Antiqua" w:cs="Times New Roman"/>
                <w:sz w:val="18"/>
                <w:szCs w:val="18"/>
              </w:rPr>
              <w:t xml:space="preserve"> 12</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15</w:t>
            </w:r>
            <w:r>
              <w:rPr>
                <w:rFonts w:ascii="Book Antiqua" w:hAnsi="Book Antiqua" w:cs="Book Antiqua"/>
                <w:sz w:val="18"/>
                <w:szCs w:val="18"/>
              </w:rPr>
              <w:t>΄</w:t>
            </w:r>
            <w:r>
              <w:rPr>
                <w:rFonts w:ascii="Book Antiqua" w:hAnsi="Book Antiqua" w:cs="Times New Roman"/>
                <w:sz w:val="18"/>
                <w:szCs w:val="18"/>
              </w:rPr>
              <w:t xml:space="preserve"> 31</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293485D2"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011E584D"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64B494FC"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Straševina</w:t>
            </w:r>
          </w:p>
        </w:tc>
        <w:tc>
          <w:tcPr>
            <w:tcW w:w="3150" w:type="dxa"/>
            <w:tcBorders>
              <w:top w:val="single" w:sz="4" w:space="0" w:color="7F7F7F" w:themeColor="text1" w:themeTint="80"/>
              <w:bottom w:val="single" w:sz="4" w:space="0" w:color="7F7F7F" w:themeColor="text1" w:themeTint="80"/>
            </w:tcBorders>
          </w:tcPr>
          <w:p w14:paraId="7EC4721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45</w:t>
            </w:r>
            <w:r>
              <w:rPr>
                <w:rFonts w:ascii="Book Antiqua" w:hAnsi="Book Antiqua" w:cs="Book Antiqua"/>
                <w:sz w:val="18"/>
                <w:szCs w:val="18"/>
              </w:rPr>
              <w:t>΄</w:t>
            </w:r>
            <w:r>
              <w:rPr>
                <w:rFonts w:ascii="Book Antiqua" w:hAnsi="Book Antiqua" w:cs="Times New Roman"/>
                <w:sz w:val="18"/>
                <w:szCs w:val="18"/>
              </w:rPr>
              <w:t xml:space="preserve"> 05</w:t>
            </w:r>
            <w:r>
              <w:rPr>
                <w:rFonts w:ascii="Book Antiqua" w:hAnsi="Book Antiqua" w:cs="Book Antiqua"/>
                <w:sz w:val="18"/>
                <w:szCs w:val="18"/>
              </w:rPr>
              <w:t>΄΄</w:t>
            </w:r>
            <w:r>
              <w:rPr>
                <w:rFonts w:ascii="Book Antiqua" w:hAnsi="Book Antiqua" w:cs="Times New Roman"/>
                <w:sz w:val="18"/>
                <w:szCs w:val="18"/>
              </w:rPr>
              <w:t xml:space="preserve"> N  18 </w:t>
            </w:r>
            <w:r>
              <w:rPr>
                <w:rFonts w:ascii="Times New Roman" w:hAnsi="Times New Roman" w:cs="Times New Roman"/>
                <w:sz w:val="18"/>
                <w:szCs w:val="18"/>
              </w:rPr>
              <w:t>ͦ</w:t>
            </w:r>
            <w:r>
              <w:rPr>
                <w:rFonts w:ascii="Book Antiqua" w:hAnsi="Book Antiqua" w:cs="Times New Roman"/>
                <w:sz w:val="18"/>
                <w:szCs w:val="18"/>
              </w:rPr>
              <w:t xml:space="preserve"> 56</w:t>
            </w:r>
            <w:r>
              <w:rPr>
                <w:rFonts w:ascii="Book Antiqua" w:hAnsi="Book Antiqua" w:cs="Book Antiqua"/>
                <w:sz w:val="18"/>
                <w:szCs w:val="18"/>
              </w:rPr>
              <w:t>΄</w:t>
            </w:r>
            <w:r>
              <w:rPr>
                <w:rFonts w:ascii="Book Antiqua" w:hAnsi="Book Antiqua" w:cs="Times New Roman"/>
                <w:sz w:val="18"/>
                <w:szCs w:val="18"/>
              </w:rPr>
              <w:t xml:space="preserve"> 32</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5159E7CC"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Crnogorsko primorje</w:t>
            </w:r>
          </w:p>
        </w:tc>
      </w:tr>
      <w:tr w:rsidR="003801E8" w14:paraId="57FD42E8"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042E37A0"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Orja Luka</w:t>
            </w:r>
          </w:p>
        </w:tc>
        <w:tc>
          <w:tcPr>
            <w:tcW w:w="3150" w:type="dxa"/>
          </w:tcPr>
          <w:p w14:paraId="7C18AAB2"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34</w:t>
            </w:r>
            <w:r>
              <w:rPr>
                <w:rFonts w:ascii="Book Antiqua" w:hAnsi="Book Antiqua" w:cs="Book Antiqua"/>
                <w:sz w:val="18"/>
                <w:szCs w:val="18"/>
              </w:rPr>
              <w:t>΄</w:t>
            </w:r>
            <w:r>
              <w:rPr>
                <w:rFonts w:ascii="Book Antiqua" w:hAnsi="Book Antiqua" w:cs="Times New Roman"/>
                <w:sz w:val="18"/>
                <w:szCs w:val="18"/>
              </w:rPr>
              <w:t xml:space="preserve"> 11</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04</w:t>
            </w:r>
            <w:r>
              <w:rPr>
                <w:rFonts w:ascii="Book Antiqua" w:hAnsi="Book Antiqua" w:cs="Book Antiqua"/>
                <w:sz w:val="18"/>
                <w:szCs w:val="18"/>
              </w:rPr>
              <w:t>΄</w:t>
            </w:r>
            <w:r>
              <w:rPr>
                <w:rFonts w:ascii="Book Antiqua" w:hAnsi="Book Antiqua" w:cs="Times New Roman"/>
                <w:sz w:val="18"/>
                <w:szCs w:val="18"/>
              </w:rPr>
              <w:t xml:space="preserve"> 54</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5959757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205CA0DF"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29FC99D8"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Donja Gorica</w:t>
            </w:r>
          </w:p>
        </w:tc>
        <w:tc>
          <w:tcPr>
            <w:tcW w:w="3150" w:type="dxa"/>
            <w:tcBorders>
              <w:top w:val="single" w:sz="4" w:space="0" w:color="7F7F7F" w:themeColor="text1" w:themeTint="80"/>
              <w:bottom w:val="single" w:sz="4" w:space="0" w:color="7F7F7F" w:themeColor="text1" w:themeTint="80"/>
            </w:tcBorders>
          </w:tcPr>
          <w:p w14:paraId="5AA6CBF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25</w:t>
            </w:r>
            <w:r>
              <w:rPr>
                <w:rFonts w:ascii="Book Antiqua" w:hAnsi="Book Antiqua" w:cs="Book Antiqua"/>
                <w:sz w:val="18"/>
                <w:szCs w:val="18"/>
              </w:rPr>
              <w:t>΄</w:t>
            </w:r>
            <w:r>
              <w:rPr>
                <w:rFonts w:ascii="Book Antiqua" w:hAnsi="Book Antiqua" w:cs="Times New Roman"/>
                <w:sz w:val="18"/>
                <w:szCs w:val="18"/>
              </w:rPr>
              <w:t xml:space="preserve"> 14</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12</w:t>
            </w:r>
            <w:r>
              <w:rPr>
                <w:rFonts w:ascii="Book Antiqua" w:hAnsi="Book Antiqua" w:cs="Book Antiqua"/>
                <w:sz w:val="18"/>
                <w:szCs w:val="18"/>
              </w:rPr>
              <w:t>΄</w:t>
            </w:r>
            <w:r>
              <w:rPr>
                <w:rFonts w:ascii="Book Antiqua" w:hAnsi="Book Antiqua" w:cs="Times New Roman"/>
                <w:sz w:val="18"/>
                <w:szCs w:val="18"/>
              </w:rPr>
              <w:t xml:space="preserve"> 13</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4BEB63B3"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0382C22F"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1C94527F"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Ubli</w:t>
            </w:r>
          </w:p>
        </w:tc>
        <w:tc>
          <w:tcPr>
            <w:tcW w:w="3150" w:type="dxa"/>
          </w:tcPr>
          <w:p w14:paraId="012D908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29</w:t>
            </w:r>
            <w:r>
              <w:rPr>
                <w:rFonts w:ascii="Book Antiqua" w:hAnsi="Book Antiqua" w:cs="Book Antiqua"/>
                <w:sz w:val="18"/>
                <w:szCs w:val="18"/>
              </w:rPr>
              <w:t>΄</w:t>
            </w:r>
            <w:r>
              <w:rPr>
                <w:rFonts w:ascii="Book Antiqua" w:hAnsi="Book Antiqua" w:cs="Times New Roman"/>
                <w:sz w:val="18"/>
                <w:szCs w:val="18"/>
              </w:rPr>
              <w:t xml:space="preserve"> 25</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23</w:t>
            </w:r>
            <w:r>
              <w:rPr>
                <w:rFonts w:ascii="Book Antiqua" w:hAnsi="Book Antiqua" w:cs="Book Antiqua"/>
                <w:sz w:val="18"/>
                <w:szCs w:val="18"/>
              </w:rPr>
              <w:t>΄</w:t>
            </w:r>
            <w:r>
              <w:rPr>
                <w:rFonts w:ascii="Book Antiqua" w:hAnsi="Book Antiqua" w:cs="Times New Roman"/>
                <w:sz w:val="18"/>
                <w:szCs w:val="18"/>
              </w:rPr>
              <w:t xml:space="preserve"> 56</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4C0F56D3"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76D72A39"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4A6048BC"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Tološi</w:t>
            </w:r>
          </w:p>
        </w:tc>
        <w:tc>
          <w:tcPr>
            <w:tcW w:w="3150" w:type="dxa"/>
            <w:tcBorders>
              <w:top w:val="single" w:sz="4" w:space="0" w:color="7F7F7F" w:themeColor="text1" w:themeTint="80"/>
              <w:bottom w:val="single" w:sz="4" w:space="0" w:color="7F7F7F" w:themeColor="text1" w:themeTint="80"/>
            </w:tcBorders>
          </w:tcPr>
          <w:p w14:paraId="6AD32EF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27</w:t>
            </w:r>
            <w:r>
              <w:rPr>
                <w:rFonts w:ascii="Book Antiqua" w:hAnsi="Book Antiqua" w:cs="Book Antiqua"/>
                <w:sz w:val="18"/>
                <w:szCs w:val="18"/>
              </w:rPr>
              <w:t>΄</w:t>
            </w:r>
            <w:r>
              <w:rPr>
                <w:rFonts w:ascii="Book Antiqua" w:hAnsi="Book Antiqua" w:cs="Times New Roman"/>
                <w:sz w:val="18"/>
                <w:szCs w:val="18"/>
              </w:rPr>
              <w:t xml:space="preserve"> 13</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13</w:t>
            </w:r>
            <w:r>
              <w:rPr>
                <w:rFonts w:ascii="Book Antiqua" w:hAnsi="Book Antiqua" w:cs="Book Antiqua"/>
                <w:sz w:val="18"/>
                <w:szCs w:val="18"/>
              </w:rPr>
              <w:t>΄</w:t>
            </w:r>
            <w:r>
              <w:rPr>
                <w:rFonts w:ascii="Book Antiqua" w:hAnsi="Book Antiqua" w:cs="Times New Roman"/>
                <w:sz w:val="18"/>
                <w:szCs w:val="18"/>
              </w:rPr>
              <w:t xml:space="preserve"> 29</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42BD64F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5CA312BB"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377BCC63"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Lješkopolje</w:t>
            </w:r>
          </w:p>
        </w:tc>
        <w:tc>
          <w:tcPr>
            <w:tcW w:w="3150" w:type="dxa"/>
          </w:tcPr>
          <w:p w14:paraId="235CB93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26</w:t>
            </w:r>
            <w:r>
              <w:rPr>
                <w:rFonts w:ascii="Book Antiqua" w:hAnsi="Book Antiqua" w:cs="Book Antiqua"/>
                <w:sz w:val="18"/>
                <w:szCs w:val="18"/>
              </w:rPr>
              <w:t>΄</w:t>
            </w:r>
            <w:r>
              <w:rPr>
                <w:rFonts w:ascii="Book Antiqua" w:hAnsi="Book Antiqua" w:cs="Times New Roman"/>
                <w:sz w:val="18"/>
                <w:szCs w:val="18"/>
              </w:rPr>
              <w:t xml:space="preserve"> 47</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12</w:t>
            </w:r>
            <w:r>
              <w:rPr>
                <w:rFonts w:ascii="Book Antiqua" w:hAnsi="Book Antiqua" w:cs="Book Antiqua"/>
                <w:sz w:val="18"/>
                <w:szCs w:val="18"/>
              </w:rPr>
              <w:t>΄</w:t>
            </w:r>
            <w:r>
              <w:rPr>
                <w:rFonts w:ascii="Book Antiqua" w:hAnsi="Book Antiqua" w:cs="Times New Roman"/>
                <w:sz w:val="18"/>
                <w:szCs w:val="18"/>
              </w:rPr>
              <w:t xml:space="preserve"> 22</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373A8F9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536908ED"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77127456"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Crmnica</w:t>
            </w:r>
          </w:p>
        </w:tc>
        <w:tc>
          <w:tcPr>
            <w:tcW w:w="3150" w:type="dxa"/>
            <w:tcBorders>
              <w:top w:val="single" w:sz="4" w:space="0" w:color="7F7F7F" w:themeColor="text1" w:themeTint="80"/>
              <w:bottom w:val="single" w:sz="4" w:space="0" w:color="7F7F7F" w:themeColor="text1" w:themeTint="80"/>
            </w:tcBorders>
          </w:tcPr>
          <w:p w14:paraId="1A05F05F"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14</w:t>
            </w:r>
            <w:r>
              <w:rPr>
                <w:rFonts w:ascii="Book Antiqua" w:hAnsi="Book Antiqua" w:cs="Book Antiqua"/>
                <w:sz w:val="18"/>
                <w:szCs w:val="18"/>
              </w:rPr>
              <w:t>΄</w:t>
            </w:r>
            <w:r>
              <w:rPr>
                <w:rFonts w:ascii="Book Antiqua" w:hAnsi="Book Antiqua" w:cs="Times New Roman"/>
                <w:sz w:val="18"/>
                <w:szCs w:val="18"/>
              </w:rPr>
              <w:t xml:space="preserve"> 02</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01</w:t>
            </w:r>
            <w:r>
              <w:rPr>
                <w:rFonts w:ascii="Book Antiqua" w:hAnsi="Book Antiqua" w:cs="Book Antiqua"/>
                <w:sz w:val="18"/>
                <w:szCs w:val="18"/>
              </w:rPr>
              <w:t>΄</w:t>
            </w:r>
            <w:r>
              <w:rPr>
                <w:rFonts w:ascii="Book Antiqua" w:hAnsi="Book Antiqua" w:cs="Times New Roman"/>
                <w:sz w:val="18"/>
                <w:szCs w:val="18"/>
              </w:rPr>
              <w:t xml:space="preserve"> 30</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70E319F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0CBDD5DD"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7F885C69"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Drušići</w:t>
            </w:r>
          </w:p>
        </w:tc>
        <w:tc>
          <w:tcPr>
            <w:tcW w:w="3150" w:type="dxa"/>
          </w:tcPr>
          <w:p w14:paraId="2D4E3310"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21</w:t>
            </w:r>
            <w:r>
              <w:rPr>
                <w:rFonts w:ascii="Book Antiqua" w:hAnsi="Book Antiqua" w:cs="Book Antiqua"/>
                <w:sz w:val="18"/>
                <w:szCs w:val="18"/>
              </w:rPr>
              <w:t>΄</w:t>
            </w:r>
            <w:r>
              <w:rPr>
                <w:rFonts w:ascii="Book Antiqua" w:hAnsi="Book Antiqua" w:cs="Times New Roman"/>
                <w:sz w:val="18"/>
                <w:szCs w:val="18"/>
              </w:rPr>
              <w:t xml:space="preserve"> 19</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05΄ 28΄΄ E</w:t>
            </w:r>
          </w:p>
        </w:tc>
        <w:tc>
          <w:tcPr>
            <w:tcW w:w="3150" w:type="dxa"/>
          </w:tcPr>
          <w:p w14:paraId="2C09BDA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4CDE24D6"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69C22E1D"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Reževići</w:t>
            </w:r>
          </w:p>
        </w:tc>
        <w:tc>
          <w:tcPr>
            <w:tcW w:w="3150" w:type="dxa"/>
            <w:tcBorders>
              <w:top w:val="single" w:sz="4" w:space="0" w:color="7F7F7F" w:themeColor="text1" w:themeTint="80"/>
              <w:bottom w:val="single" w:sz="4" w:space="0" w:color="7F7F7F" w:themeColor="text1" w:themeTint="80"/>
            </w:tcBorders>
          </w:tcPr>
          <w:p w14:paraId="596FFC8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13</w:t>
            </w:r>
            <w:r>
              <w:rPr>
                <w:rFonts w:ascii="Book Antiqua" w:hAnsi="Book Antiqua" w:cs="Book Antiqua"/>
                <w:sz w:val="18"/>
                <w:szCs w:val="18"/>
              </w:rPr>
              <w:t>΄</w:t>
            </w:r>
            <w:r>
              <w:rPr>
                <w:rFonts w:ascii="Book Antiqua" w:hAnsi="Book Antiqua" w:cs="Times New Roman"/>
                <w:sz w:val="18"/>
                <w:szCs w:val="18"/>
              </w:rPr>
              <w:t xml:space="preserve"> 41</w:t>
            </w:r>
            <w:r>
              <w:rPr>
                <w:rFonts w:ascii="Book Antiqua" w:hAnsi="Book Antiqua" w:cs="Book Antiqua"/>
                <w:sz w:val="18"/>
                <w:szCs w:val="18"/>
              </w:rPr>
              <w:t>΄΄</w:t>
            </w:r>
            <w:r>
              <w:rPr>
                <w:rFonts w:ascii="Book Antiqua" w:hAnsi="Book Antiqua" w:cs="Times New Roman"/>
                <w:sz w:val="18"/>
                <w:szCs w:val="18"/>
              </w:rPr>
              <w:t xml:space="preserve"> N  18 </w:t>
            </w:r>
            <w:r>
              <w:rPr>
                <w:rFonts w:ascii="Times New Roman" w:hAnsi="Times New Roman" w:cs="Times New Roman"/>
                <w:sz w:val="18"/>
                <w:szCs w:val="18"/>
              </w:rPr>
              <w:t>ͦ</w:t>
            </w:r>
            <w:r>
              <w:rPr>
                <w:rFonts w:ascii="Book Antiqua" w:hAnsi="Book Antiqua" w:cs="Times New Roman"/>
                <w:sz w:val="18"/>
                <w:szCs w:val="18"/>
              </w:rPr>
              <w:t xml:space="preserve"> 54</w:t>
            </w:r>
            <w:r>
              <w:rPr>
                <w:rFonts w:ascii="Book Antiqua" w:hAnsi="Book Antiqua" w:cs="Book Antiqua"/>
                <w:sz w:val="18"/>
                <w:szCs w:val="18"/>
              </w:rPr>
              <w:t>΄</w:t>
            </w:r>
            <w:r>
              <w:rPr>
                <w:rFonts w:ascii="Book Antiqua" w:hAnsi="Book Antiqua" w:cs="Times New Roman"/>
                <w:sz w:val="18"/>
                <w:szCs w:val="18"/>
              </w:rPr>
              <w:t xml:space="preserve"> 27</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3837B9C2"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Crnogorsko primorje</w:t>
            </w:r>
          </w:p>
        </w:tc>
      </w:tr>
      <w:tr w:rsidR="003801E8" w14:paraId="633CAEA2"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01380C06"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Piperi</w:t>
            </w:r>
          </w:p>
        </w:tc>
        <w:tc>
          <w:tcPr>
            <w:tcW w:w="3150" w:type="dxa"/>
          </w:tcPr>
          <w:p w14:paraId="5E31F35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28</w:t>
            </w:r>
            <w:r>
              <w:rPr>
                <w:rFonts w:ascii="Book Antiqua" w:hAnsi="Book Antiqua" w:cs="Book Antiqua"/>
                <w:sz w:val="18"/>
                <w:szCs w:val="18"/>
              </w:rPr>
              <w:t>΄</w:t>
            </w:r>
            <w:r>
              <w:rPr>
                <w:rFonts w:ascii="Book Antiqua" w:hAnsi="Book Antiqua" w:cs="Times New Roman"/>
                <w:sz w:val="18"/>
                <w:szCs w:val="18"/>
              </w:rPr>
              <w:t xml:space="preserve"> 34</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15</w:t>
            </w:r>
            <w:r>
              <w:rPr>
                <w:rFonts w:ascii="Book Antiqua" w:hAnsi="Book Antiqua" w:cs="Book Antiqua"/>
                <w:sz w:val="18"/>
                <w:szCs w:val="18"/>
              </w:rPr>
              <w:t>΄</w:t>
            </w:r>
            <w:r>
              <w:rPr>
                <w:rFonts w:ascii="Book Antiqua" w:hAnsi="Book Antiqua" w:cs="Times New Roman"/>
                <w:sz w:val="18"/>
                <w:szCs w:val="18"/>
              </w:rPr>
              <w:t xml:space="preserve"> 56</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3D50E3B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0531F853" w14:textId="77777777" w:rsidTr="003801E8">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7F7F7F" w:themeColor="text1" w:themeTint="80"/>
              <w:bottom w:val="single" w:sz="4" w:space="0" w:color="7F7F7F" w:themeColor="text1" w:themeTint="80"/>
            </w:tcBorders>
          </w:tcPr>
          <w:p w14:paraId="2A045DCF"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Kuće Rakića</w:t>
            </w:r>
          </w:p>
        </w:tc>
        <w:tc>
          <w:tcPr>
            <w:tcW w:w="3150" w:type="dxa"/>
            <w:tcBorders>
              <w:top w:val="single" w:sz="4" w:space="0" w:color="7F7F7F" w:themeColor="text1" w:themeTint="80"/>
              <w:bottom w:val="single" w:sz="4" w:space="0" w:color="7F7F7F" w:themeColor="text1" w:themeTint="80"/>
            </w:tcBorders>
          </w:tcPr>
          <w:p w14:paraId="048FA9B1"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22</w:t>
            </w:r>
            <w:r>
              <w:rPr>
                <w:rFonts w:ascii="Book Antiqua" w:hAnsi="Book Antiqua" w:cs="Book Antiqua"/>
                <w:sz w:val="18"/>
                <w:szCs w:val="18"/>
              </w:rPr>
              <w:t>΄</w:t>
            </w:r>
            <w:r>
              <w:rPr>
                <w:rFonts w:ascii="Book Antiqua" w:hAnsi="Book Antiqua" w:cs="Times New Roman"/>
                <w:sz w:val="18"/>
                <w:szCs w:val="18"/>
              </w:rPr>
              <w:t xml:space="preserve"> 58</w:t>
            </w:r>
            <w:r>
              <w:rPr>
                <w:rFonts w:ascii="Book Antiqua" w:hAnsi="Book Antiqua" w:cs="Book Antiqua"/>
                <w:sz w:val="18"/>
                <w:szCs w:val="18"/>
              </w:rPr>
              <w:t>΄΄</w:t>
            </w:r>
            <w:r>
              <w:rPr>
                <w:rFonts w:ascii="Book Antiqua" w:hAnsi="Book Antiqua" w:cs="Times New Roman"/>
                <w:sz w:val="18"/>
                <w:szCs w:val="18"/>
              </w:rPr>
              <w:t xml:space="preserve"> N  19 </w:t>
            </w:r>
            <w:r>
              <w:rPr>
                <w:rFonts w:ascii="Times New Roman" w:hAnsi="Times New Roman" w:cs="Times New Roman"/>
                <w:sz w:val="18"/>
                <w:szCs w:val="18"/>
              </w:rPr>
              <w:t>ͦ</w:t>
            </w:r>
            <w:r>
              <w:rPr>
                <w:rFonts w:ascii="Book Antiqua" w:hAnsi="Book Antiqua" w:cs="Times New Roman"/>
                <w:sz w:val="18"/>
                <w:szCs w:val="18"/>
              </w:rPr>
              <w:t xml:space="preserve"> 16</w:t>
            </w:r>
            <w:r>
              <w:rPr>
                <w:rFonts w:ascii="Book Antiqua" w:hAnsi="Book Antiqua" w:cs="Book Antiqua"/>
                <w:sz w:val="18"/>
                <w:szCs w:val="18"/>
              </w:rPr>
              <w:t>΄</w:t>
            </w:r>
            <w:r>
              <w:rPr>
                <w:rFonts w:ascii="Book Antiqua" w:hAnsi="Book Antiqua" w:cs="Times New Roman"/>
                <w:sz w:val="18"/>
                <w:szCs w:val="18"/>
              </w:rPr>
              <w:t xml:space="preserve"> 27</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Borders>
              <w:top w:val="single" w:sz="4" w:space="0" w:color="7F7F7F" w:themeColor="text1" w:themeTint="80"/>
              <w:bottom w:val="single" w:sz="4" w:space="0" w:color="7F7F7F" w:themeColor="text1" w:themeTint="80"/>
            </w:tcBorders>
          </w:tcPr>
          <w:p w14:paraId="166D9676"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r w:rsidR="003801E8" w14:paraId="2F5D149F" w14:textId="77777777" w:rsidTr="003801E8">
        <w:tc>
          <w:tcPr>
            <w:cnfStyle w:val="001000000000" w:firstRow="0" w:lastRow="0" w:firstColumn="1" w:lastColumn="0" w:oddVBand="0" w:evenVBand="0" w:oddHBand="0" w:evenHBand="0" w:firstRowFirstColumn="0" w:firstRowLastColumn="0" w:lastRowFirstColumn="0" w:lastRowLastColumn="0"/>
            <w:tcW w:w="2250" w:type="dxa"/>
          </w:tcPr>
          <w:p w14:paraId="69103841" w14:textId="77777777" w:rsidR="003801E8" w:rsidRDefault="00E44AAE">
            <w:pPr>
              <w:spacing w:after="0" w:line="360" w:lineRule="auto"/>
              <w:jc w:val="center"/>
              <w:rPr>
                <w:rFonts w:ascii="Book Antiqua" w:hAnsi="Book Antiqua" w:cs="Times New Roman"/>
                <w:b w:val="0"/>
                <w:bCs w:val="0"/>
                <w:sz w:val="18"/>
                <w:szCs w:val="18"/>
              </w:rPr>
            </w:pPr>
            <w:r>
              <w:rPr>
                <w:rFonts w:ascii="Book Antiqua" w:hAnsi="Book Antiqua" w:cs="Times New Roman"/>
                <w:sz w:val="18"/>
                <w:szCs w:val="18"/>
              </w:rPr>
              <w:t>Martinići</w:t>
            </w:r>
          </w:p>
        </w:tc>
        <w:tc>
          <w:tcPr>
            <w:tcW w:w="3150" w:type="dxa"/>
          </w:tcPr>
          <w:p w14:paraId="2E4B06FB"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42 </w:t>
            </w:r>
            <w:r>
              <w:rPr>
                <w:rFonts w:ascii="Times New Roman" w:hAnsi="Times New Roman" w:cs="Times New Roman"/>
                <w:sz w:val="18"/>
                <w:szCs w:val="18"/>
              </w:rPr>
              <w:t>ͦ</w:t>
            </w:r>
            <w:r>
              <w:rPr>
                <w:rFonts w:ascii="Book Antiqua" w:hAnsi="Book Antiqua" w:cs="Times New Roman"/>
                <w:sz w:val="18"/>
                <w:szCs w:val="18"/>
              </w:rPr>
              <w:t xml:space="preserve"> 33</w:t>
            </w:r>
            <w:r>
              <w:rPr>
                <w:rFonts w:ascii="Book Antiqua" w:hAnsi="Book Antiqua" w:cs="Book Antiqua"/>
                <w:sz w:val="18"/>
                <w:szCs w:val="18"/>
              </w:rPr>
              <w:t>΄</w:t>
            </w:r>
            <w:r>
              <w:rPr>
                <w:rFonts w:ascii="Book Antiqua" w:hAnsi="Book Antiqua" w:cs="Times New Roman"/>
                <w:sz w:val="18"/>
                <w:szCs w:val="18"/>
              </w:rPr>
              <w:t xml:space="preserve"> 44΄΄ N  19 </w:t>
            </w:r>
            <w:r>
              <w:rPr>
                <w:rFonts w:ascii="Times New Roman" w:hAnsi="Times New Roman" w:cs="Times New Roman"/>
                <w:sz w:val="18"/>
                <w:szCs w:val="18"/>
              </w:rPr>
              <w:t>ͦ</w:t>
            </w:r>
            <w:r>
              <w:rPr>
                <w:rFonts w:ascii="Book Antiqua" w:hAnsi="Book Antiqua" w:cs="Times New Roman"/>
                <w:sz w:val="18"/>
                <w:szCs w:val="18"/>
              </w:rPr>
              <w:t xml:space="preserve"> 09</w:t>
            </w:r>
            <w:r>
              <w:rPr>
                <w:rFonts w:ascii="Book Antiqua" w:hAnsi="Book Antiqua" w:cs="Book Antiqua"/>
                <w:sz w:val="18"/>
                <w:szCs w:val="18"/>
              </w:rPr>
              <w:t>΄</w:t>
            </w:r>
            <w:r>
              <w:rPr>
                <w:rFonts w:ascii="Book Antiqua" w:hAnsi="Book Antiqua" w:cs="Times New Roman"/>
                <w:sz w:val="18"/>
                <w:szCs w:val="18"/>
              </w:rPr>
              <w:t xml:space="preserve"> 34</w:t>
            </w:r>
            <w:r>
              <w:rPr>
                <w:rFonts w:ascii="Book Antiqua" w:hAnsi="Book Antiqua" w:cs="Book Antiqua"/>
                <w:sz w:val="18"/>
                <w:szCs w:val="18"/>
              </w:rPr>
              <w:t>΄΄</w:t>
            </w:r>
            <w:r>
              <w:rPr>
                <w:rFonts w:ascii="Book Antiqua" w:hAnsi="Book Antiqua" w:cs="Times New Roman"/>
                <w:sz w:val="18"/>
                <w:szCs w:val="18"/>
              </w:rPr>
              <w:t xml:space="preserve"> E</w:t>
            </w:r>
          </w:p>
        </w:tc>
        <w:tc>
          <w:tcPr>
            <w:tcW w:w="3150" w:type="dxa"/>
          </w:tcPr>
          <w:p w14:paraId="0F579E3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Basen Skadarskog jezera</w:t>
            </w:r>
          </w:p>
        </w:tc>
      </w:tr>
    </w:tbl>
    <w:p w14:paraId="20ECE889" w14:textId="77777777" w:rsidR="003801E8" w:rsidRDefault="003801E8">
      <w:pPr>
        <w:tabs>
          <w:tab w:val="left" w:pos="3315"/>
        </w:tabs>
        <w:spacing w:line="360" w:lineRule="auto"/>
        <w:jc w:val="center"/>
        <w:rPr>
          <w:rFonts w:ascii="Book Antiqua" w:hAnsi="Book Antiqua" w:cs="Times New Roman"/>
          <w:sz w:val="24"/>
          <w:szCs w:val="24"/>
          <w:lang w:val="sr-Latn-RS"/>
        </w:rPr>
      </w:pPr>
    </w:p>
    <w:p w14:paraId="3BA1A244" w14:textId="77777777" w:rsidR="003801E8" w:rsidRDefault="003801E8">
      <w:pPr>
        <w:tabs>
          <w:tab w:val="left" w:pos="3315"/>
        </w:tabs>
        <w:spacing w:line="360" w:lineRule="auto"/>
        <w:jc w:val="center"/>
        <w:rPr>
          <w:rFonts w:ascii="Book Antiqua" w:hAnsi="Book Antiqua" w:cs="Times New Roman"/>
          <w:sz w:val="24"/>
          <w:szCs w:val="24"/>
          <w:lang w:val="sr-Latn-RS"/>
        </w:rPr>
      </w:pPr>
    </w:p>
    <w:p w14:paraId="42DAE405" w14:textId="77777777" w:rsidR="003801E8" w:rsidRDefault="003801E8">
      <w:pPr>
        <w:tabs>
          <w:tab w:val="left" w:pos="3315"/>
        </w:tabs>
        <w:spacing w:line="360" w:lineRule="auto"/>
        <w:jc w:val="both"/>
        <w:rPr>
          <w:rFonts w:ascii="Book Antiqua" w:hAnsi="Book Antiqua" w:cs="Times New Roman"/>
          <w:sz w:val="24"/>
          <w:szCs w:val="24"/>
          <w:lang w:val="sr-Latn-RS"/>
        </w:rPr>
      </w:pPr>
    </w:p>
    <w:p w14:paraId="626A5B12"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lastRenderedPageBreak/>
        <w:t xml:space="preserve">Monitoringom je obuhvaćen i obilazak najvećeg rasadnika sadnog materijala vinove loze u Crnoj Gori (AD Plantaže 13 Jul), kao i poljoprivrednih apoteka koje se bave uvozom i distribucijom sadnog materijala. Metodom slučajnog odabira sakupljeno je 30 uzoraka sadnog materijala vinove loze. Uzorkovan je sadni materijal različitog sortimenta, starosti i zemlje porijekla, i to 10 uzoraka sorte Vranac uzeto je iz AD Plantaže 13 Jul i 20 uzoraka sadnog materijala iz uvoza, iz  tri vrtna centra. Uzorkovani sadni materijal prikazan je u Tabeli br 4. Svi prikupljeni uzorci podvrgnuti su laboratorijskoj analizi u fitopatološkoj laboratoriji Biotehničkog fakulteta u Podgorici. </w:t>
      </w:r>
    </w:p>
    <w:p w14:paraId="2534B7C7"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Tokom monitoringa je sprovedena anketa 70 proizvo</w:t>
      </w:r>
      <w:r>
        <w:rPr>
          <w:rFonts w:ascii="Book Antiqua" w:hAnsi="Book Antiqua" w:cs="Times New Roman"/>
          <w:sz w:val="24"/>
          <w:szCs w:val="24"/>
        </w:rPr>
        <w:t>đača vinove loze</w:t>
      </w:r>
      <w:r>
        <w:rPr>
          <w:rFonts w:ascii="Book Antiqua" w:hAnsi="Book Antiqua" w:cs="Times New Roman"/>
          <w:sz w:val="24"/>
          <w:szCs w:val="24"/>
          <w:lang w:val="sr-Latn-RS"/>
        </w:rPr>
        <w:t xml:space="preserve"> prilikom koje su vinogradari upoznati sa simptomima eska oboljenja, prikazom fotografija bolesti u boji. </w:t>
      </w:r>
    </w:p>
    <w:p w14:paraId="727B18E5" w14:textId="77777777" w:rsidR="003801E8" w:rsidRDefault="00E44AAE">
      <w:pPr>
        <w:tabs>
          <w:tab w:val="left" w:pos="3315"/>
        </w:tabs>
        <w:spacing w:after="0"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Anketa je sadržala pitanja: </w:t>
      </w:r>
    </w:p>
    <w:p w14:paraId="7776ED98" w14:textId="77777777" w:rsidR="003801E8" w:rsidRDefault="00E44AAE">
      <w:pPr>
        <w:tabs>
          <w:tab w:val="left" w:pos="3315"/>
        </w:tabs>
        <w:spacing w:after="0"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a) da li se javljaju prikazani simptoma u njihovom vinogradu, </w:t>
      </w:r>
    </w:p>
    <w:p w14:paraId="2885C958" w14:textId="77777777" w:rsidR="003801E8" w:rsidRDefault="00E44AAE">
      <w:pPr>
        <w:tabs>
          <w:tab w:val="left" w:pos="3315"/>
        </w:tabs>
        <w:spacing w:after="0" w:line="360" w:lineRule="auto"/>
        <w:jc w:val="both"/>
        <w:rPr>
          <w:rFonts w:ascii="Book Antiqua" w:hAnsi="Book Antiqua" w:cs="Times New Roman"/>
          <w:sz w:val="24"/>
          <w:szCs w:val="24"/>
        </w:rPr>
      </w:pPr>
      <w:r>
        <w:rPr>
          <w:rFonts w:ascii="Book Antiqua" w:hAnsi="Book Antiqua" w:cs="Times New Roman"/>
          <w:sz w:val="24"/>
          <w:szCs w:val="24"/>
          <w:lang w:val="sr-Latn-RS"/>
        </w:rPr>
        <w:t>b) da li su vinogradari upoznati o kom oboljenju je rije</w:t>
      </w:r>
      <w:r>
        <w:rPr>
          <w:rFonts w:ascii="Book Antiqua" w:hAnsi="Book Antiqua" w:cs="Times New Roman"/>
          <w:sz w:val="24"/>
          <w:szCs w:val="24"/>
        </w:rPr>
        <w:t>č,</w:t>
      </w:r>
    </w:p>
    <w:p w14:paraId="2F8A08D1" w14:textId="77777777" w:rsidR="003801E8" w:rsidRDefault="00E44AAE">
      <w:pPr>
        <w:tabs>
          <w:tab w:val="left" w:pos="3315"/>
        </w:tabs>
        <w:spacing w:after="0"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c) koliko je prisustvo simptoma u odnosu na starost vinove loze, </w:t>
      </w:r>
    </w:p>
    <w:p w14:paraId="5D80F737" w14:textId="77777777" w:rsidR="003801E8" w:rsidRDefault="00E44AAE">
      <w:pPr>
        <w:tabs>
          <w:tab w:val="left" w:pos="3315"/>
        </w:tabs>
        <w:spacing w:after="0"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d) kakvo je prisustvo simptoma u odnosu na sortiment vinove loze, </w:t>
      </w:r>
    </w:p>
    <w:p w14:paraId="3798E926" w14:textId="77777777" w:rsidR="003801E8" w:rsidRDefault="00E44AAE">
      <w:pPr>
        <w:tabs>
          <w:tab w:val="left" w:pos="3315"/>
        </w:tabs>
        <w:spacing w:after="0"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e) ocjena zaraze vinograda kroz tri numeričke kategorije (1 – simptomatično nekoliko biljaka u čitavom vinogradu; 2 – simptomatično nekoliko biljaka u jednom redu unutar vinograda 3 – simptomatičan veliki broj biljaka u vinogradu). </w:t>
      </w:r>
    </w:p>
    <w:p w14:paraId="00352D6D" w14:textId="77777777" w:rsidR="003801E8" w:rsidRDefault="003801E8">
      <w:pPr>
        <w:tabs>
          <w:tab w:val="left" w:pos="3315"/>
        </w:tabs>
        <w:spacing w:line="360" w:lineRule="auto"/>
        <w:jc w:val="both"/>
        <w:rPr>
          <w:rFonts w:ascii="Book Antiqua" w:hAnsi="Book Antiqua" w:cs="Times New Roman"/>
          <w:sz w:val="24"/>
          <w:szCs w:val="24"/>
          <w:lang w:val="sr-Latn-RS"/>
        </w:rPr>
      </w:pPr>
    </w:p>
    <w:p w14:paraId="131C612D" w14:textId="77777777" w:rsidR="003801E8" w:rsidRDefault="003801E8">
      <w:pPr>
        <w:tabs>
          <w:tab w:val="left" w:pos="3315"/>
        </w:tabs>
        <w:spacing w:line="360" w:lineRule="auto"/>
        <w:jc w:val="both"/>
        <w:rPr>
          <w:rFonts w:ascii="Book Antiqua" w:hAnsi="Book Antiqua" w:cs="Times New Roman"/>
          <w:sz w:val="24"/>
          <w:szCs w:val="24"/>
          <w:lang w:val="sr-Latn-RS"/>
        </w:rPr>
      </w:pPr>
    </w:p>
    <w:p w14:paraId="42C8C621" w14:textId="77777777" w:rsidR="003801E8" w:rsidRDefault="003801E8">
      <w:pPr>
        <w:tabs>
          <w:tab w:val="left" w:pos="3315"/>
        </w:tabs>
        <w:spacing w:line="360" w:lineRule="auto"/>
        <w:jc w:val="both"/>
        <w:rPr>
          <w:rFonts w:ascii="Book Antiqua" w:hAnsi="Book Antiqua" w:cs="Times New Roman"/>
          <w:sz w:val="24"/>
          <w:szCs w:val="24"/>
          <w:lang w:val="sr-Latn-RS"/>
        </w:rPr>
      </w:pPr>
    </w:p>
    <w:p w14:paraId="2B65AC79" w14:textId="77777777" w:rsidR="003801E8" w:rsidRDefault="003801E8">
      <w:pPr>
        <w:tabs>
          <w:tab w:val="left" w:pos="3315"/>
        </w:tabs>
        <w:spacing w:line="360" w:lineRule="auto"/>
        <w:jc w:val="both"/>
        <w:rPr>
          <w:rFonts w:ascii="Book Antiqua" w:hAnsi="Book Antiqua" w:cs="Times New Roman"/>
          <w:sz w:val="24"/>
          <w:szCs w:val="24"/>
          <w:lang w:val="sr-Latn-RS"/>
        </w:rPr>
      </w:pPr>
    </w:p>
    <w:p w14:paraId="76966AC1" w14:textId="77777777" w:rsidR="003801E8" w:rsidRDefault="003801E8">
      <w:pPr>
        <w:tabs>
          <w:tab w:val="left" w:pos="3315"/>
        </w:tabs>
        <w:spacing w:line="360" w:lineRule="auto"/>
        <w:jc w:val="both"/>
        <w:rPr>
          <w:rFonts w:ascii="Book Antiqua" w:hAnsi="Book Antiqua" w:cs="Times New Roman"/>
          <w:sz w:val="24"/>
          <w:szCs w:val="24"/>
          <w:lang w:val="sr-Latn-RS"/>
        </w:rPr>
      </w:pPr>
    </w:p>
    <w:p w14:paraId="038A754A" w14:textId="77777777" w:rsidR="003801E8" w:rsidRDefault="003801E8">
      <w:pPr>
        <w:tabs>
          <w:tab w:val="left" w:pos="3315"/>
        </w:tabs>
        <w:spacing w:line="240" w:lineRule="auto"/>
        <w:jc w:val="both"/>
        <w:rPr>
          <w:rFonts w:ascii="Book Antiqua" w:hAnsi="Book Antiqua" w:cs="Times New Roman"/>
          <w:sz w:val="24"/>
          <w:szCs w:val="24"/>
          <w:lang w:val="sr-Latn-RS"/>
        </w:rPr>
      </w:pPr>
    </w:p>
    <w:p w14:paraId="71C23F11" w14:textId="77777777" w:rsidR="003801E8" w:rsidRDefault="00E44AAE">
      <w:pPr>
        <w:tabs>
          <w:tab w:val="left" w:pos="3315"/>
        </w:tabs>
        <w:spacing w:line="240" w:lineRule="auto"/>
        <w:jc w:val="both"/>
        <w:rPr>
          <w:rFonts w:ascii="Book Antiqua" w:hAnsi="Book Antiqua" w:cs="Times New Roman"/>
          <w:sz w:val="22"/>
          <w:szCs w:val="22"/>
          <w:lang w:val="sr-Latn-RS"/>
        </w:rPr>
      </w:pPr>
      <w:r>
        <w:rPr>
          <w:rFonts w:ascii="Book Antiqua" w:hAnsi="Book Antiqua" w:cs="Times New Roman"/>
          <w:b/>
          <w:bCs/>
          <w:sz w:val="22"/>
          <w:szCs w:val="22"/>
          <w:lang w:val="sr-Latn-RS"/>
        </w:rPr>
        <w:lastRenderedPageBreak/>
        <w:t>Tabela 4</w:t>
      </w:r>
      <w:r>
        <w:rPr>
          <w:rFonts w:ascii="Book Antiqua" w:hAnsi="Book Antiqua" w:cs="Times New Roman"/>
          <w:sz w:val="22"/>
          <w:szCs w:val="22"/>
          <w:lang w:val="sr-Latn-RS"/>
        </w:rPr>
        <w:t>. Sakupljeni i analiziran sadni materijal vinove loze</w:t>
      </w:r>
    </w:p>
    <w:tbl>
      <w:tblPr>
        <w:tblStyle w:val="PlainTable21"/>
        <w:tblW w:w="0" w:type="auto"/>
        <w:tblLook w:val="04A0" w:firstRow="1" w:lastRow="0" w:firstColumn="1" w:lastColumn="0" w:noHBand="0" w:noVBand="1"/>
      </w:tblPr>
      <w:tblGrid>
        <w:gridCol w:w="856"/>
        <w:gridCol w:w="1996"/>
        <w:gridCol w:w="1421"/>
        <w:gridCol w:w="1540"/>
        <w:gridCol w:w="1853"/>
      </w:tblGrid>
      <w:tr w:rsidR="003801E8" w14:paraId="2C568D6C" w14:textId="77777777" w:rsidTr="003801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3FA6F4E" w14:textId="77777777" w:rsidR="003801E8" w:rsidRDefault="00E44AAE">
            <w:pPr>
              <w:spacing w:after="0" w:line="360" w:lineRule="auto"/>
              <w:jc w:val="both"/>
              <w:rPr>
                <w:rFonts w:ascii="Book Antiqua" w:hAnsi="Book Antiqua" w:cs="Times New Roman"/>
                <w:bCs w:val="0"/>
                <w:sz w:val="18"/>
                <w:szCs w:val="18"/>
                <w:lang w:eastAsia="sr-Latn-ME"/>
              </w:rPr>
            </w:pPr>
            <w:r>
              <w:rPr>
                <w:rFonts w:ascii="Book Antiqua" w:hAnsi="Book Antiqua" w:cs="Times New Roman"/>
                <w:sz w:val="18"/>
                <w:szCs w:val="18"/>
                <w:lang w:eastAsia="sr-Latn-ME"/>
              </w:rPr>
              <w:t>Oznaka uzorka</w:t>
            </w:r>
          </w:p>
        </w:tc>
        <w:tc>
          <w:tcPr>
            <w:tcW w:w="1996" w:type="dxa"/>
          </w:tcPr>
          <w:p w14:paraId="798CCE30" w14:textId="77777777" w:rsidR="003801E8" w:rsidRDefault="00E44AAE">
            <w:pPr>
              <w:spacing w:after="0"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bCs w:val="0"/>
                <w:sz w:val="18"/>
                <w:szCs w:val="18"/>
                <w:lang w:eastAsia="sr-Latn-ME"/>
              </w:rPr>
            </w:pPr>
            <w:r>
              <w:rPr>
                <w:rFonts w:ascii="Book Antiqua" w:hAnsi="Book Antiqua" w:cs="Times New Roman"/>
                <w:sz w:val="18"/>
                <w:szCs w:val="18"/>
                <w:lang w:eastAsia="sr-Latn-ME"/>
              </w:rPr>
              <w:t>Sorta</w:t>
            </w:r>
          </w:p>
        </w:tc>
        <w:tc>
          <w:tcPr>
            <w:tcW w:w="1421" w:type="dxa"/>
          </w:tcPr>
          <w:p w14:paraId="29CEF2E3" w14:textId="77777777" w:rsidR="003801E8" w:rsidRDefault="00E44AAE">
            <w:pPr>
              <w:spacing w:after="0"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bCs w:val="0"/>
                <w:sz w:val="18"/>
                <w:szCs w:val="18"/>
                <w:lang w:eastAsia="sr-Latn-ME"/>
              </w:rPr>
            </w:pPr>
            <w:r>
              <w:rPr>
                <w:rFonts w:ascii="Book Antiqua" w:hAnsi="Book Antiqua" w:cs="Times New Roman"/>
                <w:sz w:val="18"/>
                <w:szCs w:val="18"/>
                <w:lang w:eastAsia="sr-Latn-ME"/>
              </w:rPr>
              <w:t>Podloga</w:t>
            </w:r>
          </w:p>
        </w:tc>
        <w:tc>
          <w:tcPr>
            <w:tcW w:w="1540" w:type="dxa"/>
          </w:tcPr>
          <w:p w14:paraId="0348B43A" w14:textId="77777777" w:rsidR="003801E8" w:rsidRDefault="00E44AAE">
            <w:pPr>
              <w:spacing w:after="0"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bCs w:val="0"/>
                <w:sz w:val="18"/>
                <w:szCs w:val="18"/>
                <w:lang w:eastAsia="sr-Latn-ME"/>
              </w:rPr>
            </w:pPr>
            <w:r>
              <w:rPr>
                <w:rFonts w:ascii="Book Antiqua" w:hAnsi="Book Antiqua" w:cs="Times New Roman"/>
                <w:sz w:val="18"/>
                <w:szCs w:val="18"/>
                <w:lang w:eastAsia="sr-Latn-ME"/>
              </w:rPr>
              <w:t>Starost</w:t>
            </w:r>
          </w:p>
        </w:tc>
        <w:tc>
          <w:tcPr>
            <w:tcW w:w="1853" w:type="dxa"/>
          </w:tcPr>
          <w:p w14:paraId="1736CCAC" w14:textId="77777777" w:rsidR="003801E8" w:rsidRDefault="00E44AAE">
            <w:pPr>
              <w:spacing w:after="0"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bCs w:val="0"/>
                <w:sz w:val="18"/>
                <w:szCs w:val="18"/>
                <w:lang w:eastAsia="sr-Latn-ME"/>
              </w:rPr>
            </w:pPr>
            <w:r>
              <w:rPr>
                <w:rFonts w:ascii="Book Antiqua" w:hAnsi="Book Antiqua" w:cs="Times New Roman"/>
                <w:sz w:val="18"/>
                <w:szCs w:val="18"/>
                <w:lang w:eastAsia="sr-Latn-ME"/>
              </w:rPr>
              <w:t>Zemlja porijekla</w:t>
            </w:r>
          </w:p>
        </w:tc>
      </w:tr>
      <w:tr w:rsidR="003801E8" w14:paraId="4E523803"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0F7C35CA"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001</w:t>
            </w:r>
          </w:p>
        </w:tc>
        <w:tc>
          <w:tcPr>
            <w:tcW w:w="1996" w:type="dxa"/>
            <w:tcBorders>
              <w:top w:val="single" w:sz="4" w:space="0" w:color="7F7F7F" w:themeColor="text1" w:themeTint="80"/>
              <w:bottom w:val="single" w:sz="4" w:space="0" w:color="7F7F7F" w:themeColor="text1" w:themeTint="80"/>
            </w:tcBorders>
          </w:tcPr>
          <w:p w14:paraId="2B2839C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Borders>
              <w:top w:val="single" w:sz="4" w:space="0" w:color="7F7F7F" w:themeColor="text1" w:themeTint="80"/>
              <w:bottom w:val="single" w:sz="4" w:space="0" w:color="7F7F7F" w:themeColor="text1" w:themeTint="80"/>
            </w:tcBorders>
          </w:tcPr>
          <w:p w14:paraId="413D9EB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Borders>
              <w:top w:val="single" w:sz="4" w:space="0" w:color="7F7F7F" w:themeColor="text1" w:themeTint="80"/>
              <w:bottom w:val="single" w:sz="4" w:space="0" w:color="7F7F7F" w:themeColor="text1" w:themeTint="80"/>
            </w:tcBorders>
          </w:tcPr>
          <w:p w14:paraId="73FEFCB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1 godina</w:t>
            </w:r>
          </w:p>
        </w:tc>
        <w:tc>
          <w:tcPr>
            <w:tcW w:w="1853" w:type="dxa"/>
            <w:tcBorders>
              <w:top w:val="single" w:sz="4" w:space="0" w:color="7F7F7F" w:themeColor="text1" w:themeTint="80"/>
              <w:bottom w:val="single" w:sz="4" w:space="0" w:color="7F7F7F" w:themeColor="text1" w:themeTint="80"/>
            </w:tcBorders>
          </w:tcPr>
          <w:p w14:paraId="1831ECB2"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Crna Gora</w:t>
            </w:r>
          </w:p>
        </w:tc>
      </w:tr>
      <w:tr w:rsidR="003801E8" w14:paraId="31904138"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433BB2A4"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002</w:t>
            </w:r>
          </w:p>
        </w:tc>
        <w:tc>
          <w:tcPr>
            <w:tcW w:w="1996" w:type="dxa"/>
          </w:tcPr>
          <w:p w14:paraId="6441187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Pr>
          <w:p w14:paraId="305473BC"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Pr>
          <w:p w14:paraId="32E8B95B"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1 godina</w:t>
            </w:r>
          </w:p>
        </w:tc>
        <w:tc>
          <w:tcPr>
            <w:tcW w:w="1853" w:type="dxa"/>
          </w:tcPr>
          <w:p w14:paraId="251BAB88"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Crna Gora</w:t>
            </w:r>
          </w:p>
        </w:tc>
      </w:tr>
      <w:tr w:rsidR="003801E8" w14:paraId="5159CD1B"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0622DFC2"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003</w:t>
            </w:r>
          </w:p>
        </w:tc>
        <w:tc>
          <w:tcPr>
            <w:tcW w:w="1996" w:type="dxa"/>
            <w:tcBorders>
              <w:top w:val="single" w:sz="4" w:space="0" w:color="7F7F7F" w:themeColor="text1" w:themeTint="80"/>
              <w:bottom w:val="single" w:sz="4" w:space="0" w:color="7F7F7F" w:themeColor="text1" w:themeTint="80"/>
            </w:tcBorders>
          </w:tcPr>
          <w:p w14:paraId="02EEC3DC"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Borders>
              <w:top w:val="single" w:sz="4" w:space="0" w:color="7F7F7F" w:themeColor="text1" w:themeTint="80"/>
              <w:bottom w:val="single" w:sz="4" w:space="0" w:color="7F7F7F" w:themeColor="text1" w:themeTint="80"/>
            </w:tcBorders>
          </w:tcPr>
          <w:p w14:paraId="1CDC931C"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Borders>
              <w:top w:val="single" w:sz="4" w:space="0" w:color="7F7F7F" w:themeColor="text1" w:themeTint="80"/>
              <w:bottom w:val="single" w:sz="4" w:space="0" w:color="7F7F7F" w:themeColor="text1" w:themeTint="80"/>
            </w:tcBorders>
          </w:tcPr>
          <w:p w14:paraId="550457E3"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1 godina</w:t>
            </w:r>
          </w:p>
        </w:tc>
        <w:tc>
          <w:tcPr>
            <w:tcW w:w="1853" w:type="dxa"/>
            <w:tcBorders>
              <w:top w:val="single" w:sz="4" w:space="0" w:color="7F7F7F" w:themeColor="text1" w:themeTint="80"/>
              <w:bottom w:val="single" w:sz="4" w:space="0" w:color="7F7F7F" w:themeColor="text1" w:themeTint="80"/>
            </w:tcBorders>
          </w:tcPr>
          <w:p w14:paraId="22AC919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Crna Gora</w:t>
            </w:r>
          </w:p>
        </w:tc>
      </w:tr>
      <w:tr w:rsidR="003801E8" w14:paraId="105C0DE5"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7D1E65B0"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004</w:t>
            </w:r>
          </w:p>
        </w:tc>
        <w:tc>
          <w:tcPr>
            <w:tcW w:w="1996" w:type="dxa"/>
          </w:tcPr>
          <w:p w14:paraId="12300BD3"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Pr>
          <w:p w14:paraId="58424CE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Pr>
          <w:p w14:paraId="028E37E8"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1 godina</w:t>
            </w:r>
          </w:p>
        </w:tc>
        <w:tc>
          <w:tcPr>
            <w:tcW w:w="1853" w:type="dxa"/>
          </w:tcPr>
          <w:p w14:paraId="250372E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Crna Gora</w:t>
            </w:r>
          </w:p>
        </w:tc>
      </w:tr>
      <w:tr w:rsidR="003801E8" w14:paraId="4F66EB63"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368DCBFB"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005</w:t>
            </w:r>
          </w:p>
        </w:tc>
        <w:tc>
          <w:tcPr>
            <w:tcW w:w="1996" w:type="dxa"/>
            <w:tcBorders>
              <w:top w:val="single" w:sz="4" w:space="0" w:color="7F7F7F" w:themeColor="text1" w:themeTint="80"/>
              <w:bottom w:val="single" w:sz="4" w:space="0" w:color="7F7F7F" w:themeColor="text1" w:themeTint="80"/>
            </w:tcBorders>
          </w:tcPr>
          <w:p w14:paraId="78D7221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Borders>
              <w:top w:val="single" w:sz="4" w:space="0" w:color="7F7F7F" w:themeColor="text1" w:themeTint="80"/>
              <w:bottom w:val="single" w:sz="4" w:space="0" w:color="7F7F7F" w:themeColor="text1" w:themeTint="80"/>
            </w:tcBorders>
          </w:tcPr>
          <w:p w14:paraId="7043B840"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Borders>
              <w:top w:val="single" w:sz="4" w:space="0" w:color="7F7F7F" w:themeColor="text1" w:themeTint="80"/>
              <w:bottom w:val="single" w:sz="4" w:space="0" w:color="7F7F7F" w:themeColor="text1" w:themeTint="80"/>
            </w:tcBorders>
          </w:tcPr>
          <w:p w14:paraId="71005EAA"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1 godina</w:t>
            </w:r>
          </w:p>
        </w:tc>
        <w:tc>
          <w:tcPr>
            <w:tcW w:w="1853" w:type="dxa"/>
            <w:tcBorders>
              <w:top w:val="single" w:sz="4" w:space="0" w:color="7F7F7F" w:themeColor="text1" w:themeTint="80"/>
              <w:bottom w:val="single" w:sz="4" w:space="0" w:color="7F7F7F" w:themeColor="text1" w:themeTint="80"/>
            </w:tcBorders>
          </w:tcPr>
          <w:p w14:paraId="363CA3DB"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Crna Gora</w:t>
            </w:r>
          </w:p>
        </w:tc>
      </w:tr>
      <w:tr w:rsidR="003801E8" w14:paraId="1D8A16BE"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3A612535"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006</w:t>
            </w:r>
          </w:p>
        </w:tc>
        <w:tc>
          <w:tcPr>
            <w:tcW w:w="1996" w:type="dxa"/>
          </w:tcPr>
          <w:p w14:paraId="3BDD3FD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Pr>
          <w:p w14:paraId="31E6EFED"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Pr>
          <w:p w14:paraId="038F2241"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1 godina</w:t>
            </w:r>
          </w:p>
        </w:tc>
        <w:tc>
          <w:tcPr>
            <w:tcW w:w="1853" w:type="dxa"/>
          </w:tcPr>
          <w:p w14:paraId="2521D236"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Crna Gora</w:t>
            </w:r>
          </w:p>
        </w:tc>
      </w:tr>
      <w:tr w:rsidR="003801E8" w14:paraId="68B31AFC"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5597488B"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007</w:t>
            </w:r>
          </w:p>
        </w:tc>
        <w:tc>
          <w:tcPr>
            <w:tcW w:w="1996" w:type="dxa"/>
            <w:tcBorders>
              <w:top w:val="single" w:sz="4" w:space="0" w:color="7F7F7F" w:themeColor="text1" w:themeTint="80"/>
              <w:bottom w:val="single" w:sz="4" w:space="0" w:color="7F7F7F" w:themeColor="text1" w:themeTint="80"/>
            </w:tcBorders>
          </w:tcPr>
          <w:p w14:paraId="27C6EE50"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Borders>
              <w:top w:val="single" w:sz="4" w:space="0" w:color="7F7F7F" w:themeColor="text1" w:themeTint="80"/>
              <w:bottom w:val="single" w:sz="4" w:space="0" w:color="7F7F7F" w:themeColor="text1" w:themeTint="80"/>
            </w:tcBorders>
          </w:tcPr>
          <w:p w14:paraId="15B14988"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Borders>
              <w:top w:val="single" w:sz="4" w:space="0" w:color="7F7F7F" w:themeColor="text1" w:themeTint="80"/>
              <w:bottom w:val="single" w:sz="4" w:space="0" w:color="7F7F7F" w:themeColor="text1" w:themeTint="80"/>
            </w:tcBorders>
          </w:tcPr>
          <w:p w14:paraId="4D5EB16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1 godina</w:t>
            </w:r>
          </w:p>
        </w:tc>
        <w:tc>
          <w:tcPr>
            <w:tcW w:w="1853" w:type="dxa"/>
            <w:tcBorders>
              <w:top w:val="single" w:sz="4" w:space="0" w:color="7F7F7F" w:themeColor="text1" w:themeTint="80"/>
              <w:bottom w:val="single" w:sz="4" w:space="0" w:color="7F7F7F" w:themeColor="text1" w:themeTint="80"/>
            </w:tcBorders>
          </w:tcPr>
          <w:p w14:paraId="44C8DC2A"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Crna Gora</w:t>
            </w:r>
          </w:p>
        </w:tc>
      </w:tr>
      <w:tr w:rsidR="003801E8" w14:paraId="27E41814"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3A1F2CAF"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008</w:t>
            </w:r>
          </w:p>
        </w:tc>
        <w:tc>
          <w:tcPr>
            <w:tcW w:w="1996" w:type="dxa"/>
          </w:tcPr>
          <w:p w14:paraId="59020812"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Pr>
          <w:p w14:paraId="3DFC73DB"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Pr>
          <w:p w14:paraId="18F55FD1"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1 godina</w:t>
            </w:r>
          </w:p>
        </w:tc>
        <w:tc>
          <w:tcPr>
            <w:tcW w:w="1853" w:type="dxa"/>
          </w:tcPr>
          <w:p w14:paraId="1869A4CD"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Crna Gora</w:t>
            </w:r>
          </w:p>
        </w:tc>
      </w:tr>
      <w:tr w:rsidR="003801E8" w14:paraId="41B178EA"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747C754E"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009</w:t>
            </w:r>
          </w:p>
        </w:tc>
        <w:tc>
          <w:tcPr>
            <w:tcW w:w="1996" w:type="dxa"/>
            <w:tcBorders>
              <w:top w:val="single" w:sz="4" w:space="0" w:color="7F7F7F" w:themeColor="text1" w:themeTint="80"/>
              <w:bottom w:val="single" w:sz="4" w:space="0" w:color="7F7F7F" w:themeColor="text1" w:themeTint="80"/>
            </w:tcBorders>
          </w:tcPr>
          <w:p w14:paraId="65AD1A7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Borders>
              <w:top w:val="single" w:sz="4" w:space="0" w:color="7F7F7F" w:themeColor="text1" w:themeTint="80"/>
              <w:bottom w:val="single" w:sz="4" w:space="0" w:color="7F7F7F" w:themeColor="text1" w:themeTint="80"/>
            </w:tcBorders>
          </w:tcPr>
          <w:p w14:paraId="3CDCF4B6"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Borders>
              <w:top w:val="single" w:sz="4" w:space="0" w:color="7F7F7F" w:themeColor="text1" w:themeTint="80"/>
              <w:bottom w:val="single" w:sz="4" w:space="0" w:color="7F7F7F" w:themeColor="text1" w:themeTint="80"/>
            </w:tcBorders>
          </w:tcPr>
          <w:p w14:paraId="03A4CDC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1 godina</w:t>
            </w:r>
          </w:p>
        </w:tc>
        <w:tc>
          <w:tcPr>
            <w:tcW w:w="1853" w:type="dxa"/>
            <w:tcBorders>
              <w:top w:val="single" w:sz="4" w:space="0" w:color="7F7F7F" w:themeColor="text1" w:themeTint="80"/>
              <w:bottom w:val="single" w:sz="4" w:space="0" w:color="7F7F7F" w:themeColor="text1" w:themeTint="80"/>
            </w:tcBorders>
          </w:tcPr>
          <w:p w14:paraId="6476EEBB"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Crna Gora</w:t>
            </w:r>
          </w:p>
        </w:tc>
      </w:tr>
      <w:tr w:rsidR="003801E8" w14:paraId="00B7511A"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507881F2"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010</w:t>
            </w:r>
          </w:p>
        </w:tc>
        <w:tc>
          <w:tcPr>
            <w:tcW w:w="1996" w:type="dxa"/>
          </w:tcPr>
          <w:p w14:paraId="3A1E120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Pr>
          <w:p w14:paraId="2EA78791"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Pr>
          <w:p w14:paraId="6C088F6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1 godina</w:t>
            </w:r>
          </w:p>
        </w:tc>
        <w:tc>
          <w:tcPr>
            <w:tcW w:w="1853" w:type="dxa"/>
          </w:tcPr>
          <w:p w14:paraId="1F72586F"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Crna Gora</w:t>
            </w:r>
          </w:p>
        </w:tc>
      </w:tr>
      <w:tr w:rsidR="003801E8" w14:paraId="1F211A51"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13AEFD75"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011</w:t>
            </w:r>
          </w:p>
        </w:tc>
        <w:tc>
          <w:tcPr>
            <w:tcW w:w="1996" w:type="dxa"/>
            <w:tcBorders>
              <w:top w:val="single" w:sz="4" w:space="0" w:color="7F7F7F" w:themeColor="text1" w:themeTint="80"/>
              <w:bottom w:val="single" w:sz="4" w:space="0" w:color="7F7F7F" w:themeColor="text1" w:themeTint="80"/>
            </w:tcBorders>
          </w:tcPr>
          <w:p w14:paraId="3B3E2F06"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Afus Ali</w:t>
            </w:r>
          </w:p>
        </w:tc>
        <w:tc>
          <w:tcPr>
            <w:tcW w:w="1421" w:type="dxa"/>
            <w:tcBorders>
              <w:top w:val="single" w:sz="4" w:space="0" w:color="7F7F7F" w:themeColor="text1" w:themeTint="80"/>
              <w:bottom w:val="single" w:sz="4" w:space="0" w:color="7F7F7F" w:themeColor="text1" w:themeTint="80"/>
            </w:tcBorders>
          </w:tcPr>
          <w:p w14:paraId="5B9EBD0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Riparia SO4</w:t>
            </w:r>
          </w:p>
        </w:tc>
        <w:tc>
          <w:tcPr>
            <w:tcW w:w="1540" w:type="dxa"/>
            <w:tcBorders>
              <w:top w:val="single" w:sz="4" w:space="0" w:color="7F7F7F" w:themeColor="text1" w:themeTint="80"/>
              <w:bottom w:val="single" w:sz="4" w:space="0" w:color="7F7F7F" w:themeColor="text1" w:themeTint="80"/>
            </w:tcBorders>
          </w:tcPr>
          <w:p w14:paraId="73C68E68"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2 godine</w:t>
            </w:r>
          </w:p>
        </w:tc>
        <w:tc>
          <w:tcPr>
            <w:tcW w:w="1853" w:type="dxa"/>
            <w:tcBorders>
              <w:top w:val="single" w:sz="4" w:space="0" w:color="7F7F7F" w:themeColor="text1" w:themeTint="80"/>
              <w:bottom w:val="single" w:sz="4" w:space="0" w:color="7F7F7F" w:themeColor="text1" w:themeTint="80"/>
            </w:tcBorders>
          </w:tcPr>
          <w:p w14:paraId="235215F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Albanija</w:t>
            </w:r>
          </w:p>
        </w:tc>
      </w:tr>
      <w:tr w:rsidR="003801E8" w14:paraId="18E189A0"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53FB65BF"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012</w:t>
            </w:r>
          </w:p>
        </w:tc>
        <w:tc>
          <w:tcPr>
            <w:tcW w:w="1996" w:type="dxa"/>
          </w:tcPr>
          <w:p w14:paraId="6E7B45CC"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Merlot</w:t>
            </w:r>
          </w:p>
        </w:tc>
        <w:tc>
          <w:tcPr>
            <w:tcW w:w="1421" w:type="dxa"/>
          </w:tcPr>
          <w:p w14:paraId="0A31952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Kober 5 BB</w:t>
            </w:r>
          </w:p>
        </w:tc>
        <w:tc>
          <w:tcPr>
            <w:tcW w:w="1540" w:type="dxa"/>
          </w:tcPr>
          <w:p w14:paraId="2B33BE54"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1 godina</w:t>
            </w:r>
          </w:p>
        </w:tc>
        <w:tc>
          <w:tcPr>
            <w:tcW w:w="1853" w:type="dxa"/>
          </w:tcPr>
          <w:p w14:paraId="7B19691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Srbija</w:t>
            </w:r>
          </w:p>
        </w:tc>
      </w:tr>
      <w:tr w:rsidR="003801E8" w14:paraId="719CAB63"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1F6972C1"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013</w:t>
            </w:r>
          </w:p>
        </w:tc>
        <w:tc>
          <w:tcPr>
            <w:tcW w:w="1996" w:type="dxa"/>
            <w:tcBorders>
              <w:top w:val="single" w:sz="4" w:space="0" w:color="7F7F7F" w:themeColor="text1" w:themeTint="80"/>
              <w:bottom w:val="single" w:sz="4" w:space="0" w:color="7F7F7F" w:themeColor="text1" w:themeTint="80"/>
            </w:tcBorders>
          </w:tcPr>
          <w:p w14:paraId="2B640F5C"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Cabernet Sauvignon</w:t>
            </w:r>
          </w:p>
        </w:tc>
        <w:tc>
          <w:tcPr>
            <w:tcW w:w="1421" w:type="dxa"/>
            <w:tcBorders>
              <w:top w:val="single" w:sz="4" w:space="0" w:color="7F7F7F" w:themeColor="text1" w:themeTint="80"/>
              <w:bottom w:val="single" w:sz="4" w:space="0" w:color="7F7F7F" w:themeColor="text1" w:themeTint="80"/>
            </w:tcBorders>
          </w:tcPr>
          <w:p w14:paraId="38AE0D92"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Kober 5 BB</w:t>
            </w:r>
          </w:p>
        </w:tc>
        <w:tc>
          <w:tcPr>
            <w:tcW w:w="1540" w:type="dxa"/>
            <w:tcBorders>
              <w:top w:val="single" w:sz="4" w:space="0" w:color="7F7F7F" w:themeColor="text1" w:themeTint="80"/>
              <w:bottom w:val="single" w:sz="4" w:space="0" w:color="7F7F7F" w:themeColor="text1" w:themeTint="80"/>
            </w:tcBorders>
          </w:tcPr>
          <w:p w14:paraId="084B6904"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2 godine</w:t>
            </w:r>
          </w:p>
        </w:tc>
        <w:tc>
          <w:tcPr>
            <w:tcW w:w="1853" w:type="dxa"/>
            <w:tcBorders>
              <w:top w:val="single" w:sz="4" w:space="0" w:color="7F7F7F" w:themeColor="text1" w:themeTint="80"/>
              <w:bottom w:val="single" w:sz="4" w:space="0" w:color="7F7F7F" w:themeColor="text1" w:themeTint="80"/>
            </w:tcBorders>
          </w:tcPr>
          <w:p w14:paraId="5008832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Italija</w:t>
            </w:r>
          </w:p>
        </w:tc>
      </w:tr>
      <w:tr w:rsidR="003801E8" w14:paraId="11802B9E"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2267D998"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014</w:t>
            </w:r>
          </w:p>
        </w:tc>
        <w:tc>
          <w:tcPr>
            <w:tcW w:w="1996" w:type="dxa"/>
          </w:tcPr>
          <w:p w14:paraId="051373F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Frankovka</w:t>
            </w:r>
          </w:p>
        </w:tc>
        <w:tc>
          <w:tcPr>
            <w:tcW w:w="1421" w:type="dxa"/>
          </w:tcPr>
          <w:p w14:paraId="565472B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Kober 5 BB</w:t>
            </w:r>
          </w:p>
        </w:tc>
        <w:tc>
          <w:tcPr>
            <w:tcW w:w="1540" w:type="dxa"/>
          </w:tcPr>
          <w:p w14:paraId="00C2BCB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1 godina</w:t>
            </w:r>
          </w:p>
        </w:tc>
        <w:tc>
          <w:tcPr>
            <w:tcW w:w="1853" w:type="dxa"/>
          </w:tcPr>
          <w:p w14:paraId="49CE7C3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Srbija</w:t>
            </w:r>
          </w:p>
        </w:tc>
      </w:tr>
      <w:tr w:rsidR="003801E8" w14:paraId="3EAFD4E9"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7D15FEF9"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015</w:t>
            </w:r>
          </w:p>
        </w:tc>
        <w:tc>
          <w:tcPr>
            <w:tcW w:w="1996" w:type="dxa"/>
            <w:tcBorders>
              <w:top w:val="single" w:sz="4" w:space="0" w:color="7F7F7F" w:themeColor="text1" w:themeTint="80"/>
              <w:bottom w:val="single" w:sz="4" w:space="0" w:color="7F7F7F" w:themeColor="text1" w:themeTint="80"/>
            </w:tcBorders>
          </w:tcPr>
          <w:p w14:paraId="4FE3879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Cardinal</w:t>
            </w:r>
          </w:p>
        </w:tc>
        <w:tc>
          <w:tcPr>
            <w:tcW w:w="1421" w:type="dxa"/>
            <w:tcBorders>
              <w:top w:val="single" w:sz="4" w:space="0" w:color="7F7F7F" w:themeColor="text1" w:themeTint="80"/>
              <w:bottom w:val="single" w:sz="4" w:space="0" w:color="7F7F7F" w:themeColor="text1" w:themeTint="80"/>
            </w:tcBorders>
          </w:tcPr>
          <w:p w14:paraId="66D5DD3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Kober 5 BB</w:t>
            </w:r>
          </w:p>
        </w:tc>
        <w:tc>
          <w:tcPr>
            <w:tcW w:w="1540" w:type="dxa"/>
            <w:tcBorders>
              <w:top w:val="single" w:sz="4" w:space="0" w:color="7F7F7F" w:themeColor="text1" w:themeTint="80"/>
              <w:bottom w:val="single" w:sz="4" w:space="0" w:color="7F7F7F" w:themeColor="text1" w:themeTint="80"/>
            </w:tcBorders>
          </w:tcPr>
          <w:p w14:paraId="3594384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sz w:val="18"/>
                <w:szCs w:val="18"/>
              </w:rPr>
              <w:t>1 godina</w:t>
            </w:r>
          </w:p>
        </w:tc>
        <w:tc>
          <w:tcPr>
            <w:tcW w:w="1853" w:type="dxa"/>
            <w:tcBorders>
              <w:top w:val="single" w:sz="4" w:space="0" w:color="7F7F7F" w:themeColor="text1" w:themeTint="80"/>
              <w:bottom w:val="single" w:sz="4" w:space="0" w:color="7F7F7F" w:themeColor="text1" w:themeTint="80"/>
            </w:tcBorders>
          </w:tcPr>
          <w:p w14:paraId="12400FE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Srbija</w:t>
            </w:r>
          </w:p>
        </w:tc>
      </w:tr>
      <w:tr w:rsidR="003801E8" w14:paraId="7355D846"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7A87B200"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016</w:t>
            </w:r>
          </w:p>
        </w:tc>
        <w:tc>
          <w:tcPr>
            <w:tcW w:w="1996" w:type="dxa"/>
          </w:tcPr>
          <w:p w14:paraId="42C4B584"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Muscat Italy</w:t>
            </w:r>
          </w:p>
        </w:tc>
        <w:tc>
          <w:tcPr>
            <w:tcW w:w="1421" w:type="dxa"/>
          </w:tcPr>
          <w:p w14:paraId="0F746B30"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Kober 5 BB</w:t>
            </w:r>
          </w:p>
        </w:tc>
        <w:tc>
          <w:tcPr>
            <w:tcW w:w="1540" w:type="dxa"/>
          </w:tcPr>
          <w:p w14:paraId="0040C8F0"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sz w:val="18"/>
                <w:szCs w:val="18"/>
              </w:rPr>
              <w:t>1 godina</w:t>
            </w:r>
          </w:p>
        </w:tc>
        <w:tc>
          <w:tcPr>
            <w:tcW w:w="1853" w:type="dxa"/>
          </w:tcPr>
          <w:p w14:paraId="50695104"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Italija</w:t>
            </w:r>
          </w:p>
        </w:tc>
      </w:tr>
      <w:tr w:rsidR="003801E8" w14:paraId="62109472"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3F56EB24"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017</w:t>
            </w:r>
          </w:p>
        </w:tc>
        <w:tc>
          <w:tcPr>
            <w:tcW w:w="1996" w:type="dxa"/>
            <w:tcBorders>
              <w:top w:val="single" w:sz="4" w:space="0" w:color="7F7F7F" w:themeColor="text1" w:themeTint="80"/>
              <w:bottom w:val="single" w:sz="4" w:space="0" w:color="7F7F7F" w:themeColor="text1" w:themeTint="80"/>
            </w:tcBorders>
          </w:tcPr>
          <w:p w14:paraId="0487ABB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Cardinal</w:t>
            </w:r>
          </w:p>
        </w:tc>
        <w:tc>
          <w:tcPr>
            <w:tcW w:w="1421" w:type="dxa"/>
            <w:tcBorders>
              <w:top w:val="single" w:sz="4" w:space="0" w:color="7F7F7F" w:themeColor="text1" w:themeTint="80"/>
              <w:bottom w:val="single" w:sz="4" w:space="0" w:color="7F7F7F" w:themeColor="text1" w:themeTint="80"/>
            </w:tcBorders>
          </w:tcPr>
          <w:p w14:paraId="63D2FA3F"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Kober 5 BB</w:t>
            </w:r>
          </w:p>
        </w:tc>
        <w:tc>
          <w:tcPr>
            <w:tcW w:w="1540" w:type="dxa"/>
            <w:tcBorders>
              <w:top w:val="single" w:sz="4" w:space="0" w:color="7F7F7F" w:themeColor="text1" w:themeTint="80"/>
              <w:bottom w:val="single" w:sz="4" w:space="0" w:color="7F7F7F" w:themeColor="text1" w:themeTint="80"/>
            </w:tcBorders>
          </w:tcPr>
          <w:p w14:paraId="2FD7254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sz w:val="18"/>
                <w:szCs w:val="18"/>
              </w:rPr>
              <w:t>2 godine</w:t>
            </w:r>
          </w:p>
        </w:tc>
        <w:tc>
          <w:tcPr>
            <w:tcW w:w="1853" w:type="dxa"/>
            <w:tcBorders>
              <w:top w:val="single" w:sz="4" w:space="0" w:color="7F7F7F" w:themeColor="text1" w:themeTint="80"/>
              <w:bottom w:val="single" w:sz="4" w:space="0" w:color="7F7F7F" w:themeColor="text1" w:themeTint="80"/>
            </w:tcBorders>
          </w:tcPr>
          <w:p w14:paraId="6BBD8E7F"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Italija</w:t>
            </w:r>
          </w:p>
        </w:tc>
      </w:tr>
      <w:tr w:rsidR="003801E8" w14:paraId="28FF5D43"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311BD26D"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018</w:t>
            </w:r>
          </w:p>
        </w:tc>
        <w:tc>
          <w:tcPr>
            <w:tcW w:w="1996" w:type="dxa"/>
          </w:tcPr>
          <w:p w14:paraId="1364607D"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Muscat Italy</w:t>
            </w:r>
          </w:p>
        </w:tc>
        <w:tc>
          <w:tcPr>
            <w:tcW w:w="1421" w:type="dxa"/>
          </w:tcPr>
          <w:p w14:paraId="0CD65A6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Riparia SO4</w:t>
            </w:r>
          </w:p>
        </w:tc>
        <w:tc>
          <w:tcPr>
            <w:tcW w:w="1540" w:type="dxa"/>
          </w:tcPr>
          <w:p w14:paraId="1657D83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sz w:val="18"/>
                <w:szCs w:val="18"/>
              </w:rPr>
              <w:t>1 godina</w:t>
            </w:r>
          </w:p>
        </w:tc>
        <w:tc>
          <w:tcPr>
            <w:tcW w:w="1853" w:type="dxa"/>
          </w:tcPr>
          <w:p w14:paraId="430EC744"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Albanija</w:t>
            </w:r>
          </w:p>
        </w:tc>
      </w:tr>
      <w:tr w:rsidR="003801E8" w14:paraId="4B1CEC91"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67A999D8"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019</w:t>
            </w:r>
          </w:p>
        </w:tc>
        <w:tc>
          <w:tcPr>
            <w:tcW w:w="1996" w:type="dxa"/>
            <w:tcBorders>
              <w:top w:val="single" w:sz="4" w:space="0" w:color="7F7F7F" w:themeColor="text1" w:themeTint="80"/>
              <w:bottom w:val="single" w:sz="4" w:space="0" w:color="7F7F7F" w:themeColor="text1" w:themeTint="80"/>
            </w:tcBorders>
          </w:tcPr>
          <w:p w14:paraId="707FF0BF"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Merlot</w:t>
            </w:r>
          </w:p>
        </w:tc>
        <w:tc>
          <w:tcPr>
            <w:tcW w:w="1421" w:type="dxa"/>
            <w:tcBorders>
              <w:top w:val="single" w:sz="4" w:space="0" w:color="7F7F7F" w:themeColor="text1" w:themeTint="80"/>
              <w:bottom w:val="single" w:sz="4" w:space="0" w:color="7F7F7F" w:themeColor="text1" w:themeTint="80"/>
            </w:tcBorders>
          </w:tcPr>
          <w:p w14:paraId="7743C432"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Borders>
              <w:top w:val="single" w:sz="4" w:space="0" w:color="7F7F7F" w:themeColor="text1" w:themeTint="80"/>
              <w:bottom w:val="single" w:sz="4" w:space="0" w:color="7F7F7F" w:themeColor="text1" w:themeTint="80"/>
            </w:tcBorders>
          </w:tcPr>
          <w:p w14:paraId="7DCAB942"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sz w:val="18"/>
                <w:szCs w:val="18"/>
              </w:rPr>
              <w:t>1 godina</w:t>
            </w:r>
          </w:p>
        </w:tc>
        <w:tc>
          <w:tcPr>
            <w:tcW w:w="1853" w:type="dxa"/>
            <w:tcBorders>
              <w:top w:val="single" w:sz="4" w:space="0" w:color="7F7F7F" w:themeColor="text1" w:themeTint="80"/>
              <w:bottom w:val="single" w:sz="4" w:space="0" w:color="7F7F7F" w:themeColor="text1" w:themeTint="80"/>
            </w:tcBorders>
          </w:tcPr>
          <w:p w14:paraId="653205FF"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Italija</w:t>
            </w:r>
          </w:p>
        </w:tc>
      </w:tr>
      <w:tr w:rsidR="003801E8" w14:paraId="7D394404"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2FAC43DA" w14:textId="77777777" w:rsidR="003801E8" w:rsidRDefault="00E44AAE">
            <w:pPr>
              <w:spacing w:after="0" w:line="360" w:lineRule="auto"/>
              <w:jc w:val="center"/>
              <w:rPr>
                <w:rFonts w:ascii="Book Antiqua" w:hAnsi="Book Antiqua" w:cs="Times New Roman"/>
                <w:b w:val="0"/>
                <w:sz w:val="18"/>
                <w:szCs w:val="18"/>
                <w:lang w:eastAsia="sr-Latn-ME"/>
              </w:rPr>
            </w:pPr>
            <w:r>
              <w:rPr>
                <w:rFonts w:ascii="Book Antiqua" w:hAnsi="Book Antiqua" w:cs="Times New Roman"/>
                <w:sz w:val="18"/>
                <w:szCs w:val="18"/>
                <w:lang w:eastAsia="sr-Latn-ME"/>
              </w:rPr>
              <w:t xml:space="preserve"> 020</w:t>
            </w:r>
          </w:p>
        </w:tc>
        <w:tc>
          <w:tcPr>
            <w:tcW w:w="1996" w:type="dxa"/>
          </w:tcPr>
          <w:p w14:paraId="7EB3DF7A"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Cardinal</w:t>
            </w:r>
          </w:p>
        </w:tc>
        <w:tc>
          <w:tcPr>
            <w:tcW w:w="1421" w:type="dxa"/>
          </w:tcPr>
          <w:p w14:paraId="559150F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Pr>
          <w:p w14:paraId="42DCFBE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sz w:val="18"/>
                <w:szCs w:val="18"/>
              </w:rPr>
              <w:t>2 godine</w:t>
            </w:r>
          </w:p>
        </w:tc>
        <w:tc>
          <w:tcPr>
            <w:tcW w:w="1853" w:type="dxa"/>
          </w:tcPr>
          <w:p w14:paraId="32B8F91B"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Italija</w:t>
            </w:r>
          </w:p>
        </w:tc>
      </w:tr>
      <w:tr w:rsidR="003801E8" w14:paraId="2DD713D0"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18F34B09" w14:textId="77777777" w:rsidR="003801E8" w:rsidRDefault="00E44AAE">
            <w:pPr>
              <w:spacing w:after="0" w:line="360" w:lineRule="auto"/>
              <w:jc w:val="center"/>
              <w:rPr>
                <w:rFonts w:ascii="Book Antiqua" w:hAnsi="Book Antiqua" w:cs="Times New Roman"/>
                <w:b w:val="0"/>
                <w:bCs w:val="0"/>
                <w:sz w:val="18"/>
                <w:szCs w:val="18"/>
                <w:lang w:eastAsia="sr-Latn-ME"/>
              </w:rPr>
            </w:pPr>
            <w:r>
              <w:rPr>
                <w:rFonts w:ascii="Book Antiqua" w:hAnsi="Book Antiqua" w:cs="Times New Roman"/>
                <w:sz w:val="18"/>
                <w:szCs w:val="18"/>
                <w:lang w:eastAsia="sr-Latn-ME"/>
              </w:rPr>
              <w:t>021</w:t>
            </w:r>
          </w:p>
        </w:tc>
        <w:tc>
          <w:tcPr>
            <w:tcW w:w="1996" w:type="dxa"/>
            <w:tcBorders>
              <w:top w:val="single" w:sz="4" w:space="0" w:color="7F7F7F" w:themeColor="text1" w:themeTint="80"/>
              <w:bottom w:val="single" w:sz="4" w:space="0" w:color="7F7F7F" w:themeColor="text1" w:themeTint="80"/>
            </w:tcBorders>
          </w:tcPr>
          <w:p w14:paraId="48925C3B"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Afus ali</w:t>
            </w:r>
          </w:p>
        </w:tc>
        <w:tc>
          <w:tcPr>
            <w:tcW w:w="1421" w:type="dxa"/>
            <w:tcBorders>
              <w:top w:val="single" w:sz="4" w:space="0" w:color="7F7F7F" w:themeColor="text1" w:themeTint="80"/>
              <w:bottom w:val="single" w:sz="4" w:space="0" w:color="7F7F7F" w:themeColor="text1" w:themeTint="80"/>
            </w:tcBorders>
          </w:tcPr>
          <w:p w14:paraId="31E9139C"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Kober 5 BB</w:t>
            </w:r>
          </w:p>
        </w:tc>
        <w:tc>
          <w:tcPr>
            <w:tcW w:w="1540" w:type="dxa"/>
            <w:tcBorders>
              <w:top w:val="single" w:sz="4" w:space="0" w:color="7F7F7F" w:themeColor="text1" w:themeTint="80"/>
              <w:bottom w:val="single" w:sz="4" w:space="0" w:color="7F7F7F" w:themeColor="text1" w:themeTint="80"/>
            </w:tcBorders>
          </w:tcPr>
          <w:p w14:paraId="55A208C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 godina</w:t>
            </w:r>
          </w:p>
        </w:tc>
        <w:tc>
          <w:tcPr>
            <w:tcW w:w="1853" w:type="dxa"/>
            <w:tcBorders>
              <w:top w:val="single" w:sz="4" w:space="0" w:color="7F7F7F" w:themeColor="text1" w:themeTint="80"/>
              <w:bottom w:val="single" w:sz="4" w:space="0" w:color="7F7F7F" w:themeColor="text1" w:themeTint="80"/>
            </w:tcBorders>
          </w:tcPr>
          <w:p w14:paraId="4437DAF0"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Srbija</w:t>
            </w:r>
          </w:p>
        </w:tc>
      </w:tr>
      <w:tr w:rsidR="003801E8" w14:paraId="31160666"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2F1FD83F" w14:textId="77777777" w:rsidR="003801E8" w:rsidRDefault="00E44AAE">
            <w:pPr>
              <w:spacing w:after="0" w:line="360" w:lineRule="auto"/>
              <w:jc w:val="center"/>
              <w:rPr>
                <w:rFonts w:ascii="Book Antiqua" w:hAnsi="Book Antiqua" w:cs="Times New Roman"/>
                <w:b w:val="0"/>
                <w:bCs w:val="0"/>
                <w:sz w:val="18"/>
                <w:szCs w:val="18"/>
                <w:lang w:eastAsia="sr-Latn-ME"/>
              </w:rPr>
            </w:pPr>
            <w:r>
              <w:rPr>
                <w:rFonts w:ascii="Book Antiqua" w:hAnsi="Book Antiqua" w:cs="Times New Roman"/>
                <w:sz w:val="18"/>
                <w:szCs w:val="18"/>
                <w:lang w:eastAsia="sr-Latn-ME"/>
              </w:rPr>
              <w:t xml:space="preserve"> 022</w:t>
            </w:r>
          </w:p>
        </w:tc>
        <w:tc>
          <w:tcPr>
            <w:tcW w:w="1996" w:type="dxa"/>
          </w:tcPr>
          <w:p w14:paraId="73B7BFE0"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Kabernet Sovinjon</w:t>
            </w:r>
          </w:p>
        </w:tc>
        <w:tc>
          <w:tcPr>
            <w:tcW w:w="1421" w:type="dxa"/>
          </w:tcPr>
          <w:p w14:paraId="6B48F02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Kober 5 BB</w:t>
            </w:r>
          </w:p>
        </w:tc>
        <w:tc>
          <w:tcPr>
            <w:tcW w:w="1540" w:type="dxa"/>
          </w:tcPr>
          <w:p w14:paraId="68320B11"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 godina</w:t>
            </w:r>
          </w:p>
        </w:tc>
        <w:tc>
          <w:tcPr>
            <w:tcW w:w="1853" w:type="dxa"/>
          </w:tcPr>
          <w:p w14:paraId="62DF719A"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Srbija</w:t>
            </w:r>
          </w:p>
        </w:tc>
      </w:tr>
      <w:tr w:rsidR="003801E8" w14:paraId="4EB92DD1"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35004EA6" w14:textId="77777777" w:rsidR="003801E8" w:rsidRDefault="00E44AAE">
            <w:pPr>
              <w:spacing w:after="0" w:line="360" w:lineRule="auto"/>
              <w:jc w:val="center"/>
              <w:rPr>
                <w:rFonts w:ascii="Book Antiqua" w:hAnsi="Book Antiqua" w:cs="Times New Roman"/>
                <w:b w:val="0"/>
                <w:bCs w:val="0"/>
                <w:sz w:val="18"/>
                <w:szCs w:val="18"/>
                <w:lang w:eastAsia="sr-Latn-ME"/>
              </w:rPr>
            </w:pPr>
            <w:r>
              <w:rPr>
                <w:rFonts w:ascii="Book Antiqua" w:hAnsi="Book Antiqua" w:cs="Times New Roman"/>
                <w:sz w:val="18"/>
                <w:szCs w:val="18"/>
                <w:lang w:eastAsia="sr-Latn-ME"/>
              </w:rPr>
              <w:t>023</w:t>
            </w:r>
          </w:p>
        </w:tc>
        <w:tc>
          <w:tcPr>
            <w:tcW w:w="1996" w:type="dxa"/>
            <w:tcBorders>
              <w:top w:val="single" w:sz="4" w:space="0" w:color="7F7F7F" w:themeColor="text1" w:themeTint="80"/>
              <w:bottom w:val="single" w:sz="4" w:space="0" w:color="7F7F7F" w:themeColor="text1" w:themeTint="80"/>
            </w:tcBorders>
          </w:tcPr>
          <w:p w14:paraId="67D5F6B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Viktorija</w:t>
            </w:r>
          </w:p>
        </w:tc>
        <w:tc>
          <w:tcPr>
            <w:tcW w:w="1421" w:type="dxa"/>
            <w:tcBorders>
              <w:top w:val="single" w:sz="4" w:space="0" w:color="7F7F7F" w:themeColor="text1" w:themeTint="80"/>
              <w:bottom w:val="single" w:sz="4" w:space="0" w:color="7F7F7F" w:themeColor="text1" w:themeTint="80"/>
            </w:tcBorders>
          </w:tcPr>
          <w:p w14:paraId="1667B8F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Kober 5 BB</w:t>
            </w:r>
          </w:p>
        </w:tc>
        <w:tc>
          <w:tcPr>
            <w:tcW w:w="1540" w:type="dxa"/>
            <w:tcBorders>
              <w:top w:val="single" w:sz="4" w:space="0" w:color="7F7F7F" w:themeColor="text1" w:themeTint="80"/>
              <w:bottom w:val="single" w:sz="4" w:space="0" w:color="7F7F7F" w:themeColor="text1" w:themeTint="80"/>
            </w:tcBorders>
          </w:tcPr>
          <w:p w14:paraId="242F51F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 godina</w:t>
            </w:r>
          </w:p>
        </w:tc>
        <w:tc>
          <w:tcPr>
            <w:tcW w:w="1853" w:type="dxa"/>
            <w:tcBorders>
              <w:top w:val="single" w:sz="4" w:space="0" w:color="7F7F7F" w:themeColor="text1" w:themeTint="80"/>
              <w:bottom w:val="single" w:sz="4" w:space="0" w:color="7F7F7F" w:themeColor="text1" w:themeTint="80"/>
            </w:tcBorders>
          </w:tcPr>
          <w:p w14:paraId="46693F96"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Srbija</w:t>
            </w:r>
          </w:p>
        </w:tc>
      </w:tr>
      <w:tr w:rsidR="003801E8" w14:paraId="44BC2BEE"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311F79FA" w14:textId="77777777" w:rsidR="003801E8" w:rsidRDefault="00E44AAE">
            <w:pPr>
              <w:spacing w:after="0" w:line="360" w:lineRule="auto"/>
              <w:jc w:val="center"/>
              <w:rPr>
                <w:rFonts w:ascii="Book Antiqua" w:hAnsi="Book Antiqua" w:cs="Times New Roman"/>
                <w:b w:val="0"/>
                <w:bCs w:val="0"/>
                <w:sz w:val="18"/>
                <w:szCs w:val="18"/>
                <w:lang w:eastAsia="sr-Latn-ME"/>
              </w:rPr>
            </w:pPr>
            <w:r>
              <w:rPr>
                <w:rFonts w:ascii="Book Antiqua" w:hAnsi="Book Antiqua" w:cs="Times New Roman"/>
                <w:sz w:val="18"/>
                <w:szCs w:val="18"/>
                <w:lang w:eastAsia="sr-Latn-ME"/>
              </w:rPr>
              <w:t>024</w:t>
            </w:r>
          </w:p>
        </w:tc>
        <w:tc>
          <w:tcPr>
            <w:tcW w:w="1996" w:type="dxa"/>
          </w:tcPr>
          <w:p w14:paraId="1F973780"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Pr>
          <w:p w14:paraId="0738EE83"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Pr>
          <w:p w14:paraId="2E22D63B"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 godina</w:t>
            </w:r>
          </w:p>
        </w:tc>
        <w:tc>
          <w:tcPr>
            <w:tcW w:w="1853" w:type="dxa"/>
          </w:tcPr>
          <w:p w14:paraId="09816995"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Srbija</w:t>
            </w:r>
          </w:p>
        </w:tc>
      </w:tr>
      <w:tr w:rsidR="003801E8" w14:paraId="61AE8E6D"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01EE2926" w14:textId="77777777" w:rsidR="003801E8" w:rsidRDefault="00E44AAE">
            <w:pPr>
              <w:spacing w:after="0" w:line="360" w:lineRule="auto"/>
              <w:jc w:val="center"/>
              <w:rPr>
                <w:rFonts w:ascii="Book Antiqua" w:hAnsi="Book Antiqua" w:cs="Times New Roman"/>
                <w:b w:val="0"/>
                <w:bCs w:val="0"/>
                <w:sz w:val="18"/>
                <w:szCs w:val="18"/>
                <w:lang w:eastAsia="sr-Latn-ME"/>
              </w:rPr>
            </w:pPr>
            <w:r>
              <w:rPr>
                <w:rFonts w:ascii="Book Antiqua" w:hAnsi="Book Antiqua" w:cs="Times New Roman"/>
                <w:sz w:val="18"/>
                <w:szCs w:val="18"/>
                <w:lang w:eastAsia="sr-Latn-ME"/>
              </w:rPr>
              <w:t>025</w:t>
            </w:r>
          </w:p>
        </w:tc>
        <w:tc>
          <w:tcPr>
            <w:tcW w:w="1996" w:type="dxa"/>
            <w:tcBorders>
              <w:top w:val="single" w:sz="4" w:space="0" w:color="7F7F7F" w:themeColor="text1" w:themeTint="80"/>
              <w:bottom w:val="single" w:sz="4" w:space="0" w:color="7F7F7F" w:themeColor="text1" w:themeTint="80"/>
            </w:tcBorders>
          </w:tcPr>
          <w:p w14:paraId="28AD488F"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Muskat Hamburg</w:t>
            </w:r>
          </w:p>
        </w:tc>
        <w:tc>
          <w:tcPr>
            <w:tcW w:w="1421" w:type="dxa"/>
            <w:tcBorders>
              <w:top w:val="single" w:sz="4" w:space="0" w:color="7F7F7F" w:themeColor="text1" w:themeTint="80"/>
              <w:bottom w:val="single" w:sz="4" w:space="0" w:color="7F7F7F" w:themeColor="text1" w:themeTint="80"/>
            </w:tcBorders>
          </w:tcPr>
          <w:p w14:paraId="1AC560CF"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Borders>
              <w:top w:val="single" w:sz="4" w:space="0" w:color="7F7F7F" w:themeColor="text1" w:themeTint="80"/>
              <w:bottom w:val="single" w:sz="4" w:space="0" w:color="7F7F7F" w:themeColor="text1" w:themeTint="80"/>
            </w:tcBorders>
          </w:tcPr>
          <w:p w14:paraId="211F9AED"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 godina</w:t>
            </w:r>
          </w:p>
        </w:tc>
        <w:tc>
          <w:tcPr>
            <w:tcW w:w="1853" w:type="dxa"/>
            <w:tcBorders>
              <w:top w:val="single" w:sz="4" w:space="0" w:color="7F7F7F" w:themeColor="text1" w:themeTint="80"/>
              <w:bottom w:val="single" w:sz="4" w:space="0" w:color="7F7F7F" w:themeColor="text1" w:themeTint="80"/>
            </w:tcBorders>
          </w:tcPr>
          <w:p w14:paraId="548732A4"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Srbija</w:t>
            </w:r>
          </w:p>
        </w:tc>
      </w:tr>
      <w:tr w:rsidR="003801E8" w14:paraId="35D8F86F"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009AC511" w14:textId="77777777" w:rsidR="003801E8" w:rsidRDefault="00E44AAE">
            <w:pPr>
              <w:spacing w:after="0" w:line="360" w:lineRule="auto"/>
              <w:jc w:val="center"/>
              <w:rPr>
                <w:rFonts w:ascii="Book Antiqua" w:hAnsi="Book Antiqua" w:cs="Times New Roman"/>
                <w:b w:val="0"/>
                <w:bCs w:val="0"/>
                <w:sz w:val="18"/>
                <w:szCs w:val="18"/>
                <w:lang w:eastAsia="sr-Latn-ME"/>
              </w:rPr>
            </w:pPr>
            <w:r>
              <w:rPr>
                <w:rFonts w:ascii="Book Antiqua" w:hAnsi="Book Antiqua" w:cs="Times New Roman"/>
                <w:sz w:val="18"/>
                <w:szCs w:val="18"/>
                <w:lang w:eastAsia="sr-Latn-ME"/>
              </w:rPr>
              <w:t>026</w:t>
            </w:r>
          </w:p>
        </w:tc>
        <w:tc>
          <w:tcPr>
            <w:tcW w:w="1996" w:type="dxa"/>
          </w:tcPr>
          <w:p w14:paraId="4C86CC01"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Pr>
          <w:p w14:paraId="6A4D305B"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Pr>
          <w:p w14:paraId="2E45113D"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 godina</w:t>
            </w:r>
          </w:p>
        </w:tc>
        <w:tc>
          <w:tcPr>
            <w:tcW w:w="1853" w:type="dxa"/>
          </w:tcPr>
          <w:p w14:paraId="2AB32681"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Srbija</w:t>
            </w:r>
          </w:p>
        </w:tc>
      </w:tr>
      <w:tr w:rsidR="003801E8" w14:paraId="0D3B2D06"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5FBF7E6F" w14:textId="77777777" w:rsidR="003801E8" w:rsidRDefault="00E44AAE">
            <w:pPr>
              <w:spacing w:after="0" w:line="360" w:lineRule="auto"/>
              <w:jc w:val="center"/>
              <w:rPr>
                <w:rFonts w:ascii="Book Antiqua" w:hAnsi="Book Antiqua" w:cs="Times New Roman"/>
                <w:b w:val="0"/>
                <w:bCs w:val="0"/>
                <w:sz w:val="18"/>
                <w:szCs w:val="18"/>
                <w:lang w:eastAsia="sr-Latn-ME"/>
              </w:rPr>
            </w:pPr>
            <w:r>
              <w:rPr>
                <w:rFonts w:ascii="Book Antiqua" w:hAnsi="Book Antiqua" w:cs="Times New Roman"/>
                <w:sz w:val="18"/>
                <w:szCs w:val="18"/>
                <w:lang w:eastAsia="sr-Latn-ME"/>
              </w:rPr>
              <w:t>027</w:t>
            </w:r>
          </w:p>
        </w:tc>
        <w:tc>
          <w:tcPr>
            <w:tcW w:w="1996" w:type="dxa"/>
            <w:tcBorders>
              <w:top w:val="single" w:sz="4" w:space="0" w:color="7F7F7F" w:themeColor="text1" w:themeTint="80"/>
              <w:bottom w:val="single" w:sz="4" w:space="0" w:color="7F7F7F" w:themeColor="text1" w:themeTint="80"/>
            </w:tcBorders>
          </w:tcPr>
          <w:p w14:paraId="5062466F"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Kabernet Sovinjon</w:t>
            </w:r>
          </w:p>
        </w:tc>
        <w:tc>
          <w:tcPr>
            <w:tcW w:w="1421" w:type="dxa"/>
            <w:tcBorders>
              <w:top w:val="single" w:sz="4" w:space="0" w:color="7F7F7F" w:themeColor="text1" w:themeTint="80"/>
              <w:bottom w:val="single" w:sz="4" w:space="0" w:color="7F7F7F" w:themeColor="text1" w:themeTint="80"/>
            </w:tcBorders>
          </w:tcPr>
          <w:p w14:paraId="6534EF8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Borders>
              <w:top w:val="single" w:sz="4" w:space="0" w:color="7F7F7F" w:themeColor="text1" w:themeTint="80"/>
              <w:bottom w:val="single" w:sz="4" w:space="0" w:color="7F7F7F" w:themeColor="text1" w:themeTint="80"/>
            </w:tcBorders>
          </w:tcPr>
          <w:p w14:paraId="3AD7159E"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 godina</w:t>
            </w:r>
          </w:p>
        </w:tc>
        <w:tc>
          <w:tcPr>
            <w:tcW w:w="1853" w:type="dxa"/>
            <w:tcBorders>
              <w:top w:val="single" w:sz="4" w:space="0" w:color="7F7F7F" w:themeColor="text1" w:themeTint="80"/>
              <w:bottom w:val="single" w:sz="4" w:space="0" w:color="7F7F7F" w:themeColor="text1" w:themeTint="80"/>
            </w:tcBorders>
          </w:tcPr>
          <w:p w14:paraId="686531FA"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Srbija</w:t>
            </w:r>
          </w:p>
        </w:tc>
      </w:tr>
      <w:tr w:rsidR="003801E8" w14:paraId="231D1D6A"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323AF38E" w14:textId="77777777" w:rsidR="003801E8" w:rsidRDefault="00E44AAE">
            <w:pPr>
              <w:spacing w:after="0" w:line="360" w:lineRule="auto"/>
              <w:jc w:val="center"/>
              <w:rPr>
                <w:rFonts w:ascii="Book Antiqua" w:hAnsi="Book Antiqua" w:cs="Times New Roman"/>
                <w:b w:val="0"/>
                <w:bCs w:val="0"/>
                <w:sz w:val="18"/>
                <w:szCs w:val="18"/>
                <w:lang w:eastAsia="sr-Latn-ME"/>
              </w:rPr>
            </w:pPr>
            <w:r>
              <w:rPr>
                <w:rFonts w:ascii="Book Antiqua" w:hAnsi="Book Antiqua" w:cs="Times New Roman"/>
                <w:sz w:val="18"/>
                <w:szCs w:val="18"/>
                <w:lang w:eastAsia="sr-Latn-ME"/>
              </w:rPr>
              <w:t>028</w:t>
            </w:r>
          </w:p>
        </w:tc>
        <w:tc>
          <w:tcPr>
            <w:tcW w:w="1996" w:type="dxa"/>
          </w:tcPr>
          <w:p w14:paraId="1A9E6727"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Pr>
          <w:p w14:paraId="49E81178"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Pr>
          <w:p w14:paraId="66F2FB50"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 godina</w:t>
            </w:r>
          </w:p>
        </w:tc>
        <w:tc>
          <w:tcPr>
            <w:tcW w:w="1853" w:type="dxa"/>
          </w:tcPr>
          <w:p w14:paraId="12A01A49"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Srbija</w:t>
            </w:r>
          </w:p>
        </w:tc>
      </w:tr>
      <w:tr w:rsidR="003801E8" w14:paraId="760AAD70" w14:textId="77777777" w:rsidTr="003801E8">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7F7F7F" w:themeColor="text1" w:themeTint="80"/>
            </w:tcBorders>
          </w:tcPr>
          <w:p w14:paraId="2EFE3C82" w14:textId="77777777" w:rsidR="003801E8" w:rsidRDefault="00E44AAE">
            <w:pPr>
              <w:spacing w:after="0" w:line="360" w:lineRule="auto"/>
              <w:jc w:val="center"/>
              <w:rPr>
                <w:rFonts w:ascii="Book Antiqua" w:hAnsi="Book Antiqua" w:cs="Times New Roman"/>
                <w:b w:val="0"/>
                <w:bCs w:val="0"/>
                <w:sz w:val="18"/>
                <w:szCs w:val="18"/>
                <w:lang w:eastAsia="sr-Latn-ME"/>
              </w:rPr>
            </w:pPr>
            <w:r>
              <w:rPr>
                <w:rFonts w:ascii="Book Antiqua" w:hAnsi="Book Antiqua" w:cs="Times New Roman"/>
                <w:sz w:val="18"/>
                <w:szCs w:val="18"/>
                <w:lang w:eastAsia="sr-Latn-ME"/>
              </w:rPr>
              <w:t>029</w:t>
            </w:r>
          </w:p>
        </w:tc>
        <w:tc>
          <w:tcPr>
            <w:tcW w:w="1996" w:type="dxa"/>
            <w:tcBorders>
              <w:top w:val="single" w:sz="4" w:space="0" w:color="7F7F7F" w:themeColor="text1" w:themeTint="80"/>
              <w:bottom w:val="single" w:sz="4" w:space="0" w:color="7F7F7F" w:themeColor="text1" w:themeTint="80"/>
            </w:tcBorders>
          </w:tcPr>
          <w:p w14:paraId="6A640843"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Vranac</w:t>
            </w:r>
          </w:p>
        </w:tc>
        <w:tc>
          <w:tcPr>
            <w:tcW w:w="1421" w:type="dxa"/>
            <w:tcBorders>
              <w:top w:val="single" w:sz="4" w:space="0" w:color="7F7F7F" w:themeColor="text1" w:themeTint="80"/>
              <w:bottom w:val="single" w:sz="4" w:space="0" w:color="7F7F7F" w:themeColor="text1" w:themeTint="80"/>
            </w:tcBorders>
          </w:tcPr>
          <w:p w14:paraId="1A9DE5A8"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Borders>
              <w:top w:val="single" w:sz="4" w:space="0" w:color="7F7F7F" w:themeColor="text1" w:themeTint="80"/>
              <w:bottom w:val="single" w:sz="4" w:space="0" w:color="7F7F7F" w:themeColor="text1" w:themeTint="80"/>
            </w:tcBorders>
          </w:tcPr>
          <w:p w14:paraId="3680266A"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 godina</w:t>
            </w:r>
          </w:p>
        </w:tc>
        <w:tc>
          <w:tcPr>
            <w:tcW w:w="1853" w:type="dxa"/>
            <w:tcBorders>
              <w:top w:val="single" w:sz="4" w:space="0" w:color="7F7F7F" w:themeColor="text1" w:themeTint="80"/>
              <w:bottom w:val="single" w:sz="4" w:space="0" w:color="7F7F7F" w:themeColor="text1" w:themeTint="80"/>
            </w:tcBorders>
          </w:tcPr>
          <w:p w14:paraId="6D4E75D0"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Srbija</w:t>
            </w:r>
          </w:p>
        </w:tc>
      </w:tr>
      <w:tr w:rsidR="003801E8" w14:paraId="2D25FC42" w14:textId="77777777" w:rsidTr="003801E8">
        <w:tc>
          <w:tcPr>
            <w:cnfStyle w:val="001000000000" w:firstRow="0" w:lastRow="0" w:firstColumn="1" w:lastColumn="0" w:oddVBand="0" w:evenVBand="0" w:oddHBand="0" w:evenHBand="0" w:firstRowFirstColumn="0" w:firstRowLastColumn="0" w:lastRowFirstColumn="0" w:lastRowLastColumn="0"/>
            <w:tcW w:w="0" w:type="dxa"/>
          </w:tcPr>
          <w:p w14:paraId="12AC8BB7" w14:textId="77777777" w:rsidR="003801E8" w:rsidRDefault="00E44AAE">
            <w:pPr>
              <w:spacing w:after="0" w:line="360" w:lineRule="auto"/>
              <w:jc w:val="center"/>
              <w:rPr>
                <w:rFonts w:ascii="Book Antiqua" w:hAnsi="Book Antiqua" w:cs="Times New Roman"/>
                <w:b w:val="0"/>
                <w:bCs w:val="0"/>
                <w:sz w:val="18"/>
                <w:szCs w:val="18"/>
                <w:lang w:eastAsia="sr-Latn-ME"/>
              </w:rPr>
            </w:pPr>
            <w:r>
              <w:rPr>
                <w:rFonts w:ascii="Book Antiqua" w:hAnsi="Book Antiqua" w:cs="Times New Roman"/>
                <w:sz w:val="18"/>
                <w:szCs w:val="18"/>
                <w:lang w:eastAsia="sr-Latn-ME"/>
              </w:rPr>
              <w:t>030</w:t>
            </w:r>
          </w:p>
        </w:tc>
        <w:tc>
          <w:tcPr>
            <w:tcW w:w="1996" w:type="dxa"/>
          </w:tcPr>
          <w:p w14:paraId="00789FDC"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Merlot</w:t>
            </w:r>
          </w:p>
        </w:tc>
        <w:tc>
          <w:tcPr>
            <w:tcW w:w="1421" w:type="dxa"/>
          </w:tcPr>
          <w:p w14:paraId="2E996D20"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Paulsen 1103</w:t>
            </w:r>
          </w:p>
        </w:tc>
        <w:tc>
          <w:tcPr>
            <w:tcW w:w="1540" w:type="dxa"/>
          </w:tcPr>
          <w:p w14:paraId="4EFC32ED"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 godina</w:t>
            </w:r>
          </w:p>
        </w:tc>
        <w:tc>
          <w:tcPr>
            <w:tcW w:w="1853" w:type="dxa"/>
          </w:tcPr>
          <w:p w14:paraId="3C3A8C52" w14:textId="77777777" w:rsidR="003801E8" w:rsidRDefault="00E44AA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bCs/>
                <w:sz w:val="18"/>
                <w:szCs w:val="18"/>
                <w:lang w:eastAsia="sr-Latn-ME"/>
              </w:rPr>
            </w:pPr>
            <w:r>
              <w:rPr>
                <w:rFonts w:ascii="Book Antiqua" w:hAnsi="Book Antiqua" w:cs="Times New Roman"/>
                <w:bCs/>
                <w:sz w:val="18"/>
                <w:szCs w:val="18"/>
                <w:lang w:eastAsia="sr-Latn-ME"/>
              </w:rPr>
              <w:t>Srbija</w:t>
            </w:r>
          </w:p>
        </w:tc>
      </w:tr>
    </w:tbl>
    <w:p w14:paraId="254B3AFB" w14:textId="77777777" w:rsidR="003801E8" w:rsidRDefault="003801E8">
      <w:pPr>
        <w:spacing w:after="160" w:line="360" w:lineRule="auto"/>
        <w:jc w:val="both"/>
        <w:rPr>
          <w:rFonts w:ascii="Book Antiqua" w:hAnsi="Book Antiqua" w:cs="Times New Roman"/>
          <w:b/>
          <w:kern w:val="2"/>
          <w:sz w:val="24"/>
          <w:szCs w:val="24"/>
          <w:lang w:val="en-US" w:eastAsia="sr-Latn-ME"/>
        </w:rPr>
      </w:pPr>
    </w:p>
    <w:p w14:paraId="52228234" w14:textId="77777777" w:rsidR="003801E8" w:rsidRDefault="003801E8">
      <w:pPr>
        <w:spacing w:after="160" w:line="360" w:lineRule="auto"/>
        <w:jc w:val="both"/>
        <w:rPr>
          <w:rFonts w:ascii="Book Antiqua" w:hAnsi="Book Antiqua" w:cs="Times New Roman"/>
          <w:b/>
          <w:kern w:val="2"/>
          <w:sz w:val="24"/>
          <w:szCs w:val="24"/>
          <w:lang w:val="en-US" w:eastAsia="sr-Latn-ME"/>
        </w:rPr>
      </w:pPr>
    </w:p>
    <w:p w14:paraId="10E9E8A0" w14:textId="77777777" w:rsidR="003801E8" w:rsidRDefault="003801E8">
      <w:pPr>
        <w:spacing w:after="160" w:line="360" w:lineRule="auto"/>
        <w:jc w:val="both"/>
        <w:rPr>
          <w:rFonts w:ascii="Book Antiqua" w:hAnsi="Book Antiqua" w:cs="Times New Roman"/>
          <w:b/>
          <w:kern w:val="2"/>
          <w:sz w:val="24"/>
          <w:szCs w:val="24"/>
          <w:lang w:val="en-US" w:eastAsia="sr-Latn-ME"/>
        </w:rPr>
      </w:pPr>
    </w:p>
    <w:p w14:paraId="788DEC88" w14:textId="77777777" w:rsidR="003801E8" w:rsidRDefault="00E44AAE">
      <w:pPr>
        <w:spacing w:after="160" w:line="360" w:lineRule="auto"/>
        <w:jc w:val="both"/>
        <w:rPr>
          <w:rFonts w:ascii="Book Antiqua" w:hAnsi="Book Antiqua" w:cs="Times New Roman"/>
          <w:b/>
          <w:i/>
          <w:iCs/>
          <w:kern w:val="2"/>
          <w:sz w:val="24"/>
          <w:szCs w:val="24"/>
          <w:lang w:val="en-US" w:eastAsia="sr-Latn-ME"/>
        </w:rPr>
      </w:pPr>
      <w:r>
        <w:rPr>
          <w:rFonts w:ascii="Book Antiqua" w:hAnsi="Book Antiqua" w:cs="Times New Roman"/>
          <w:b/>
          <w:kern w:val="2"/>
          <w:sz w:val="24"/>
          <w:szCs w:val="24"/>
          <w:lang w:val="en-US" w:eastAsia="sr-Latn-ME"/>
        </w:rPr>
        <w:lastRenderedPageBreak/>
        <w:t xml:space="preserve">4.2 </w:t>
      </w:r>
      <w:r>
        <w:rPr>
          <w:rFonts w:ascii="Book Antiqua" w:hAnsi="Book Antiqua" w:cs="Times New Roman"/>
          <w:b/>
          <w:iCs/>
          <w:kern w:val="2"/>
          <w:sz w:val="24"/>
          <w:szCs w:val="24"/>
          <w:lang w:val="en-US" w:eastAsia="sr-Latn-ME"/>
        </w:rPr>
        <w:t>Izolacija fitopatogena iz čokota vinove loze</w:t>
      </w:r>
      <w:r>
        <w:rPr>
          <w:rFonts w:ascii="Book Antiqua" w:hAnsi="Book Antiqua" w:cs="Times New Roman"/>
          <w:b/>
          <w:i/>
          <w:iCs/>
          <w:kern w:val="2"/>
          <w:sz w:val="24"/>
          <w:szCs w:val="24"/>
          <w:lang w:val="en-US" w:eastAsia="sr-Latn-ME"/>
        </w:rPr>
        <w:t xml:space="preserve"> </w:t>
      </w:r>
    </w:p>
    <w:p w14:paraId="77B81643"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 xml:space="preserve">Sa uzorkovanih </w:t>
      </w:r>
      <w:r>
        <w:rPr>
          <w:rFonts w:ascii="Book Antiqua" w:hAnsi="Book Antiqua" w:cs="Times New Roman"/>
          <w:bCs/>
          <w:kern w:val="2"/>
          <w:sz w:val="24"/>
          <w:szCs w:val="24"/>
          <w:lang w:eastAsia="sr-Latn-ME"/>
        </w:rPr>
        <w:t>čokota</w:t>
      </w:r>
      <w:r>
        <w:rPr>
          <w:rFonts w:ascii="Book Antiqua" w:hAnsi="Book Antiqua" w:cs="Times New Roman"/>
          <w:bCs/>
          <w:kern w:val="2"/>
          <w:sz w:val="24"/>
          <w:szCs w:val="24"/>
          <w:lang w:val="en-US" w:eastAsia="sr-Latn-ME"/>
        </w:rPr>
        <w:t xml:space="preserve"> vinove loze obavljeno je skidanje kore, a zatim su u cilju detekcije vaskularnih promjena napravljeni poprečni i uzdužni presjeci na svakih 10 cm dužine. Upotrebom testera, odsječeni su tanki fragmenti simptomatičnog drveta u vidu čipsa. Sa prelaza između oboljelog i zdravog dijela tkiva su sterilnim alatom izdvojeni sitni fragmenti drveta. </w:t>
      </w:r>
    </w:p>
    <w:p w14:paraId="6C3B0817"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 xml:space="preserve">Prilikom izolacije mikroorganizama iz sadnog materijala vinove loze, na biljakama su sterilnim makazama  napravljeni poprečni i uzdužni presjeci u zoni kalem mjesta, sredini podloge i zoni korjenovog sistema. Upotrebom sterilnog skalpela pažljivo je odstranjena kora, a makazama su izdvojeni sitni fragmenti drveta sa prelaza oboljelog i zdravog tkiva. </w:t>
      </w:r>
    </w:p>
    <w:p w14:paraId="2FB24F05" w14:textId="77777777" w:rsidR="003801E8" w:rsidRDefault="00E44AAE">
      <w:pPr>
        <w:spacing w:after="160" w:line="360" w:lineRule="auto"/>
        <w:jc w:val="both"/>
        <w:rPr>
          <w:rFonts w:ascii="Book Antiqua" w:hAnsi="Book Antiqua" w:cs="Times New Roman"/>
          <w:sz w:val="24"/>
          <w:szCs w:val="24"/>
          <w:lang w:val="en-US" w:eastAsia="sr-Latn-ME"/>
        </w:rPr>
      </w:pPr>
      <w:r>
        <w:rPr>
          <w:rFonts w:ascii="Book Antiqua" w:hAnsi="Book Antiqua" w:cs="Times New Roman"/>
          <w:bCs/>
          <w:kern w:val="2"/>
          <w:sz w:val="24"/>
          <w:szCs w:val="24"/>
          <w:lang w:val="en-US" w:eastAsia="sr-Latn-ME"/>
        </w:rPr>
        <w:t xml:space="preserve">Površinska sterilizacija obavljena je potapanjem u 1,5% rastvor natrijum hipohlorita u trajanju od 2 min. Nakon toga proces sterilizacije nastavljen je potapanjem 30 sekundi u 70% etanol i završen dvostrukim ispiranjem u sterilnoj destilovanoj vodi. Sušenje fragmenata biljnog tkiva je obavljeno na sterilnom filter papiru, nakon čega su nanešeni na krompir dekstrozni agar (KDA; Biolife ref. 4019352, Italia). U cilju sprečavanja razvoja bakterija, prema </w:t>
      </w:r>
      <w:r>
        <w:rPr>
          <w:rFonts w:ascii="Book Antiqua" w:hAnsi="Book Antiqua" w:cs="Times New Roman"/>
          <w:b/>
          <w:kern w:val="2"/>
          <w:sz w:val="24"/>
          <w:szCs w:val="24"/>
          <w:lang w:val="en-US" w:eastAsia="sr-Latn-ME"/>
        </w:rPr>
        <w:t>Armengol et al. (2001)</w:t>
      </w:r>
      <w:r>
        <w:rPr>
          <w:rFonts w:ascii="Book Antiqua" w:hAnsi="Book Antiqua" w:cs="Times New Roman"/>
          <w:bCs/>
          <w:kern w:val="2"/>
          <w:sz w:val="24"/>
          <w:szCs w:val="24"/>
          <w:lang w:val="en-US" w:eastAsia="sr-Latn-ME"/>
        </w:rPr>
        <w:t xml:space="preserve"> u hranljivu podlogu dodat je antibiotik streptomicin sulfat (0.5 mg ml-1). Petri kutije sa fragmentima biljnog tkiva postavljene su na inkubiaciju u termostat na 25 °C. Tokom inkubacionog perioda Petri kutije su redovno pregledane u cilju eliminacije saprofitnih gljiva. Nakon 14 dana inkubacije, izolovane gljive su presijane u nove Petri kutije i inkubirane u termostatu na temperaturi od 25 °C. </w:t>
      </w:r>
    </w:p>
    <w:p w14:paraId="668E459C"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 xml:space="preserve">U cilju dobijanja monocitogene kulture u sterilnoj destilovanoj vodi napravljena je suspenzija micelije 36 odabranih izolata. Dobijena suspenzija je razblažena tri puta (1:10, 1:100, 1:1000) i alikvot od 0.1 µl razblažene suspenzije pipetiran je u Petri posudu na KDA. Petri posude su inkubirane u termostatu 24 sata, a zatim posmatrane pod mikroskopom. Mlada micelija je pažljivo prenešena u nove Petri </w:t>
      </w:r>
      <w:r>
        <w:rPr>
          <w:rFonts w:ascii="Book Antiqua" w:hAnsi="Book Antiqua" w:cs="Times New Roman"/>
          <w:bCs/>
          <w:kern w:val="2"/>
          <w:sz w:val="24"/>
          <w:szCs w:val="24"/>
          <w:lang w:val="en-US" w:eastAsia="sr-Latn-ME"/>
        </w:rPr>
        <w:lastRenderedPageBreak/>
        <w:t xml:space="preserve">posude koje su nakon toga inkubirane u termostatu u cilju razvoja monocitogene kolonija gljiva. </w:t>
      </w:r>
    </w:p>
    <w:p w14:paraId="7B1166DB"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Od velikog broja izolovanih gljiva, za dalju molekularnu identifikaciju su odabrani izolati koji su morfolo</w:t>
      </w:r>
      <w:r>
        <w:rPr>
          <w:rFonts w:ascii="Book Antiqua" w:hAnsi="Book Antiqua" w:cs="Times New Roman"/>
          <w:bCs/>
          <w:kern w:val="2"/>
          <w:sz w:val="24"/>
          <w:szCs w:val="24"/>
          <w:lang w:val="sr-Latn-RS" w:eastAsia="sr-Latn-ME"/>
        </w:rPr>
        <w:t xml:space="preserve">škim karakteristikama podsjećali na patogene prouzrokovače bolesti drveta vinove loze prema Crous </w:t>
      </w:r>
      <w:r>
        <w:rPr>
          <w:rFonts w:ascii="Book Antiqua" w:hAnsi="Book Antiqua" w:cs="Times New Roman"/>
          <w:bCs/>
          <w:kern w:val="2"/>
          <w:sz w:val="24"/>
          <w:szCs w:val="24"/>
          <w:lang w:val="en-US" w:eastAsia="sr-Latn-ME"/>
        </w:rPr>
        <w:t xml:space="preserve">&amp; Gams (2000); </w:t>
      </w:r>
      <w:r>
        <w:rPr>
          <w:rFonts w:ascii="Book Antiqua" w:hAnsi="Book Antiqua" w:cs="Times New Roman"/>
          <w:bCs/>
          <w:kern w:val="2"/>
          <w:sz w:val="24"/>
          <w:szCs w:val="24"/>
          <w:lang w:val="sr-Latn-RS" w:eastAsia="sr-Latn-ME"/>
        </w:rPr>
        <w:t xml:space="preserve">Fischer (2002); Gramaje et al. (2011); Henriques et al. (2015); Zhang et al. (2017); Guarnaccia et al. (2018); Camele &amp; Mang (2019) i Ye et al. (2021). </w:t>
      </w:r>
      <w:r>
        <w:rPr>
          <w:rFonts w:ascii="Book Antiqua" w:hAnsi="Book Antiqua" w:cs="Times New Roman"/>
          <w:bCs/>
          <w:kern w:val="2"/>
          <w:sz w:val="24"/>
          <w:szCs w:val="24"/>
          <w:lang w:val="en-US" w:eastAsia="sr-Latn-ME"/>
        </w:rPr>
        <w:t xml:space="preserve">Takođe, predmet molekularne identifikacije su bili izolati koji su morfološkim karakteristikama prema </w:t>
      </w:r>
      <w:r>
        <w:rPr>
          <w:rFonts w:ascii="Book Antiqua" w:hAnsi="Book Antiqua" w:cs="Times New Roman"/>
          <w:bCs/>
          <w:iCs/>
          <w:kern w:val="2"/>
          <w:sz w:val="24"/>
          <w:szCs w:val="24"/>
          <w:lang w:val="en-US" w:eastAsia="sr-Latn-ME"/>
        </w:rPr>
        <w:t>Gezgin et al. (2023)</w:t>
      </w:r>
      <w:r>
        <w:rPr>
          <w:rFonts w:ascii="Book Antiqua" w:hAnsi="Book Antiqua" w:cs="Times New Roman"/>
          <w:bCs/>
          <w:kern w:val="2"/>
          <w:sz w:val="24"/>
          <w:szCs w:val="24"/>
          <w:lang w:val="en-US" w:eastAsia="sr-Latn-ME"/>
        </w:rPr>
        <w:t xml:space="preserve"> bili slični gljivama iz roda </w:t>
      </w:r>
      <w:r>
        <w:rPr>
          <w:rFonts w:ascii="Book Antiqua" w:hAnsi="Book Antiqua" w:cs="Times New Roman"/>
          <w:bCs/>
          <w:i/>
          <w:kern w:val="2"/>
          <w:sz w:val="24"/>
          <w:szCs w:val="24"/>
          <w:lang w:val="en-US" w:eastAsia="sr-Latn-ME"/>
        </w:rPr>
        <w:t>Trichoderma</w:t>
      </w:r>
      <w:r>
        <w:rPr>
          <w:rFonts w:ascii="Book Antiqua" w:hAnsi="Book Antiqua" w:cs="Times New Roman"/>
          <w:bCs/>
          <w:iCs/>
          <w:kern w:val="2"/>
          <w:sz w:val="24"/>
          <w:szCs w:val="24"/>
          <w:lang w:val="en-US" w:eastAsia="sr-Latn-ME"/>
        </w:rPr>
        <w:t>.</w:t>
      </w:r>
      <w:r>
        <w:rPr>
          <w:rFonts w:ascii="Book Antiqua" w:hAnsi="Book Antiqua" w:cs="Times New Roman"/>
          <w:bCs/>
          <w:i/>
          <w:kern w:val="2"/>
          <w:sz w:val="24"/>
          <w:szCs w:val="24"/>
          <w:lang w:val="en-US" w:eastAsia="sr-Latn-ME"/>
        </w:rPr>
        <w:t xml:space="preserve"> </w:t>
      </w:r>
    </w:p>
    <w:p w14:paraId="65A3E30E" w14:textId="77777777" w:rsidR="003801E8" w:rsidRDefault="003801E8">
      <w:pPr>
        <w:spacing w:after="160" w:line="360" w:lineRule="auto"/>
        <w:jc w:val="both"/>
        <w:rPr>
          <w:rFonts w:ascii="Book Antiqua" w:hAnsi="Book Antiqua" w:cs="Times New Roman"/>
          <w:sz w:val="24"/>
          <w:szCs w:val="24"/>
          <w:lang w:val="en-US" w:eastAsia="sr-Latn-ME"/>
        </w:rPr>
      </w:pPr>
    </w:p>
    <w:p w14:paraId="5B4A87E5" w14:textId="77777777" w:rsidR="003801E8" w:rsidRDefault="00E44AAE">
      <w:pPr>
        <w:spacing w:after="160" w:line="360" w:lineRule="auto"/>
        <w:jc w:val="both"/>
        <w:rPr>
          <w:rFonts w:ascii="Book Antiqua" w:hAnsi="Book Antiqua" w:cs="Times New Roman"/>
          <w:b/>
          <w:iCs/>
          <w:kern w:val="2"/>
          <w:sz w:val="24"/>
          <w:szCs w:val="24"/>
          <w:lang w:val="en-US" w:eastAsia="sr-Latn-ME"/>
        </w:rPr>
      </w:pPr>
      <w:r>
        <w:rPr>
          <w:rFonts w:ascii="Book Antiqua" w:hAnsi="Book Antiqua" w:cs="Times New Roman"/>
          <w:b/>
          <w:kern w:val="2"/>
          <w:sz w:val="24"/>
          <w:szCs w:val="24"/>
          <w:lang w:val="en-US" w:eastAsia="sr-Latn-ME"/>
        </w:rPr>
        <w:t xml:space="preserve">4.3 </w:t>
      </w:r>
      <w:r>
        <w:rPr>
          <w:rFonts w:ascii="Book Antiqua" w:hAnsi="Book Antiqua" w:cs="Times New Roman"/>
          <w:b/>
          <w:iCs/>
          <w:kern w:val="2"/>
          <w:sz w:val="24"/>
          <w:szCs w:val="24"/>
          <w:lang w:val="en-US" w:eastAsia="sr-Latn-ME"/>
        </w:rPr>
        <w:t xml:space="preserve">Molekularna identifikacija </w:t>
      </w:r>
    </w:p>
    <w:p w14:paraId="554C470A"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Ekstrakcija DNK 39 odabranih izolata, vršena je upotrebom KAPA Taq PCR Kit i Wizard ® Genomic DNA Purification Kit od Promega, prate</w:t>
      </w:r>
      <w:r>
        <w:rPr>
          <w:rFonts w:ascii="Book Antiqua" w:hAnsi="Book Antiqua" w:cs="Times New Roman"/>
          <w:bCs/>
          <w:kern w:val="2"/>
          <w:sz w:val="24"/>
          <w:szCs w:val="24"/>
          <w:lang w:eastAsia="sr-Latn-ME"/>
        </w:rPr>
        <w:t xml:space="preserve">ći standardne protokole proizvođača. </w:t>
      </w:r>
    </w:p>
    <w:p w14:paraId="6A4E2538"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 xml:space="preserve">Prajmeri korišćeni za sekvencioniranje ITS, LSU,TEF 1a, TUB2, ACT, HIS, CAL, RPB2 prikazani su u tabeli 5. PCR produkti su vizuelizovani elektroforezom u 0.5% agaroznom gelu na 80V u tri acetate EDTA buferu pri trajanju od 30 minuta. Molekularna PCR dijagnostika, prečišćavanje produkata i procjena kvaliteta dobijene DNK obavljena je u laboratorijama Poljoprivrednog Univerziteta u Atini (Grčka),Univerziteta u Reimsu (Francuska), i Macrogen Europa (Holandija). Identifikacija testiranih izolata gljiva do nivoa vrste, a na osnovu sekvencioniranja dijela genoma tj. odabranih konzervisanih gena, obavljena je u kompanijama CEMIA (Larissa, Grčka), Azenta Life Sciences US. Inc. u Londonu i Macrogen Europa (Holandija). Sekvence su sastavljene korišćenjem softvera BioEdit. Ink, a u cilju identifikacije upoređene sa podacima u bazi podataka NCBI GenBank (The National Center for Biotechnology Information), upotrebom softvera BLASTn. </w:t>
      </w:r>
    </w:p>
    <w:p w14:paraId="52F6C656" w14:textId="77777777" w:rsidR="003801E8" w:rsidRDefault="003801E8">
      <w:pPr>
        <w:spacing w:after="160" w:line="360" w:lineRule="auto"/>
        <w:jc w:val="both"/>
        <w:rPr>
          <w:rFonts w:ascii="Book Antiqua" w:hAnsi="Book Antiqua" w:cs="Times New Roman"/>
          <w:bCs/>
          <w:kern w:val="2"/>
          <w:sz w:val="24"/>
          <w:szCs w:val="24"/>
          <w:lang w:val="en-US" w:eastAsia="sr-Latn-ME"/>
        </w:rPr>
      </w:pPr>
    </w:p>
    <w:p w14:paraId="6023A7C8" w14:textId="77777777" w:rsidR="003801E8" w:rsidRDefault="00E44AAE">
      <w:pPr>
        <w:spacing w:after="160" w:line="240" w:lineRule="auto"/>
        <w:jc w:val="both"/>
        <w:rPr>
          <w:rFonts w:ascii="Book Antiqua" w:hAnsi="Book Antiqua" w:cs="Times New Roman"/>
          <w:bCs/>
          <w:kern w:val="2"/>
          <w:sz w:val="22"/>
          <w:szCs w:val="22"/>
          <w:lang w:val="en-US" w:eastAsia="sr-Latn-ME"/>
        </w:rPr>
      </w:pPr>
      <w:r>
        <w:rPr>
          <w:rFonts w:ascii="Book Antiqua" w:hAnsi="Book Antiqua" w:cs="Times New Roman"/>
          <w:b/>
          <w:kern w:val="2"/>
          <w:sz w:val="22"/>
          <w:szCs w:val="22"/>
          <w:lang w:val="en-US" w:eastAsia="sr-Latn-ME"/>
        </w:rPr>
        <w:lastRenderedPageBreak/>
        <w:t>Tabela 5</w:t>
      </w:r>
      <w:r>
        <w:rPr>
          <w:rFonts w:ascii="Book Antiqua" w:hAnsi="Book Antiqua" w:cs="Times New Roman"/>
          <w:bCs/>
          <w:kern w:val="2"/>
          <w:sz w:val="22"/>
          <w:szCs w:val="22"/>
          <w:lang w:val="en-US" w:eastAsia="sr-Latn-ME"/>
        </w:rPr>
        <w:t xml:space="preserve">: </w:t>
      </w:r>
      <w:r>
        <w:rPr>
          <w:rFonts w:ascii="Book Antiqua" w:hAnsi="Book Antiqua" w:cs="Times New Roman"/>
          <w:bCs/>
          <w:kern w:val="2"/>
          <w:sz w:val="22"/>
          <w:szCs w:val="22"/>
          <w:lang w:eastAsia="sr-Latn-ME"/>
        </w:rPr>
        <w:t>PCR prajmeri i annealing temperature korišćeni u molekularnoj dijagnostici</w:t>
      </w:r>
    </w:p>
    <w:tbl>
      <w:tblPr>
        <w:tblW w:w="9201" w:type="dxa"/>
        <w:tblLook w:val="04A0" w:firstRow="1" w:lastRow="0" w:firstColumn="1" w:lastColumn="0" w:noHBand="0" w:noVBand="1"/>
      </w:tblPr>
      <w:tblGrid>
        <w:gridCol w:w="720"/>
        <w:gridCol w:w="1620"/>
        <w:gridCol w:w="3397"/>
        <w:gridCol w:w="1052"/>
        <w:gridCol w:w="2412"/>
      </w:tblGrid>
      <w:tr w:rsidR="003801E8" w14:paraId="00A7DD82" w14:textId="77777777">
        <w:trPr>
          <w:trHeight w:val="288"/>
        </w:trPr>
        <w:tc>
          <w:tcPr>
            <w:tcW w:w="720" w:type="dxa"/>
            <w:tcBorders>
              <w:top w:val="single" w:sz="4" w:space="0" w:color="auto"/>
              <w:left w:val="nil"/>
              <w:bottom w:val="single" w:sz="4" w:space="0" w:color="auto"/>
              <w:right w:val="nil"/>
            </w:tcBorders>
            <w:noWrap/>
            <w:vAlign w:val="bottom"/>
          </w:tcPr>
          <w:p w14:paraId="52E89BFE" w14:textId="77777777" w:rsidR="003801E8" w:rsidRDefault="00E44AAE">
            <w:pPr>
              <w:spacing w:after="0" w:line="240" w:lineRule="auto"/>
              <w:jc w:val="center"/>
              <w:rPr>
                <w:rFonts w:ascii="Book Antiqua" w:hAnsi="Book Antiqua"/>
                <w:b/>
                <w:bCs/>
                <w:color w:val="000000"/>
                <w:sz w:val="16"/>
                <w:szCs w:val="16"/>
                <w:lang w:val="en-US"/>
              </w:rPr>
            </w:pPr>
            <w:r>
              <w:rPr>
                <w:rFonts w:ascii="Book Antiqua" w:hAnsi="Book Antiqua"/>
                <w:b/>
                <w:bCs/>
                <w:color w:val="000000"/>
                <w:sz w:val="16"/>
                <w:szCs w:val="16"/>
                <w:lang w:val="en-US"/>
              </w:rPr>
              <w:t>Gen</w:t>
            </w:r>
          </w:p>
        </w:tc>
        <w:tc>
          <w:tcPr>
            <w:tcW w:w="1620" w:type="dxa"/>
            <w:tcBorders>
              <w:top w:val="single" w:sz="4" w:space="0" w:color="auto"/>
              <w:left w:val="nil"/>
              <w:bottom w:val="single" w:sz="4" w:space="0" w:color="auto"/>
              <w:right w:val="nil"/>
            </w:tcBorders>
            <w:noWrap/>
            <w:vAlign w:val="bottom"/>
          </w:tcPr>
          <w:p w14:paraId="40B52E2C" w14:textId="77777777" w:rsidR="003801E8" w:rsidRDefault="00E44AAE">
            <w:pPr>
              <w:spacing w:after="0" w:line="240" w:lineRule="auto"/>
              <w:jc w:val="center"/>
              <w:rPr>
                <w:rFonts w:ascii="Book Antiqua" w:hAnsi="Book Antiqua"/>
                <w:b/>
                <w:bCs/>
                <w:color w:val="000000"/>
                <w:sz w:val="16"/>
                <w:szCs w:val="16"/>
                <w:lang w:val="en-US"/>
              </w:rPr>
            </w:pPr>
            <w:r>
              <w:rPr>
                <w:rFonts w:ascii="Book Antiqua" w:hAnsi="Book Antiqua"/>
                <w:b/>
                <w:bCs/>
                <w:color w:val="000000"/>
                <w:sz w:val="16"/>
                <w:szCs w:val="16"/>
                <w:lang w:val="en-US"/>
              </w:rPr>
              <w:t>Naziv prajmera</w:t>
            </w:r>
          </w:p>
        </w:tc>
        <w:tc>
          <w:tcPr>
            <w:tcW w:w="3397" w:type="dxa"/>
            <w:tcBorders>
              <w:top w:val="single" w:sz="4" w:space="0" w:color="auto"/>
              <w:left w:val="nil"/>
              <w:bottom w:val="single" w:sz="4" w:space="0" w:color="auto"/>
              <w:right w:val="nil"/>
            </w:tcBorders>
            <w:noWrap/>
            <w:vAlign w:val="bottom"/>
          </w:tcPr>
          <w:p w14:paraId="01B93218" w14:textId="77777777" w:rsidR="003801E8" w:rsidRDefault="00E44AAE">
            <w:pPr>
              <w:spacing w:after="0" w:line="240" w:lineRule="auto"/>
              <w:jc w:val="center"/>
              <w:rPr>
                <w:rFonts w:ascii="Book Antiqua" w:hAnsi="Book Antiqua"/>
                <w:b/>
                <w:bCs/>
                <w:color w:val="000000"/>
                <w:sz w:val="16"/>
                <w:szCs w:val="16"/>
                <w:lang w:val="en-US"/>
              </w:rPr>
            </w:pPr>
            <w:r>
              <w:rPr>
                <w:rFonts w:ascii="Book Antiqua" w:hAnsi="Book Antiqua"/>
                <w:b/>
                <w:bCs/>
                <w:color w:val="000000"/>
                <w:sz w:val="16"/>
                <w:szCs w:val="16"/>
                <w:lang w:val="en-US"/>
              </w:rPr>
              <w:t>Sekvenca 5’→3’</w:t>
            </w:r>
          </w:p>
        </w:tc>
        <w:tc>
          <w:tcPr>
            <w:tcW w:w="1052" w:type="dxa"/>
            <w:tcBorders>
              <w:top w:val="single" w:sz="4" w:space="0" w:color="auto"/>
              <w:left w:val="nil"/>
              <w:bottom w:val="single" w:sz="4" w:space="0" w:color="auto"/>
              <w:right w:val="nil"/>
            </w:tcBorders>
            <w:noWrap/>
            <w:vAlign w:val="bottom"/>
          </w:tcPr>
          <w:p w14:paraId="38C3699B" w14:textId="77777777" w:rsidR="003801E8" w:rsidRDefault="00E44AAE">
            <w:pPr>
              <w:spacing w:after="0" w:line="240" w:lineRule="auto"/>
              <w:jc w:val="center"/>
              <w:rPr>
                <w:rFonts w:ascii="Book Antiqua" w:hAnsi="Book Antiqua"/>
                <w:b/>
                <w:bCs/>
                <w:color w:val="000000"/>
                <w:sz w:val="16"/>
                <w:szCs w:val="16"/>
                <w:lang w:val="en-US"/>
              </w:rPr>
            </w:pPr>
            <w:r>
              <w:rPr>
                <w:rFonts w:ascii="Book Antiqua" w:hAnsi="Book Antiqua"/>
                <w:b/>
                <w:bCs/>
                <w:color w:val="000000"/>
                <w:sz w:val="16"/>
                <w:szCs w:val="16"/>
              </w:rPr>
              <w:t xml:space="preserve">Annealing </w:t>
            </w:r>
          </w:p>
        </w:tc>
        <w:tc>
          <w:tcPr>
            <w:tcW w:w="2412" w:type="dxa"/>
            <w:tcBorders>
              <w:top w:val="single" w:sz="4" w:space="0" w:color="auto"/>
              <w:left w:val="nil"/>
              <w:bottom w:val="single" w:sz="4" w:space="0" w:color="auto"/>
              <w:right w:val="nil"/>
            </w:tcBorders>
            <w:noWrap/>
            <w:vAlign w:val="bottom"/>
          </w:tcPr>
          <w:p w14:paraId="3BB74391" w14:textId="77777777" w:rsidR="003801E8" w:rsidRDefault="00E44AAE">
            <w:pPr>
              <w:spacing w:after="0" w:line="240" w:lineRule="auto"/>
              <w:jc w:val="center"/>
              <w:rPr>
                <w:rFonts w:ascii="Book Antiqua" w:hAnsi="Book Antiqua"/>
                <w:b/>
                <w:bCs/>
                <w:color w:val="000000"/>
                <w:sz w:val="16"/>
                <w:szCs w:val="16"/>
                <w:lang w:val="en-US"/>
              </w:rPr>
            </w:pPr>
            <w:r>
              <w:rPr>
                <w:rFonts w:ascii="Book Antiqua" w:hAnsi="Book Antiqua"/>
                <w:b/>
                <w:bCs/>
                <w:color w:val="000000"/>
                <w:sz w:val="16"/>
                <w:szCs w:val="16"/>
                <w:lang w:val="en-US"/>
              </w:rPr>
              <w:t xml:space="preserve">Referenca </w:t>
            </w:r>
          </w:p>
        </w:tc>
      </w:tr>
      <w:tr w:rsidR="003801E8" w14:paraId="479EBA39" w14:textId="77777777">
        <w:trPr>
          <w:trHeight w:val="288"/>
        </w:trPr>
        <w:tc>
          <w:tcPr>
            <w:tcW w:w="720" w:type="dxa"/>
            <w:vMerge w:val="restart"/>
            <w:tcBorders>
              <w:top w:val="single" w:sz="4" w:space="0" w:color="auto"/>
              <w:left w:val="nil"/>
              <w:bottom w:val="nil"/>
              <w:right w:val="nil"/>
            </w:tcBorders>
            <w:noWrap/>
            <w:vAlign w:val="center"/>
          </w:tcPr>
          <w:p w14:paraId="42E970CF" w14:textId="77777777" w:rsidR="003801E8" w:rsidRDefault="00E44AAE">
            <w:pPr>
              <w:spacing w:after="0" w:line="240" w:lineRule="auto"/>
              <w:jc w:val="center"/>
              <w:rPr>
                <w:rFonts w:ascii="Book Antiqua" w:hAnsi="Book Antiqua"/>
                <w:i/>
                <w:iCs/>
                <w:color w:val="000000"/>
                <w:sz w:val="16"/>
                <w:szCs w:val="16"/>
                <w:lang w:val="en-US"/>
              </w:rPr>
            </w:pPr>
            <w:r>
              <w:rPr>
                <w:rFonts w:ascii="Book Antiqua" w:hAnsi="Book Antiqua"/>
                <w:i/>
                <w:iCs/>
                <w:color w:val="000000"/>
                <w:sz w:val="16"/>
                <w:szCs w:val="16"/>
                <w:lang w:val="en-US"/>
              </w:rPr>
              <w:t>ITS</w:t>
            </w:r>
          </w:p>
        </w:tc>
        <w:tc>
          <w:tcPr>
            <w:tcW w:w="1620" w:type="dxa"/>
            <w:tcBorders>
              <w:top w:val="single" w:sz="4" w:space="0" w:color="auto"/>
              <w:left w:val="nil"/>
              <w:bottom w:val="nil"/>
              <w:right w:val="nil"/>
            </w:tcBorders>
            <w:noWrap/>
            <w:vAlign w:val="bottom"/>
          </w:tcPr>
          <w:p w14:paraId="109991F7"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ITS5</w:t>
            </w:r>
          </w:p>
        </w:tc>
        <w:tc>
          <w:tcPr>
            <w:tcW w:w="3397" w:type="dxa"/>
            <w:tcBorders>
              <w:top w:val="single" w:sz="4" w:space="0" w:color="auto"/>
              <w:left w:val="nil"/>
              <w:bottom w:val="nil"/>
              <w:right w:val="nil"/>
            </w:tcBorders>
            <w:noWrap/>
            <w:vAlign w:val="bottom"/>
          </w:tcPr>
          <w:p w14:paraId="6E816AB9"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GGA AGT AAA AGT CGT AAC AAG G</w:t>
            </w:r>
          </w:p>
        </w:tc>
        <w:tc>
          <w:tcPr>
            <w:tcW w:w="1052" w:type="dxa"/>
            <w:tcBorders>
              <w:top w:val="single" w:sz="4" w:space="0" w:color="auto"/>
              <w:left w:val="nil"/>
              <w:bottom w:val="nil"/>
              <w:right w:val="nil"/>
            </w:tcBorders>
            <w:noWrap/>
            <w:vAlign w:val="bottom"/>
          </w:tcPr>
          <w:p w14:paraId="75E82BAC"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 xml:space="preserve">55 </w:t>
            </w:r>
            <w:r>
              <w:rPr>
                <w:rFonts w:ascii="Book Antiqua" w:hAnsi="Book Antiqua"/>
                <w:color w:val="000000"/>
                <w:sz w:val="16"/>
                <w:szCs w:val="16"/>
              </w:rPr>
              <w:t>˚C</w:t>
            </w:r>
          </w:p>
        </w:tc>
        <w:tc>
          <w:tcPr>
            <w:tcW w:w="2412" w:type="dxa"/>
            <w:vMerge w:val="restart"/>
            <w:tcBorders>
              <w:top w:val="single" w:sz="4" w:space="0" w:color="auto"/>
              <w:left w:val="nil"/>
              <w:bottom w:val="nil"/>
              <w:right w:val="nil"/>
            </w:tcBorders>
            <w:noWrap/>
            <w:vAlign w:val="center"/>
          </w:tcPr>
          <w:p w14:paraId="66E0580C"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White et al. (1990)</w:t>
            </w:r>
          </w:p>
        </w:tc>
      </w:tr>
      <w:tr w:rsidR="003801E8" w14:paraId="2FA9A4FF" w14:textId="77777777">
        <w:trPr>
          <w:trHeight w:val="288"/>
        </w:trPr>
        <w:tc>
          <w:tcPr>
            <w:tcW w:w="720" w:type="dxa"/>
            <w:vMerge/>
            <w:tcBorders>
              <w:top w:val="nil"/>
              <w:left w:val="nil"/>
              <w:bottom w:val="nil"/>
              <w:right w:val="nil"/>
            </w:tcBorders>
            <w:vAlign w:val="center"/>
          </w:tcPr>
          <w:p w14:paraId="2F5AEBD5" w14:textId="77777777" w:rsidR="003801E8" w:rsidRDefault="003801E8">
            <w:pPr>
              <w:spacing w:after="0" w:line="240" w:lineRule="auto"/>
              <w:rPr>
                <w:rFonts w:ascii="Book Antiqua" w:hAnsi="Book Antiqua"/>
                <w:color w:val="000000"/>
                <w:sz w:val="16"/>
                <w:szCs w:val="16"/>
                <w:lang w:val="en-US"/>
              </w:rPr>
            </w:pPr>
          </w:p>
        </w:tc>
        <w:tc>
          <w:tcPr>
            <w:tcW w:w="1620" w:type="dxa"/>
            <w:tcBorders>
              <w:top w:val="nil"/>
              <w:left w:val="nil"/>
              <w:bottom w:val="nil"/>
              <w:right w:val="nil"/>
            </w:tcBorders>
            <w:noWrap/>
            <w:vAlign w:val="bottom"/>
          </w:tcPr>
          <w:p w14:paraId="4E161D06"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ITS4</w:t>
            </w:r>
          </w:p>
        </w:tc>
        <w:tc>
          <w:tcPr>
            <w:tcW w:w="3397" w:type="dxa"/>
            <w:tcBorders>
              <w:top w:val="nil"/>
              <w:left w:val="nil"/>
              <w:bottom w:val="nil"/>
              <w:right w:val="nil"/>
            </w:tcBorders>
            <w:noWrap/>
            <w:vAlign w:val="bottom"/>
          </w:tcPr>
          <w:p w14:paraId="4164566E"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TCC TCC GCT TAT TGA TAT GC</w:t>
            </w:r>
          </w:p>
        </w:tc>
        <w:tc>
          <w:tcPr>
            <w:tcW w:w="1052" w:type="dxa"/>
            <w:tcBorders>
              <w:top w:val="nil"/>
              <w:left w:val="nil"/>
              <w:bottom w:val="nil"/>
              <w:right w:val="nil"/>
            </w:tcBorders>
            <w:noWrap/>
            <w:vAlign w:val="bottom"/>
          </w:tcPr>
          <w:p w14:paraId="41549F57" w14:textId="77777777" w:rsidR="003801E8" w:rsidRDefault="003801E8">
            <w:pPr>
              <w:spacing w:after="0" w:line="240" w:lineRule="auto"/>
              <w:jc w:val="center"/>
              <w:rPr>
                <w:rFonts w:ascii="Book Antiqua" w:hAnsi="Book Antiqua"/>
                <w:color w:val="000000"/>
                <w:sz w:val="16"/>
                <w:szCs w:val="16"/>
                <w:lang w:val="en-US"/>
              </w:rPr>
            </w:pPr>
          </w:p>
        </w:tc>
        <w:tc>
          <w:tcPr>
            <w:tcW w:w="2412" w:type="dxa"/>
            <w:vMerge/>
            <w:tcBorders>
              <w:top w:val="nil"/>
              <w:left w:val="nil"/>
              <w:bottom w:val="nil"/>
              <w:right w:val="nil"/>
            </w:tcBorders>
            <w:vAlign w:val="center"/>
          </w:tcPr>
          <w:p w14:paraId="66719D3A" w14:textId="77777777" w:rsidR="003801E8" w:rsidRDefault="003801E8">
            <w:pPr>
              <w:spacing w:after="0" w:line="240" w:lineRule="auto"/>
              <w:rPr>
                <w:rFonts w:ascii="Book Antiqua" w:hAnsi="Book Antiqua"/>
                <w:color w:val="000000"/>
                <w:sz w:val="16"/>
                <w:szCs w:val="16"/>
                <w:lang w:val="en-US"/>
              </w:rPr>
            </w:pPr>
          </w:p>
        </w:tc>
      </w:tr>
      <w:tr w:rsidR="003801E8" w14:paraId="3E17ED5E" w14:textId="77777777">
        <w:trPr>
          <w:trHeight w:val="288"/>
        </w:trPr>
        <w:tc>
          <w:tcPr>
            <w:tcW w:w="720" w:type="dxa"/>
            <w:vMerge w:val="restart"/>
            <w:tcBorders>
              <w:top w:val="nil"/>
              <w:left w:val="nil"/>
              <w:bottom w:val="nil"/>
              <w:right w:val="nil"/>
            </w:tcBorders>
            <w:noWrap/>
            <w:vAlign w:val="center"/>
          </w:tcPr>
          <w:p w14:paraId="1A2B85D5"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i/>
                <w:iCs/>
                <w:color w:val="000000"/>
                <w:sz w:val="16"/>
                <w:szCs w:val="16"/>
                <w:lang w:val="en-US"/>
              </w:rPr>
              <w:t>tub</w:t>
            </w:r>
            <w:r>
              <w:rPr>
                <w:rFonts w:ascii="Book Antiqua" w:hAnsi="Book Antiqua"/>
                <w:color w:val="000000"/>
                <w:sz w:val="16"/>
                <w:szCs w:val="16"/>
                <w:lang w:val="en-US"/>
              </w:rPr>
              <w:t>2</w:t>
            </w:r>
          </w:p>
        </w:tc>
        <w:tc>
          <w:tcPr>
            <w:tcW w:w="1620" w:type="dxa"/>
            <w:tcBorders>
              <w:top w:val="nil"/>
              <w:left w:val="nil"/>
              <w:bottom w:val="nil"/>
              <w:right w:val="nil"/>
            </w:tcBorders>
            <w:noWrap/>
            <w:vAlign w:val="bottom"/>
          </w:tcPr>
          <w:p w14:paraId="12BA02E4"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Bt-2a</w:t>
            </w:r>
          </w:p>
        </w:tc>
        <w:tc>
          <w:tcPr>
            <w:tcW w:w="3397" w:type="dxa"/>
            <w:tcBorders>
              <w:top w:val="nil"/>
              <w:left w:val="nil"/>
              <w:bottom w:val="nil"/>
              <w:right w:val="nil"/>
            </w:tcBorders>
            <w:noWrap/>
            <w:vAlign w:val="bottom"/>
          </w:tcPr>
          <w:p w14:paraId="050D9563"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GGT AAC CAA ATC GGT GCT GCT TTC</w:t>
            </w:r>
          </w:p>
        </w:tc>
        <w:tc>
          <w:tcPr>
            <w:tcW w:w="1052" w:type="dxa"/>
            <w:tcBorders>
              <w:top w:val="nil"/>
              <w:left w:val="nil"/>
              <w:bottom w:val="nil"/>
              <w:right w:val="nil"/>
            </w:tcBorders>
            <w:noWrap/>
            <w:vAlign w:val="bottom"/>
          </w:tcPr>
          <w:p w14:paraId="75289F0C"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 xml:space="preserve">58 </w:t>
            </w:r>
            <w:r>
              <w:rPr>
                <w:rFonts w:ascii="Book Antiqua" w:hAnsi="Book Antiqua"/>
                <w:color w:val="000000"/>
                <w:sz w:val="16"/>
                <w:szCs w:val="16"/>
              </w:rPr>
              <w:t>˚C</w:t>
            </w:r>
          </w:p>
        </w:tc>
        <w:tc>
          <w:tcPr>
            <w:tcW w:w="2412" w:type="dxa"/>
            <w:vMerge w:val="restart"/>
            <w:tcBorders>
              <w:top w:val="nil"/>
              <w:left w:val="nil"/>
              <w:bottom w:val="nil"/>
              <w:right w:val="nil"/>
            </w:tcBorders>
            <w:shd w:val="clear" w:color="000000" w:fill="FFFFFF"/>
            <w:noWrap/>
            <w:vAlign w:val="center"/>
          </w:tcPr>
          <w:p w14:paraId="326A9662"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Glass and Donaldson (1995)</w:t>
            </w:r>
          </w:p>
        </w:tc>
      </w:tr>
      <w:tr w:rsidR="003801E8" w14:paraId="5BB75C87" w14:textId="77777777">
        <w:trPr>
          <w:trHeight w:val="288"/>
        </w:trPr>
        <w:tc>
          <w:tcPr>
            <w:tcW w:w="720" w:type="dxa"/>
            <w:vMerge/>
            <w:tcBorders>
              <w:top w:val="nil"/>
              <w:left w:val="nil"/>
              <w:bottom w:val="nil"/>
              <w:right w:val="nil"/>
            </w:tcBorders>
            <w:vAlign w:val="center"/>
          </w:tcPr>
          <w:p w14:paraId="36F9F8BB" w14:textId="77777777" w:rsidR="003801E8" w:rsidRDefault="003801E8">
            <w:pPr>
              <w:spacing w:after="0" w:line="240" w:lineRule="auto"/>
              <w:rPr>
                <w:rFonts w:ascii="Book Antiqua" w:hAnsi="Book Antiqua"/>
                <w:color w:val="000000"/>
                <w:sz w:val="16"/>
                <w:szCs w:val="16"/>
                <w:lang w:val="en-US"/>
              </w:rPr>
            </w:pPr>
          </w:p>
        </w:tc>
        <w:tc>
          <w:tcPr>
            <w:tcW w:w="1620" w:type="dxa"/>
            <w:tcBorders>
              <w:top w:val="nil"/>
              <w:left w:val="nil"/>
              <w:bottom w:val="nil"/>
              <w:right w:val="nil"/>
            </w:tcBorders>
            <w:noWrap/>
            <w:vAlign w:val="bottom"/>
          </w:tcPr>
          <w:p w14:paraId="2EC7DFA6"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Bt-2b</w:t>
            </w:r>
          </w:p>
        </w:tc>
        <w:tc>
          <w:tcPr>
            <w:tcW w:w="3397" w:type="dxa"/>
            <w:tcBorders>
              <w:top w:val="nil"/>
              <w:left w:val="nil"/>
              <w:bottom w:val="nil"/>
              <w:right w:val="nil"/>
            </w:tcBorders>
            <w:noWrap/>
            <w:vAlign w:val="bottom"/>
          </w:tcPr>
          <w:p w14:paraId="44DBA23F"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ACC CTC AGT GTA GTG ACC CTT GGC</w:t>
            </w:r>
          </w:p>
        </w:tc>
        <w:tc>
          <w:tcPr>
            <w:tcW w:w="1052" w:type="dxa"/>
            <w:tcBorders>
              <w:top w:val="nil"/>
              <w:left w:val="nil"/>
              <w:bottom w:val="nil"/>
              <w:right w:val="nil"/>
            </w:tcBorders>
            <w:noWrap/>
            <w:vAlign w:val="bottom"/>
          </w:tcPr>
          <w:p w14:paraId="38EC148B" w14:textId="77777777" w:rsidR="003801E8" w:rsidRDefault="003801E8">
            <w:pPr>
              <w:spacing w:after="0" w:line="240" w:lineRule="auto"/>
              <w:jc w:val="center"/>
              <w:rPr>
                <w:rFonts w:ascii="Book Antiqua" w:hAnsi="Book Antiqua"/>
                <w:color w:val="000000"/>
                <w:sz w:val="16"/>
                <w:szCs w:val="16"/>
                <w:lang w:val="en-US"/>
              </w:rPr>
            </w:pPr>
          </w:p>
        </w:tc>
        <w:tc>
          <w:tcPr>
            <w:tcW w:w="2412" w:type="dxa"/>
            <w:vMerge/>
            <w:tcBorders>
              <w:top w:val="nil"/>
              <w:left w:val="nil"/>
              <w:bottom w:val="nil"/>
              <w:right w:val="nil"/>
            </w:tcBorders>
            <w:vAlign w:val="center"/>
          </w:tcPr>
          <w:p w14:paraId="53DCE12D" w14:textId="77777777" w:rsidR="003801E8" w:rsidRDefault="003801E8">
            <w:pPr>
              <w:spacing w:after="0" w:line="240" w:lineRule="auto"/>
              <w:rPr>
                <w:rFonts w:ascii="Book Antiqua" w:hAnsi="Book Antiqua"/>
                <w:color w:val="000000"/>
                <w:sz w:val="16"/>
                <w:szCs w:val="16"/>
                <w:lang w:val="en-US"/>
              </w:rPr>
            </w:pPr>
          </w:p>
        </w:tc>
      </w:tr>
      <w:tr w:rsidR="003801E8" w14:paraId="35D2E912" w14:textId="77777777">
        <w:trPr>
          <w:trHeight w:val="288"/>
        </w:trPr>
        <w:tc>
          <w:tcPr>
            <w:tcW w:w="720" w:type="dxa"/>
            <w:vMerge w:val="restart"/>
            <w:tcBorders>
              <w:top w:val="nil"/>
              <w:left w:val="nil"/>
              <w:bottom w:val="nil"/>
              <w:right w:val="nil"/>
            </w:tcBorders>
            <w:noWrap/>
            <w:vAlign w:val="center"/>
          </w:tcPr>
          <w:p w14:paraId="24659770"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i/>
                <w:iCs/>
                <w:color w:val="000000"/>
                <w:sz w:val="16"/>
                <w:szCs w:val="16"/>
                <w:lang w:val="en-US"/>
              </w:rPr>
              <w:t>tef</w:t>
            </w:r>
            <w:r>
              <w:rPr>
                <w:rFonts w:ascii="Book Antiqua" w:hAnsi="Book Antiqua"/>
                <w:color w:val="000000"/>
                <w:sz w:val="16"/>
                <w:szCs w:val="16"/>
                <w:lang w:val="en-US"/>
              </w:rPr>
              <w:t>1</w:t>
            </w:r>
            <w:r>
              <w:rPr>
                <w:rFonts w:ascii="Book Antiqua" w:hAnsi="Book Antiqua"/>
                <w:i/>
                <w:iCs/>
                <w:color w:val="000000"/>
                <w:sz w:val="16"/>
                <w:szCs w:val="16"/>
                <w:lang w:val="en-US"/>
              </w:rPr>
              <w:t>a</w:t>
            </w:r>
          </w:p>
        </w:tc>
        <w:tc>
          <w:tcPr>
            <w:tcW w:w="1620" w:type="dxa"/>
            <w:tcBorders>
              <w:top w:val="nil"/>
              <w:left w:val="nil"/>
              <w:bottom w:val="nil"/>
              <w:right w:val="nil"/>
            </w:tcBorders>
            <w:noWrap/>
            <w:vAlign w:val="bottom"/>
          </w:tcPr>
          <w:p w14:paraId="686F68D8"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EF1-728F</w:t>
            </w:r>
          </w:p>
        </w:tc>
        <w:tc>
          <w:tcPr>
            <w:tcW w:w="3397" w:type="dxa"/>
            <w:tcBorders>
              <w:top w:val="nil"/>
              <w:left w:val="nil"/>
              <w:bottom w:val="nil"/>
              <w:right w:val="nil"/>
            </w:tcBorders>
            <w:noWrap/>
            <w:vAlign w:val="bottom"/>
          </w:tcPr>
          <w:p w14:paraId="15161969"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CAT CGA GAA GTT CGA GAA GG</w:t>
            </w:r>
          </w:p>
        </w:tc>
        <w:tc>
          <w:tcPr>
            <w:tcW w:w="1052" w:type="dxa"/>
            <w:tcBorders>
              <w:top w:val="nil"/>
              <w:left w:val="nil"/>
              <w:bottom w:val="nil"/>
              <w:right w:val="nil"/>
            </w:tcBorders>
            <w:noWrap/>
            <w:vAlign w:val="bottom"/>
          </w:tcPr>
          <w:p w14:paraId="0BD99D0D"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 xml:space="preserve">58 </w:t>
            </w:r>
            <w:r>
              <w:rPr>
                <w:rFonts w:ascii="Book Antiqua" w:hAnsi="Book Antiqua"/>
                <w:color w:val="000000"/>
                <w:sz w:val="16"/>
                <w:szCs w:val="16"/>
              </w:rPr>
              <w:t>˚C</w:t>
            </w:r>
          </w:p>
        </w:tc>
        <w:tc>
          <w:tcPr>
            <w:tcW w:w="2412" w:type="dxa"/>
            <w:vMerge w:val="restart"/>
            <w:tcBorders>
              <w:top w:val="nil"/>
              <w:left w:val="nil"/>
              <w:bottom w:val="nil"/>
              <w:right w:val="nil"/>
            </w:tcBorders>
            <w:noWrap/>
            <w:vAlign w:val="center"/>
          </w:tcPr>
          <w:p w14:paraId="366AAF46"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Carbone and Kohn (1999)</w:t>
            </w:r>
          </w:p>
        </w:tc>
      </w:tr>
      <w:tr w:rsidR="003801E8" w14:paraId="4F9D46B7" w14:textId="77777777">
        <w:trPr>
          <w:trHeight w:val="288"/>
        </w:trPr>
        <w:tc>
          <w:tcPr>
            <w:tcW w:w="720" w:type="dxa"/>
            <w:vMerge/>
            <w:tcBorders>
              <w:top w:val="nil"/>
              <w:left w:val="nil"/>
              <w:bottom w:val="nil"/>
              <w:right w:val="nil"/>
            </w:tcBorders>
            <w:vAlign w:val="center"/>
          </w:tcPr>
          <w:p w14:paraId="77442CCE" w14:textId="77777777" w:rsidR="003801E8" w:rsidRDefault="003801E8">
            <w:pPr>
              <w:spacing w:after="0" w:line="240" w:lineRule="auto"/>
              <w:rPr>
                <w:rFonts w:ascii="Book Antiqua" w:hAnsi="Book Antiqua"/>
                <w:color w:val="000000"/>
                <w:sz w:val="16"/>
                <w:szCs w:val="16"/>
                <w:lang w:val="en-US"/>
              </w:rPr>
            </w:pPr>
          </w:p>
        </w:tc>
        <w:tc>
          <w:tcPr>
            <w:tcW w:w="1620" w:type="dxa"/>
            <w:tcBorders>
              <w:top w:val="nil"/>
              <w:left w:val="nil"/>
              <w:bottom w:val="nil"/>
              <w:right w:val="nil"/>
            </w:tcBorders>
            <w:noWrap/>
            <w:vAlign w:val="bottom"/>
          </w:tcPr>
          <w:p w14:paraId="0D77CFCD"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EF1-986R</w:t>
            </w:r>
          </w:p>
        </w:tc>
        <w:tc>
          <w:tcPr>
            <w:tcW w:w="3397" w:type="dxa"/>
            <w:tcBorders>
              <w:top w:val="nil"/>
              <w:left w:val="nil"/>
              <w:bottom w:val="nil"/>
              <w:right w:val="nil"/>
            </w:tcBorders>
            <w:noWrap/>
            <w:vAlign w:val="bottom"/>
          </w:tcPr>
          <w:p w14:paraId="486BB3C7"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TAC TTG AAG GAA CCC TTA CC</w:t>
            </w:r>
          </w:p>
        </w:tc>
        <w:tc>
          <w:tcPr>
            <w:tcW w:w="1052" w:type="dxa"/>
            <w:tcBorders>
              <w:top w:val="nil"/>
              <w:left w:val="nil"/>
              <w:bottom w:val="nil"/>
              <w:right w:val="nil"/>
            </w:tcBorders>
            <w:noWrap/>
            <w:vAlign w:val="bottom"/>
          </w:tcPr>
          <w:p w14:paraId="66DCBDFF" w14:textId="77777777" w:rsidR="003801E8" w:rsidRDefault="003801E8">
            <w:pPr>
              <w:spacing w:after="0" w:line="240" w:lineRule="auto"/>
              <w:jc w:val="center"/>
              <w:rPr>
                <w:rFonts w:ascii="Book Antiqua" w:hAnsi="Book Antiqua"/>
                <w:color w:val="000000"/>
                <w:sz w:val="16"/>
                <w:szCs w:val="16"/>
                <w:lang w:val="en-US"/>
              </w:rPr>
            </w:pPr>
          </w:p>
        </w:tc>
        <w:tc>
          <w:tcPr>
            <w:tcW w:w="2412" w:type="dxa"/>
            <w:vMerge/>
            <w:tcBorders>
              <w:top w:val="nil"/>
              <w:left w:val="nil"/>
              <w:bottom w:val="nil"/>
              <w:right w:val="nil"/>
            </w:tcBorders>
            <w:vAlign w:val="center"/>
          </w:tcPr>
          <w:p w14:paraId="3D71BE46" w14:textId="77777777" w:rsidR="003801E8" w:rsidRDefault="003801E8">
            <w:pPr>
              <w:spacing w:after="0" w:line="240" w:lineRule="auto"/>
              <w:rPr>
                <w:rFonts w:ascii="Book Antiqua" w:hAnsi="Book Antiqua"/>
                <w:color w:val="000000"/>
                <w:sz w:val="16"/>
                <w:szCs w:val="16"/>
                <w:lang w:val="en-US"/>
              </w:rPr>
            </w:pPr>
          </w:p>
        </w:tc>
      </w:tr>
      <w:tr w:rsidR="003801E8" w14:paraId="076C457F" w14:textId="77777777">
        <w:trPr>
          <w:trHeight w:val="288"/>
        </w:trPr>
        <w:tc>
          <w:tcPr>
            <w:tcW w:w="720" w:type="dxa"/>
            <w:vMerge w:val="restart"/>
            <w:tcBorders>
              <w:top w:val="nil"/>
              <w:left w:val="nil"/>
              <w:bottom w:val="nil"/>
              <w:right w:val="nil"/>
            </w:tcBorders>
            <w:noWrap/>
            <w:vAlign w:val="center"/>
          </w:tcPr>
          <w:p w14:paraId="5FAEB8AA" w14:textId="77777777" w:rsidR="003801E8" w:rsidRDefault="00E44AAE">
            <w:pPr>
              <w:spacing w:after="0" w:line="240" w:lineRule="auto"/>
              <w:jc w:val="center"/>
              <w:rPr>
                <w:rFonts w:ascii="Book Antiqua" w:hAnsi="Book Antiqua"/>
                <w:i/>
                <w:iCs/>
                <w:color w:val="000000"/>
                <w:sz w:val="16"/>
                <w:szCs w:val="16"/>
                <w:lang w:val="en-US"/>
              </w:rPr>
            </w:pPr>
            <w:r>
              <w:rPr>
                <w:rFonts w:ascii="Book Antiqua" w:hAnsi="Book Antiqua"/>
                <w:i/>
                <w:iCs/>
                <w:color w:val="000000"/>
                <w:sz w:val="16"/>
                <w:szCs w:val="16"/>
                <w:lang w:val="en-US"/>
              </w:rPr>
              <w:t>LSU</w:t>
            </w:r>
          </w:p>
        </w:tc>
        <w:tc>
          <w:tcPr>
            <w:tcW w:w="1620" w:type="dxa"/>
            <w:tcBorders>
              <w:top w:val="nil"/>
              <w:left w:val="nil"/>
              <w:bottom w:val="nil"/>
              <w:right w:val="nil"/>
            </w:tcBorders>
            <w:noWrap/>
            <w:vAlign w:val="bottom"/>
          </w:tcPr>
          <w:p w14:paraId="4CEF37F6"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LR0R</w:t>
            </w:r>
          </w:p>
        </w:tc>
        <w:tc>
          <w:tcPr>
            <w:tcW w:w="3397" w:type="dxa"/>
            <w:tcBorders>
              <w:top w:val="nil"/>
              <w:left w:val="nil"/>
              <w:bottom w:val="nil"/>
              <w:right w:val="nil"/>
            </w:tcBorders>
            <w:noWrap/>
            <w:vAlign w:val="bottom"/>
          </w:tcPr>
          <w:p w14:paraId="1042A8EB"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ACC CGC TGA ACT TAA GC</w:t>
            </w:r>
          </w:p>
        </w:tc>
        <w:tc>
          <w:tcPr>
            <w:tcW w:w="1052" w:type="dxa"/>
            <w:tcBorders>
              <w:top w:val="nil"/>
              <w:left w:val="nil"/>
              <w:bottom w:val="nil"/>
              <w:right w:val="nil"/>
            </w:tcBorders>
            <w:noWrap/>
            <w:vAlign w:val="bottom"/>
          </w:tcPr>
          <w:p w14:paraId="6856FCF6"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 xml:space="preserve">53 </w:t>
            </w:r>
            <w:r>
              <w:rPr>
                <w:rFonts w:ascii="Book Antiqua" w:hAnsi="Book Antiqua"/>
                <w:color w:val="000000"/>
                <w:sz w:val="16"/>
                <w:szCs w:val="16"/>
              </w:rPr>
              <w:t>˚C</w:t>
            </w:r>
          </w:p>
        </w:tc>
        <w:tc>
          <w:tcPr>
            <w:tcW w:w="2412" w:type="dxa"/>
            <w:tcBorders>
              <w:top w:val="nil"/>
              <w:left w:val="nil"/>
              <w:bottom w:val="nil"/>
              <w:right w:val="nil"/>
            </w:tcBorders>
            <w:shd w:val="clear" w:color="000000" w:fill="FFFFFF"/>
            <w:noWrap/>
            <w:vAlign w:val="bottom"/>
          </w:tcPr>
          <w:p w14:paraId="6C334F0B"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Rehner and Samuels (1994)</w:t>
            </w:r>
          </w:p>
        </w:tc>
      </w:tr>
      <w:tr w:rsidR="003801E8" w14:paraId="770EC59A" w14:textId="77777777">
        <w:trPr>
          <w:trHeight w:val="288"/>
        </w:trPr>
        <w:tc>
          <w:tcPr>
            <w:tcW w:w="720" w:type="dxa"/>
            <w:vMerge/>
            <w:tcBorders>
              <w:top w:val="nil"/>
              <w:left w:val="nil"/>
              <w:right w:val="nil"/>
            </w:tcBorders>
            <w:vAlign w:val="center"/>
          </w:tcPr>
          <w:p w14:paraId="5FB2CD36" w14:textId="77777777" w:rsidR="003801E8" w:rsidRDefault="003801E8">
            <w:pPr>
              <w:spacing w:after="0" w:line="240" w:lineRule="auto"/>
              <w:rPr>
                <w:rFonts w:ascii="Book Antiqua" w:hAnsi="Book Antiqua"/>
                <w:color w:val="000000"/>
                <w:sz w:val="16"/>
                <w:szCs w:val="16"/>
                <w:lang w:val="en-US"/>
              </w:rPr>
            </w:pPr>
          </w:p>
        </w:tc>
        <w:tc>
          <w:tcPr>
            <w:tcW w:w="1620" w:type="dxa"/>
            <w:tcBorders>
              <w:top w:val="nil"/>
              <w:left w:val="nil"/>
              <w:bottom w:val="nil"/>
              <w:right w:val="nil"/>
            </w:tcBorders>
            <w:noWrap/>
            <w:vAlign w:val="bottom"/>
          </w:tcPr>
          <w:p w14:paraId="697773AC"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LR5</w:t>
            </w:r>
          </w:p>
        </w:tc>
        <w:tc>
          <w:tcPr>
            <w:tcW w:w="3397" w:type="dxa"/>
            <w:tcBorders>
              <w:top w:val="nil"/>
              <w:left w:val="nil"/>
              <w:bottom w:val="nil"/>
              <w:right w:val="nil"/>
            </w:tcBorders>
            <w:noWrap/>
            <w:vAlign w:val="bottom"/>
          </w:tcPr>
          <w:p w14:paraId="269D6C45"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TCC TGA GGG AAA CTT CG</w:t>
            </w:r>
          </w:p>
        </w:tc>
        <w:tc>
          <w:tcPr>
            <w:tcW w:w="1052" w:type="dxa"/>
            <w:tcBorders>
              <w:top w:val="nil"/>
              <w:left w:val="nil"/>
              <w:bottom w:val="nil"/>
              <w:right w:val="nil"/>
            </w:tcBorders>
            <w:noWrap/>
            <w:vAlign w:val="bottom"/>
          </w:tcPr>
          <w:p w14:paraId="004F644B" w14:textId="77777777" w:rsidR="003801E8" w:rsidRDefault="003801E8">
            <w:pPr>
              <w:spacing w:after="0" w:line="240" w:lineRule="auto"/>
              <w:rPr>
                <w:rFonts w:ascii="Book Antiqua" w:hAnsi="Book Antiqua"/>
                <w:color w:val="000000"/>
                <w:sz w:val="16"/>
                <w:szCs w:val="16"/>
                <w:lang w:val="en-US"/>
              </w:rPr>
            </w:pPr>
          </w:p>
        </w:tc>
        <w:tc>
          <w:tcPr>
            <w:tcW w:w="2412" w:type="dxa"/>
            <w:tcBorders>
              <w:top w:val="nil"/>
              <w:left w:val="nil"/>
              <w:right w:val="nil"/>
            </w:tcBorders>
            <w:shd w:val="clear" w:color="000000" w:fill="FFFFFF"/>
            <w:noWrap/>
            <w:vAlign w:val="bottom"/>
          </w:tcPr>
          <w:p w14:paraId="00C740D4"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Vilgalys and Hester (1990)</w:t>
            </w:r>
          </w:p>
        </w:tc>
      </w:tr>
      <w:tr w:rsidR="003801E8" w14:paraId="4595B61F" w14:textId="77777777">
        <w:trPr>
          <w:trHeight w:val="288"/>
        </w:trPr>
        <w:tc>
          <w:tcPr>
            <w:tcW w:w="720" w:type="dxa"/>
            <w:vMerge w:val="restart"/>
            <w:tcBorders>
              <w:top w:val="nil"/>
              <w:left w:val="nil"/>
              <w:right w:val="nil"/>
            </w:tcBorders>
            <w:noWrap/>
            <w:vAlign w:val="center"/>
          </w:tcPr>
          <w:p w14:paraId="0CBFA331"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i/>
                <w:iCs/>
                <w:color w:val="000000"/>
                <w:sz w:val="16"/>
                <w:szCs w:val="16"/>
                <w:lang w:val="en-US"/>
              </w:rPr>
              <w:t>rpb</w:t>
            </w:r>
            <w:r>
              <w:rPr>
                <w:rFonts w:ascii="Book Antiqua" w:hAnsi="Book Antiqua"/>
                <w:color w:val="000000"/>
                <w:sz w:val="16"/>
                <w:szCs w:val="16"/>
                <w:lang w:val="en-US"/>
              </w:rPr>
              <w:t>2</w:t>
            </w:r>
          </w:p>
        </w:tc>
        <w:tc>
          <w:tcPr>
            <w:tcW w:w="1620" w:type="dxa"/>
            <w:tcBorders>
              <w:top w:val="nil"/>
              <w:left w:val="nil"/>
              <w:bottom w:val="nil"/>
              <w:right w:val="nil"/>
            </w:tcBorders>
            <w:noWrap/>
            <w:vAlign w:val="bottom"/>
          </w:tcPr>
          <w:p w14:paraId="2EE43970"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RPB2-6F</w:t>
            </w:r>
          </w:p>
        </w:tc>
        <w:tc>
          <w:tcPr>
            <w:tcW w:w="3397" w:type="dxa"/>
            <w:tcBorders>
              <w:top w:val="nil"/>
              <w:left w:val="nil"/>
              <w:bottom w:val="nil"/>
              <w:right w:val="nil"/>
            </w:tcBorders>
            <w:noWrap/>
            <w:vAlign w:val="bottom"/>
          </w:tcPr>
          <w:p w14:paraId="047C3EBB"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TGG GGK WTG GTY TGY CCT GC</w:t>
            </w:r>
          </w:p>
        </w:tc>
        <w:tc>
          <w:tcPr>
            <w:tcW w:w="1052" w:type="dxa"/>
            <w:vMerge w:val="restart"/>
            <w:tcBorders>
              <w:top w:val="nil"/>
              <w:left w:val="nil"/>
              <w:right w:val="nil"/>
            </w:tcBorders>
            <w:noWrap/>
            <w:vAlign w:val="bottom"/>
          </w:tcPr>
          <w:p w14:paraId="2D7F3286"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 xml:space="preserve">56 </w:t>
            </w:r>
            <w:r>
              <w:rPr>
                <w:rFonts w:ascii="Book Antiqua" w:hAnsi="Book Antiqua"/>
                <w:color w:val="000000"/>
                <w:sz w:val="16"/>
                <w:szCs w:val="16"/>
              </w:rPr>
              <w:t>˚C</w:t>
            </w:r>
          </w:p>
        </w:tc>
        <w:tc>
          <w:tcPr>
            <w:tcW w:w="2412" w:type="dxa"/>
            <w:vMerge w:val="restart"/>
            <w:tcBorders>
              <w:top w:val="nil"/>
              <w:left w:val="nil"/>
              <w:right w:val="nil"/>
            </w:tcBorders>
            <w:shd w:val="clear" w:color="000000" w:fill="FFFFFF"/>
            <w:noWrap/>
            <w:vAlign w:val="center"/>
          </w:tcPr>
          <w:p w14:paraId="03C20710"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Liu et al. (1999)</w:t>
            </w:r>
          </w:p>
        </w:tc>
      </w:tr>
      <w:tr w:rsidR="003801E8" w14:paraId="2935AC2A" w14:textId="77777777">
        <w:trPr>
          <w:trHeight w:val="288"/>
        </w:trPr>
        <w:tc>
          <w:tcPr>
            <w:tcW w:w="720" w:type="dxa"/>
            <w:vMerge/>
            <w:tcBorders>
              <w:left w:val="nil"/>
              <w:bottom w:val="nil"/>
              <w:right w:val="nil"/>
            </w:tcBorders>
            <w:noWrap/>
            <w:vAlign w:val="center"/>
          </w:tcPr>
          <w:p w14:paraId="1B789DC7" w14:textId="77777777" w:rsidR="003801E8" w:rsidRDefault="003801E8">
            <w:pPr>
              <w:spacing w:after="0" w:line="240" w:lineRule="auto"/>
              <w:jc w:val="center"/>
              <w:rPr>
                <w:rFonts w:ascii="Book Antiqua" w:hAnsi="Book Antiqua"/>
                <w:color w:val="000000"/>
                <w:sz w:val="16"/>
                <w:szCs w:val="16"/>
                <w:lang w:val="en-US"/>
              </w:rPr>
            </w:pPr>
          </w:p>
        </w:tc>
        <w:tc>
          <w:tcPr>
            <w:tcW w:w="1620" w:type="dxa"/>
            <w:tcBorders>
              <w:top w:val="nil"/>
              <w:left w:val="nil"/>
              <w:bottom w:val="nil"/>
              <w:right w:val="nil"/>
            </w:tcBorders>
            <w:noWrap/>
            <w:vAlign w:val="bottom"/>
          </w:tcPr>
          <w:p w14:paraId="7D499EF3"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s="Calibri"/>
                <w:color w:val="000000"/>
                <w:sz w:val="16"/>
                <w:szCs w:val="16"/>
                <w:lang w:val="en-US"/>
              </w:rPr>
              <w:t>fRPB2-7cR</w:t>
            </w:r>
          </w:p>
        </w:tc>
        <w:tc>
          <w:tcPr>
            <w:tcW w:w="3397" w:type="dxa"/>
            <w:tcBorders>
              <w:top w:val="nil"/>
              <w:left w:val="nil"/>
              <w:bottom w:val="nil"/>
              <w:right w:val="nil"/>
            </w:tcBorders>
            <w:noWrap/>
            <w:vAlign w:val="bottom"/>
          </w:tcPr>
          <w:p w14:paraId="0C63D14F"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s="Calibri"/>
                <w:color w:val="000000"/>
                <w:sz w:val="16"/>
                <w:szCs w:val="16"/>
                <w:lang w:val="en-US"/>
              </w:rPr>
              <w:t>CCC ATR GCT TGY TTR CCC AT</w:t>
            </w:r>
          </w:p>
        </w:tc>
        <w:tc>
          <w:tcPr>
            <w:tcW w:w="1052" w:type="dxa"/>
            <w:vMerge/>
            <w:tcBorders>
              <w:left w:val="nil"/>
              <w:bottom w:val="nil"/>
              <w:right w:val="nil"/>
            </w:tcBorders>
            <w:noWrap/>
            <w:vAlign w:val="bottom"/>
          </w:tcPr>
          <w:p w14:paraId="6C616F15" w14:textId="77777777" w:rsidR="003801E8" w:rsidRDefault="003801E8">
            <w:pPr>
              <w:spacing w:after="0" w:line="240" w:lineRule="auto"/>
              <w:jc w:val="center"/>
              <w:rPr>
                <w:rFonts w:ascii="Book Antiqua" w:hAnsi="Book Antiqua"/>
                <w:color w:val="000000"/>
                <w:sz w:val="16"/>
                <w:szCs w:val="16"/>
                <w:lang w:val="en-US"/>
              </w:rPr>
            </w:pPr>
          </w:p>
        </w:tc>
        <w:tc>
          <w:tcPr>
            <w:tcW w:w="2412" w:type="dxa"/>
            <w:vMerge/>
            <w:tcBorders>
              <w:left w:val="nil"/>
              <w:bottom w:val="nil"/>
              <w:right w:val="nil"/>
            </w:tcBorders>
            <w:shd w:val="clear" w:color="000000" w:fill="FFFFFF"/>
            <w:noWrap/>
            <w:vAlign w:val="center"/>
          </w:tcPr>
          <w:p w14:paraId="70EF58FC" w14:textId="77777777" w:rsidR="003801E8" w:rsidRDefault="003801E8">
            <w:pPr>
              <w:spacing w:after="0" w:line="240" w:lineRule="auto"/>
              <w:jc w:val="center"/>
              <w:rPr>
                <w:rFonts w:ascii="Book Antiqua" w:hAnsi="Book Antiqua"/>
                <w:color w:val="000000"/>
                <w:sz w:val="16"/>
                <w:szCs w:val="16"/>
                <w:lang w:val="en-US"/>
              </w:rPr>
            </w:pPr>
          </w:p>
        </w:tc>
      </w:tr>
      <w:tr w:rsidR="003801E8" w14:paraId="2CE880C7" w14:textId="77777777">
        <w:trPr>
          <w:trHeight w:val="288"/>
        </w:trPr>
        <w:tc>
          <w:tcPr>
            <w:tcW w:w="720" w:type="dxa"/>
            <w:vMerge w:val="restart"/>
            <w:tcBorders>
              <w:top w:val="nil"/>
              <w:left w:val="nil"/>
              <w:right w:val="nil"/>
            </w:tcBorders>
            <w:noWrap/>
            <w:vAlign w:val="center"/>
          </w:tcPr>
          <w:p w14:paraId="0B1AA166" w14:textId="77777777" w:rsidR="003801E8" w:rsidRDefault="00E44AAE">
            <w:pPr>
              <w:spacing w:after="0" w:line="240" w:lineRule="auto"/>
              <w:jc w:val="center"/>
              <w:rPr>
                <w:rFonts w:ascii="Book Antiqua" w:hAnsi="Book Antiqua"/>
                <w:i/>
                <w:iCs/>
                <w:color w:val="000000"/>
                <w:sz w:val="16"/>
                <w:szCs w:val="16"/>
                <w:lang w:val="en-US"/>
              </w:rPr>
            </w:pPr>
            <w:r>
              <w:rPr>
                <w:rFonts w:ascii="Book Antiqua" w:hAnsi="Book Antiqua"/>
                <w:i/>
                <w:iCs/>
                <w:color w:val="000000"/>
                <w:sz w:val="16"/>
                <w:szCs w:val="16"/>
                <w:lang w:val="en-US"/>
              </w:rPr>
              <w:t>act</w:t>
            </w:r>
          </w:p>
        </w:tc>
        <w:tc>
          <w:tcPr>
            <w:tcW w:w="1620" w:type="dxa"/>
            <w:tcBorders>
              <w:top w:val="nil"/>
              <w:left w:val="nil"/>
              <w:bottom w:val="nil"/>
              <w:right w:val="nil"/>
            </w:tcBorders>
            <w:noWrap/>
            <w:vAlign w:val="bottom"/>
          </w:tcPr>
          <w:p w14:paraId="17AE8D3D"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rPr>
              <w:t>ACT</w:t>
            </w:r>
            <w:r>
              <w:rPr>
                <w:rFonts w:ascii="Book Antiqua" w:hAnsi="Book Antiqua"/>
                <w:color w:val="000000"/>
                <w:sz w:val="16"/>
                <w:szCs w:val="16"/>
              </w:rPr>
              <w:noBreakHyphen/>
              <w:t>512F</w:t>
            </w:r>
          </w:p>
        </w:tc>
        <w:tc>
          <w:tcPr>
            <w:tcW w:w="3397" w:type="dxa"/>
            <w:tcBorders>
              <w:top w:val="nil"/>
              <w:left w:val="nil"/>
              <w:bottom w:val="nil"/>
              <w:right w:val="nil"/>
            </w:tcBorders>
            <w:noWrap/>
            <w:vAlign w:val="bottom"/>
          </w:tcPr>
          <w:p w14:paraId="1E6D2611"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rPr>
              <w:t>ATGTGCAAGGCCGGTTTCGC</w:t>
            </w:r>
          </w:p>
        </w:tc>
        <w:tc>
          <w:tcPr>
            <w:tcW w:w="1052" w:type="dxa"/>
            <w:vMerge w:val="restart"/>
            <w:tcBorders>
              <w:top w:val="nil"/>
              <w:left w:val="nil"/>
              <w:right w:val="nil"/>
            </w:tcBorders>
            <w:noWrap/>
            <w:vAlign w:val="bottom"/>
          </w:tcPr>
          <w:p w14:paraId="5C5A29E6"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 xml:space="preserve">58 </w:t>
            </w:r>
            <w:r>
              <w:rPr>
                <w:rFonts w:ascii="Book Antiqua" w:hAnsi="Book Antiqua"/>
                <w:color w:val="000000"/>
                <w:sz w:val="16"/>
                <w:szCs w:val="16"/>
              </w:rPr>
              <w:t>˚C</w:t>
            </w:r>
          </w:p>
        </w:tc>
        <w:tc>
          <w:tcPr>
            <w:tcW w:w="2412" w:type="dxa"/>
            <w:vMerge w:val="restart"/>
            <w:tcBorders>
              <w:top w:val="nil"/>
              <w:left w:val="nil"/>
              <w:right w:val="nil"/>
            </w:tcBorders>
            <w:shd w:val="clear" w:color="000000" w:fill="FFFFFF"/>
            <w:noWrap/>
            <w:vAlign w:val="center"/>
          </w:tcPr>
          <w:p w14:paraId="0A064096"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Carbone and Kohn (1999)</w:t>
            </w:r>
          </w:p>
        </w:tc>
      </w:tr>
      <w:tr w:rsidR="003801E8" w14:paraId="570FAC3B" w14:textId="77777777">
        <w:trPr>
          <w:trHeight w:val="288"/>
        </w:trPr>
        <w:tc>
          <w:tcPr>
            <w:tcW w:w="720" w:type="dxa"/>
            <w:vMerge/>
            <w:tcBorders>
              <w:left w:val="nil"/>
              <w:bottom w:val="nil"/>
              <w:right w:val="nil"/>
            </w:tcBorders>
            <w:noWrap/>
            <w:vAlign w:val="center"/>
          </w:tcPr>
          <w:p w14:paraId="6EA1144D" w14:textId="77777777" w:rsidR="003801E8" w:rsidRDefault="003801E8">
            <w:pPr>
              <w:spacing w:after="0" w:line="240" w:lineRule="auto"/>
              <w:jc w:val="center"/>
              <w:rPr>
                <w:rFonts w:ascii="Book Antiqua" w:hAnsi="Book Antiqua"/>
                <w:i/>
                <w:iCs/>
                <w:color w:val="000000"/>
                <w:sz w:val="16"/>
                <w:szCs w:val="16"/>
                <w:lang w:val="en-US"/>
              </w:rPr>
            </w:pPr>
          </w:p>
        </w:tc>
        <w:tc>
          <w:tcPr>
            <w:tcW w:w="1620" w:type="dxa"/>
            <w:tcBorders>
              <w:top w:val="nil"/>
              <w:left w:val="nil"/>
              <w:bottom w:val="nil"/>
              <w:right w:val="nil"/>
            </w:tcBorders>
            <w:noWrap/>
            <w:vAlign w:val="bottom"/>
          </w:tcPr>
          <w:p w14:paraId="3494CF26"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rPr>
              <w:t>ACT</w:t>
            </w:r>
            <w:r>
              <w:rPr>
                <w:rFonts w:ascii="Book Antiqua" w:hAnsi="Book Antiqua"/>
                <w:color w:val="000000"/>
                <w:sz w:val="16"/>
                <w:szCs w:val="16"/>
              </w:rPr>
              <w:noBreakHyphen/>
              <w:t>783R</w:t>
            </w:r>
          </w:p>
        </w:tc>
        <w:tc>
          <w:tcPr>
            <w:tcW w:w="3397" w:type="dxa"/>
            <w:tcBorders>
              <w:top w:val="nil"/>
              <w:left w:val="nil"/>
              <w:bottom w:val="nil"/>
              <w:right w:val="nil"/>
            </w:tcBorders>
            <w:noWrap/>
            <w:vAlign w:val="bottom"/>
          </w:tcPr>
          <w:p w14:paraId="4BDBC456"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rPr>
              <w:t>TACGAGTCCTTCTGGCCCAT</w:t>
            </w:r>
          </w:p>
        </w:tc>
        <w:tc>
          <w:tcPr>
            <w:tcW w:w="1052" w:type="dxa"/>
            <w:vMerge/>
            <w:tcBorders>
              <w:left w:val="nil"/>
              <w:bottom w:val="nil"/>
              <w:right w:val="nil"/>
            </w:tcBorders>
            <w:noWrap/>
            <w:vAlign w:val="bottom"/>
          </w:tcPr>
          <w:p w14:paraId="490807C9" w14:textId="77777777" w:rsidR="003801E8" w:rsidRDefault="003801E8">
            <w:pPr>
              <w:spacing w:after="0" w:line="240" w:lineRule="auto"/>
              <w:jc w:val="center"/>
              <w:rPr>
                <w:rFonts w:ascii="Book Antiqua" w:hAnsi="Book Antiqua"/>
                <w:color w:val="000000"/>
                <w:sz w:val="16"/>
                <w:szCs w:val="16"/>
                <w:lang w:val="en-US"/>
              </w:rPr>
            </w:pPr>
          </w:p>
        </w:tc>
        <w:tc>
          <w:tcPr>
            <w:tcW w:w="2412" w:type="dxa"/>
            <w:vMerge/>
            <w:tcBorders>
              <w:left w:val="nil"/>
              <w:bottom w:val="nil"/>
              <w:right w:val="nil"/>
            </w:tcBorders>
            <w:shd w:val="clear" w:color="000000" w:fill="FFFFFF"/>
            <w:noWrap/>
            <w:vAlign w:val="center"/>
          </w:tcPr>
          <w:p w14:paraId="541F7D1D" w14:textId="77777777" w:rsidR="003801E8" w:rsidRDefault="003801E8">
            <w:pPr>
              <w:spacing w:after="0" w:line="240" w:lineRule="auto"/>
              <w:jc w:val="center"/>
              <w:rPr>
                <w:rFonts w:ascii="Book Antiqua" w:hAnsi="Book Antiqua"/>
                <w:color w:val="000000"/>
                <w:sz w:val="16"/>
                <w:szCs w:val="16"/>
                <w:lang w:val="en-US"/>
              </w:rPr>
            </w:pPr>
          </w:p>
        </w:tc>
      </w:tr>
      <w:tr w:rsidR="003801E8" w14:paraId="2EFA8144" w14:textId="77777777">
        <w:trPr>
          <w:trHeight w:val="288"/>
        </w:trPr>
        <w:tc>
          <w:tcPr>
            <w:tcW w:w="720" w:type="dxa"/>
            <w:vMerge w:val="restart"/>
            <w:tcBorders>
              <w:top w:val="nil"/>
              <w:left w:val="nil"/>
              <w:right w:val="nil"/>
            </w:tcBorders>
            <w:noWrap/>
            <w:vAlign w:val="center"/>
          </w:tcPr>
          <w:p w14:paraId="0F4F4674"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i/>
                <w:iCs/>
                <w:color w:val="000000"/>
                <w:sz w:val="16"/>
                <w:szCs w:val="16"/>
                <w:lang w:val="en-US"/>
              </w:rPr>
              <w:t>his</w:t>
            </w:r>
            <w:r>
              <w:rPr>
                <w:rFonts w:ascii="Book Antiqua" w:hAnsi="Book Antiqua"/>
                <w:color w:val="000000"/>
                <w:sz w:val="16"/>
                <w:szCs w:val="16"/>
                <w:lang w:val="en-US"/>
              </w:rPr>
              <w:t>3</w:t>
            </w:r>
          </w:p>
        </w:tc>
        <w:tc>
          <w:tcPr>
            <w:tcW w:w="1620" w:type="dxa"/>
            <w:tcBorders>
              <w:top w:val="nil"/>
              <w:left w:val="nil"/>
              <w:bottom w:val="nil"/>
              <w:right w:val="nil"/>
            </w:tcBorders>
            <w:noWrap/>
            <w:vAlign w:val="bottom"/>
          </w:tcPr>
          <w:p w14:paraId="6F4E7CA5"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rPr>
              <w:t>CYLH3F</w:t>
            </w:r>
          </w:p>
        </w:tc>
        <w:tc>
          <w:tcPr>
            <w:tcW w:w="3397" w:type="dxa"/>
            <w:tcBorders>
              <w:top w:val="nil"/>
              <w:left w:val="nil"/>
              <w:bottom w:val="nil"/>
              <w:right w:val="nil"/>
            </w:tcBorders>
            <w:noWrap/>
            <w:vAlign w:val="bottom"/>
          </w:tcPr>
          <w:p w14:paraId="3110C219"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rPr>
              <w:t>AGGTCCACTGGTGGCAAG</w:t>
            </w:r>
          </w:p>
        </w:tc>
        <w:tc>
          <w:tcPr>
            <w:tcW w:w="1052" w:type="dxa"/>
            <w:vMerge w:val="restart"/>
            <w:tcBorders>
              <w:top w:val="nil"/>
              <w:left w:val="nil"/>
              <w:right w:val="nil"/>
            </w:tcBorders>
            <w:noWrap/>
            <w:vAlign w:val="bottom"/>
          </w:tcPr>
          <w:p w14:paraId="6AF3122B"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 xml:space="preserve">58 </w:t>
            </w:r>
            <w:r>
              <w:rPr>
                <w:rFonts w:ascii="Book Antiqua" w:hAnsi="Book Antiqua"/>
                <w:color w:val="000000"/>
                <w:sz w:val="16"/>
                <w:szCs w:val="16"/>
              </w:rPr>
              <w:t>˚C</w:t>
            </w:r>
          </w:p>
        </w:tc>
        <w:tc>
          <w:tcPr>
            <w:tcW w:w="2412" w:type="dxa"/>
            <w:vMerge w:val="restart"/>
            <w:tcBorders>
              <w:top w:val="nil"/>
              <w:left w:val="nil"/>
              <w:right w:val="nil"/>
            </w:tcBorders>
            <w:shd w:val="clear" w:color="000000" w:fill="FFFFFF"/>
            <w:noWrap/>
            <w:vAlign w:val="center"/>
          </w:tcPr>
          <w:p w14:paraId="0A0CFAB4"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Glass and Donaldson (1995)</w:t>
            </w:r>
            <w:r>
              <w:rPr>
                <w:rFonts w:ascii="Book Antiqua" w:hAnsi="Book Antiqua"/>
                <w:color w:val="000000"/>
                <w:sz w:val="16"/>
                <w:szCs w:val="16"/>
                <w:lang w:val="en-US"/>
              </w:rPr>
              <w:br/>
              <w:t>Carbone and Kohn (1999)</w:t>
            </w:r>
          </w:p>
        </w:tc>
      </w:tr>
      <w:tr w:rsidR="003801E8" w14:paraId="7D4BD0DD" w14:textId="77777777">
        <w:trPr>
          <w:trHeight w:val="288"/>
        </w:trPr>
        <w:tc>
          <w:tcPr>
            <w:tcW w:w="720" w:type="dxa"/>
            <w:vMerge/>
            <w:tcBorders>
              <w:left w:val="nil"/>
              <w:bottom w:val="nil"/>
              <w:right w:val="nil"/>
            </w:tcBorders>
            <w:noWrap/>
            <w:vAlign w:val="center"/>
          </w:tcPr>
          <w:p w14:paraId="5B3DD82E" w14:textId="77777777" w:rsidR="003801E8" w:rsidRDefault="003801E8">
            <w:pPr>
              <w:spacing w:after="0" w:line="240" w:lineRule="auto"/>
              <w:jc w:val="center"/>
              <w:rPr>
                <w:rFonts w:ascii="Book Antiqua" w:hAnsi="Book Antiqua"/>
                <w:color w:val="000000"/>
                <w:sz w:val="16"/>
                <w:szCs w:val="16"/>
                <w:lang w:val="en-US"/>
              </w:rPr>
            </w:pPr>
          </w:p>
        </w:tc>
        <w:tc>
          <w:tcPr>
            <w:tcW w:w="1620" w:type="dxa"/>
            <w:tcBorders>
              <w:top w:val="nil"/>
              <w:left w:val="nil"/>
              <w:bottom w:val="nil"/>
              <w:right w:val="nil"/>
            </w:tcBorders>
            <w:noWrap/>
            <w:vAlign w:val="bottom"/>
          </w:tcPr>
          <w:p w14:paraId="6E9B4BAD"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rPr>
              <w:t>H3-1b</w:t>
            </w:r>
          </w:p>
        </w:tc>
        <w:tc>
          <w:tcPr>
            <w:tcW w:w="3397" w:type="dxa"/>
            <w:tcBorders>
              <w:top w:val="nil"/>
              <w:left w:val="nil"/>
              <w:bottom w:val="nil"/>
              <w:right w:val="nil"/>
            </w:tcBorders>
            <w:noWrap/>
            <w:vAlign w:val="bottom"/>
          </w:tcPr>
          <w:p w14:paraId="56B32C6C"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rPr>
              <w:t>GCGGGCGAGCTGGATGTCCTT</w:t>
            </w:r>
          </w:p>
        </w:tc>
        <w:tc>
          <w:tcPr>
            <w:tcW w:w="1052" w:type="dxa"/>
            <w:vMerge/>
            <w:tcBorders>
              <w:left w:val="nil"/>
              <w:bottom w:val="nil"/>
              <w:right w:val="nil"/>
            </w:tcBorders>
            <w:noWrap/>
            <w:vAlign w:val="bottom"/>
          </w:tcPr>
          <w:p w14:paraId="32BC1FC0" w14:textId="77777777" w:rsidR="003801E8" w:rsidRDefault="003801E8">
            <w:pPr>
              <w:spacing w:after="0" w:line="240" w:lineRule="auto"/>
              <w:jc w:val="center"/>
              <w:rPr>
                <w:rFonts w:ascii="Book Antiqua" w:hAnsi="Book Antiqua"/>
                <w:color w:val="000000"/>
                <w:sz w:val="16"/>
                <w:szCs w:val="16"/>
                <w:lang w:val="en-US"/>
              </w:rPr>
            </w:pPr>
          </w:p>
        </w:tc>
        <w:tc>
          <w:tcPr>
            <w:tcW w:w="2412" w:type="dxa"/>
            <w:vMerge/>
            <w:tcBorders>
              <w:left w:val="nil"/>
              <w:bottom w:val="nil"/>
              <w:right w:val="nil"/>
            </w:tcBorders>
            <w:shd w:val="clear" w:color="000000" w:fill="FFFFFF"/>
            <w:noWrap/>
            <w:vAlign w:val="center"/>
          </w:tcPr>
          <w:p w14:paraId="761ACD88" w14:textId="77777777" w:rsidR="003801E8" w:rsidRDefault="003801E8">
            <w:pPr>
              <w:spacing w:after="0" w:line="240" w:lineRule="auto"/>
              <w:jc w:val="center"/>
              <w:rPr>
                <w:rFonts w:ascii="Book Antiqua" w:hAnsi="Book Antiqua"/>
                <w:color w:val="000000"/>
                <w:sz w:val="16"/>
                <w:szCs w:val="16"/>
                <w:lang w:val="en-US"/>
              </w:rPr>
            </w:pPr>
          </w:p>
        </w:tc>
      </w:tr>
      <w:tr w:rsidR="003801E8" w14:paraId="3B63A7AD" w14:textId="77777777">
        <w:trPr>
          <w:trHeight w:val="288"/>
        </w:trPr>
        <w:tc>
          <w:tcPr>
            <w:tcW w:w="720" w:type="dxa"/>
            <w:vMerge w:val="restart"/>
            <w:tcBorders>
              <w:top w:val="nil"/>
              <w:left w:val="nil"/>
              <w:right w:val="nil"/>
            </w:tcBorders>
            <w:noWrap/>
            <w:vAlign w:val="center"/>
          </w:tcPr>
          <w:p w14:paraId="6098B53B" w14:textId="77777777" w:rsidR="003801E8" w:rsidRDefault="00E44AAE">
            <w:pPr>
              <w:spacing w:after="0" w:line="240" w:lineRule="auto"/>
              <w:jc w:val="center"/>
              <w:rPr>
                <w:rFonts w:ascii="Book Antiqua" w:hAnsi="Book Antiqua"/>
                <w:i/>
                <w:iCs/>
                <w:color w:val="000000"/>
                <w:sz w:val="16"/>
                <w:szCs w:val="16"/>
                <w:lang w:val="en-US"/>
              </w:rPr>
            </w:pPr>
            <w:r>
              <w:rPr>
                <w:rFonts w:ascii="Book Antiqua" w:hAnsi="Book Antiqua"/>
                <w:i/>
                <w:iCs/>
                <w:color w:val="000000"/>
                <w:sz w:val="16"/>
                <w:szCs w:val="16"/>
                <w:lang w:val="en-US"/>
              </w:rPr>
              <w:t>cal</w:t>
            </w:r>
          </w:p>
        </w:tc>
        <w:tc>
          <w:tcPr>
            <w:tcW w:w="1620" w:type="dxa"/>
            <w:tcBorders>
              <w:top w:val="nil"/>
              <w:left w:val="nil"/>
              <w:right w:val="nil"/>
            </w:tcBorders>
            <w:noWrap/>
            <w:vAlign w:val="bottom"/>
          </w:tcPr>
          <w:p w14:paraId="5D6D7784"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rPr>
              <w:t>CAL</w:t>
            </w:r>
            <w:r>
              <w:rPr>
                <w:rFonts w:ascii="Book Antiqua" w:hAnsi="Book Antiqua"/>
                <w:color w:val="000000"/>
                <w:sz w:val="16"/>
                <w:szCs w:val="16"/>
              </w:rPr>
              <w:noBreakHyphen/>
              <w:t>228F</w:t>
            </w:r>
          </w:p>
        </w:tc>
        <w:tc>
          <w:tcPr>
            <w:tcW w:w="3397" w:type="dxa"/>
            <w:tcBorders>
              <w:top w:val="nil"/>
              <w:left w:val="nil"/>
              <w:right w:val="nil"/>
            </w:tcBorders>
            <w:noWrap/>
            <w:vAlign w:val="bottom"/>
          </w:tcPr>
          <w:p w14:paraId="4B8EF00C"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GAGTTCAAGGAGGCCTTCTCCC</w:t>
            </w:r>
          </w:p>
        </w:tc>
        <w:tc>
          <w:tcPr>
            <w:tcW w:w="1052" w:type="dxa"/>
            <w:tcBorders>
              <w:top w:val="nil"/>
              <w:left w:val="nil"/>
              <w:right w:val="nil"/>
            </w:tcBorders>
            <w:noWrap/>
            <w:vAlign w:val="bottom"/>
          </w:tcPr>
          <w:p w14:paraId="459BE82E" w14:textId="77777777" w:rsidR="003801E8" w:rsidRDefault="003801E8">
            <w:pPr>
              <w:spacing w:after="0" w:line="240" w:lineRule="auto"/>
              <w:jc w:val="center"/>
              <w:rPr>
                <w:rFonts w:ascii="Book Antiqua" w:hAnsi="Book Antiqua"/>
                <w:color w:val="000000"/>
                <w:sz w:val="16"/>
                <w:szCs w:val="16"/>
                <w:lang w:val="en-US"/>
              </w:rPr>
            </w:pPr>
          </w:p>
        </w:tc>
        <w:tc>
          <w:tcPr>
            <w:tcW w:w="2412" w:type="dxa"/>
            <w:vMerge w:val="restart"/>
            <w:tcBorders>
              <w:top w:val="nil"/>
              <w:left w:val="nil"/>
              <w:right w:val="nil"/>
            </w:tcBorders>
            <w:shd w:val="clear" w:color="000000" w:fill="FFFFFF"/>
            <w:noWrap/>
            <w:vAlign w:val="center"/>
          </w:tcPr>
          <w:p w14:paraId="0927152A"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Carbone and Kohn (1999)</w:t>
            </w:r>
          </w:p>
        </w:tc>
      </w:tr>
      <w:tr w:rsidR="003801E8" w14:paraId="30E6422E" w14:textId="77777777">
        <w:trPr>
          <w:trHeight w:val="288"/>
        </w:trPr>
        <w:tc>
          <w:tcPr>
            <w:tcW w:w="720" w:type="dxa"/>
            <w:vMerge/>
            <w:tcBorders>
              <w:left w:val="nil"/>
              <w:bottom w:val="single" w:sz="4" w:space="0" w:color="auto"/>
              <w:right w:val="nil"/>
            </w:tcBorders>
            <w:noWrap/>
            <w:vAlign w:val="center"/>
          </w:tcPr>
          <w:p w14:paraId="79247342" w14:textId="77777777" w:rsidR="003801E8" w:rsidRDefault="003801E8">
            <w:pPr>
              <w:spacing w:after="0" w:line="240" w:lineRule="auto"/>
              <w:jc w:val="center"/>
              <w:rPr>
                <w:rFonts w:ascii="Book Antiqua" w:hAnsi="Book Antiqua"/>
                <w:i/>
                <w:iCs/>
                <w:color w:val="000000"/>
                <w:sz w:val="16"/>
                <w:szCs w:val="16"/>
                <w:lang w:val="en-US"/>
              </w:rPr>
            </w:pPr>
          </w:p>
        </w:tc>
        <w:tc>
          <w:tcPr>
            <w:tcW w:w="1620" w:type="dxa"/>
            <w:tcBorders>
              <w:top w:val="nil"/>
              <w:left w:val="nil"/>
              <w:bottom w:val="single" w:sz="4" w:space="0" w:color="auto"/>
              <w:right w:val="nil"/>
            </w:tcBorders>
            <w:noWrap/>
            <w:vAlign w:val="bottom"/>
          </w:tcPr>
          <w:p w14:paraId="06669BE6"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rPr>
              <w:t>CAL</w:t>
            </w:r>
            <w:r>
              <w:rPr>
                <w:rFonts w:ascii="Book Antiqua" w:hAnsi="Book Antiqua"/>
                <w:color w:val="000000"/>
                <w:sz w:val="16"/>
                <w:szCs w:val="16"/>
              </w:rPr>
              <w:noBreakHyphen/>
              <w:t>737R</w:t>
            </w:r>
          </w:p>
        </w:tc>
        <w:tc>
          <w:tcPr>
            <w:tcW w:w="3397" w:type="dxa"/>
            <w:tcBorders>
              <w:top w:val="nil"/>
              <w:left w:val="nil"/>
              <w:bottom w:val="single" w:sz="4" w:space="0" w:color="auto"/>
              <w:right w:val="nil"/>
            </w:tcBorders>
            <w:noWrap/>
            <w:vAlign w:val="bottom"/>
          </w:tcPr>
          <w:p w14:paraId="29776FD8"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CATCTTTCTGGCCATCATGG</w:t>
            </w:r>
          </w:p>
        </w:tc>
        <w:tc>
          <w:tcPr>
            <w:tcW w:w="1052" w:type="dxa"/>
            <w:tcBorders>
              <w:top w:val="nil"/>
              <w:left w:val="nil"/>
              <w:bottom w:val="single" w:sz="4" w:space="0" w:color="auto"/>
              <w:right w:val="nil"/>
            </w:tcBorders>
            <w:noWrap/>
            <w:vAlign w:val="bottom"/>
          </w:tcPr>
          <w:p w14:paraId="660A682A" w14:textId="77777777" w:rsidR="003801E8" w:rsidRDefault="00E44AAE">
            <w:pPr>
              <w:spacing w:after="0" w:line="240" w:lineRule="auto"/>
              <w:jc w:val="center"/>
              <w:rPr>
                <w:rFonts w:ascii="Book Antiqua" w:hAnsi="Book Antiqua"/>
                <w:color w:val="000000"/>
                <w:sz w:val="16"/>
                <w:szCs w:val="16"/>
                <w:lang w:val="en-US"/>
              </w:rPr>
            </w:pPr>
            <w:r>
              <w:rPr>
                <w:rFonts w:ascii="Book Antiqua" w:hAnsi="Book Antiqua"/>
                <w:color w:val="000000"/>
                <w:sz w:val="16"/>
                <w:szCs w:val="16"/>
                <w:lang w:val="en-US"/>
              </w:rPr>
              <w:t xml:space="preserve">58 </w:t>
            </w:r>
            <w:r>
              <w:rPr>
                <w:rFonts w:ascii="Book Antiqua" w:hAnsi="Book Antiqua"/>
                <w:color w:val="000000"/>
                <w:sz w:val="16"/>
                <w:szCs w:val="16"/>
              </w:rPr>
              <w:t>˚C</w:t>
            </w:r>
          </w:p>
        </w:tc>
        <w:tc>
          <w:tcPr>
            <w:tcW w:w="2412" w:type="dxa"/>
            <w:vMerge/>
            <w:tcBorders>
              <w:left w:val="nil"/>
              <w:bottom w:val="single" w:sz="4" w:space="0" w:color="auto"/>
              <w:right w:val="nil"/>
            </w:tcBorders>
            <w:shd w:val="clear" w:color="000000" w:fill="FFFFFF"/>
            <w:noWrap/>
            <w:vAlign w:val="center"/>
          </w:tcPr>
          <w:p w14:paraId="384B0407" w14:textId="77777777" w:rsidR="003801E8" w:rsidRDefault="003801E8">
            <w:pPr>
              <w:spacing w:after="0" w:line="240" w:lineRule="auto"/>
              <w:jc w:val="center"/>
              <w:rPr>
                <w:rFonts w:ascii="Book Antiqua" w:hAnsi="Book Antiqua"/>
                <w:color w:val="000000"/>
                <w:sz w:val="16"/>
                <w:szCs w:val="16"/>
                <w:lang w:val="en-US"/>
              </w:rPr>
            </w:pPr>
          </w:p>
        </w:tc>
      </w:tr>
    </w:tbl>
    <w:p w14:paraId="0C85BD0D" w14:textId="77777777" w:rsidR="003801E8" w:rsidRDefault="003801E8">
      <w:pPr>
        <w:spacing w:after="160" w:line="240" w:lineRule="auto"/>
        <w:jc w:val="both"/>
        <w:rPr>
          <w:rFonts w:ascii="Times New Roman" w:hAnsi="Times New Roman" w:cs="Times New Roman"/>
          <w:bCs/>
          <w:color w:val="002060"/>
          <w:kern w:val="2"/>
          <w:sz w:val="24"/>
          <w:szCs w:val="24"/>
          <w:lang w:val="en-US" w:eastAsia="sr-Latn-ME"/>
        </w:rPr>
      </w:pPr>
    </w:p>
    <w:p w14:paraId="01B24324" w14:textId="77777777" w:rsidR="003801E8" w:rsidRDefault="003801E8">
      <w:pPr>
        <w:spacing w:after="160" w:line="360" w:lineRule="auto"/>
        <w:jc w:val="both"/>
        <w:rPr>
          <w:rFonts w:ascii="Book Antiqua" w:hAnsi="Book Antiqua" w:cs="Times New Roman"/>
          <w:b/>
          <w:kern w:val="2"/>
          <w:sz w:val="24"/>
          <w:szCs w:val="24"/>
          <w:lang w:val="en-US" w:eastAsia="sr-Latn-ME"/>
        </w:rPr>
      </w:pPr>
    </w:p>
    <w:p w14:paraId="2EC65E06" w14:textId="77777777" w:rsidR="003801E8" w:rsidRDefault="00E44AAE">
      <w:pPr>
        <w:spacing w:after="160" w:line="360" w:lineRule="auto"/>
        <w:jc w:val="both"/>
        <w:rPr>
          <w:rFonts w:ascii="Book Antiqua" w:hAnsi="Book Antiqua" w:cs="Times New Roman"/>
          <w:b/>
          <w:i/>
          <w:iCs/>
          <w:kern w:val="2"/>
          <w:sz w:val="24"/>
          <w:szCs w:val="24"/>
          <w:lang w:val="en-US" w:eastAsia="sr-Latn-ME"/>
        </w:rPr>
      </w:pPr>
      <w:r>
        <w:rPr>
          <w:rFonts w:ascii="Book Antiqua" w:hAnsi="Book Antiqua" w:cs="Times New Roman"/>
          <w:b/>
          <w:kern w:val="2"/>
          <w:sz w:val="24"/>
          <w:szCs w:val="24"/>
          <w:lang w:val="en-US" w:eastAsia="sr-Latn-ME"/>
        </w:rPr>
        <w:t xml:space="preserve">4.4 </w:t>
      </w:r>
      <w:r>
        <w:rPr>
          <w:rFonts w:ascii="Book Antiqua" w:hAnsi="Book Antiqua" w:cs="Times New Roman"/>
          <w:b/>
          <w:iCs/>
          <w:kern w:val="2"/>
          <w:sz w:val="24"/>
          <w:szCs w:val="24"/>
          <w:lang w:val="en-US" w:eastAsia="sr-Latn-ME"/>
        </w:rPr>
        <w:t>Nukleotidne i filogenetske analize genomskih sekvenci identifikovanih mikroorganizama</w:t>
      </w:r>
    </w:p>
    <w:p w14:paraId="0B11CA87" w14:textId="77777777" w:rsidR="003801E8" w:rsidRDefault="00E44AAE">
      <w:pPr>
        <w:spacing w:after="160" w:line="360" w:lineRule="auto"/>
        <w:jc w:val="both"/>
        <w:rPr>
          <w:rFonts w:ascii="Book Antiqua" w:hAnsi="Book Antiqua" w:cs="Times New Roman"/>
          <w:bCs/>
          <w:kern w:val="2"/>
          <w:sz w:val="24"/>
          <w:szCs w:val="24"/>
          <w:lang w:eastAsia="sr-Latn-ME"/>
        </w:rPr>
      </w:pPr>
      <w:r>
        <w:rPr>
          <w:rFonts w:ascii="Book Antiqua" w:hAnsi="Book Antiqua" w:cs="Times New Roman"/>
          <w:bCs/>
          <w:kern w:val="2"/>
          <w:sz w:val="24"/>
          <w:szCs w:val="24"/>
          <w:lang w:eastAsia="sr-Latn-ME"/>
        </w:rPr>
        <w:t>Sekvence svih analiziranih gena su ručno provjerene radi kontrole kvaliteta i upoređene sa sekvencama dostupnim u bazi podataka GenBank, korišćenjem BLASTn. Parcijalne kodirajuće sekvence gena ITS, TUB2, TEF1-α, RPB2, ACT, HIS, CAL i LSU iz dobijenih izolata su deponovane u banku gena pod pristupnim brojevima prikazanim u tabelama 6-14. U zavisnosti od identifikovanog mikroorganizma, sekvence različitih gena, zajedno sa odgovarajućim sekvencama istih gena preuzetim iz NCBI baze podataka (Tabele 6-14), poravnate su korišćenjem MUSCLE algoritma. Na osnovu analiziranih genomskih regiona ispitivanih mikroorganizama konstruisana su filogenetska stabla primjenom metode maksimalne vjerovatnoće (Maximum Likelihood), uz 1000 bootstrap replikata, u softveru MEGA, verzija 11. Evolutivne distance korišćene u filogenetskoj analizi izračunate su prema Tamura–Nei modelu i izražene kao broj razlika u bazama po mjestu (</w:t>
      </w:r>
      <w:r>
        <w:rPr>
          <w:rFonts w:ascii="Book Antiqua" w:hAnsi="Book Antiqua" w:cs="Times New Roman"/>
          <w:b/>
          <w:kern w:val="2"/>
          <w:sz w:val="24"/>
          <w:szCs w:val="24"/>
          <w:lang w:eastAsia="sr-Latn-ME"/>
        </w:rPr>
        <w:t>Tamura et al., 2021</w:t>
      </w:r>
      <w:r>
        <w:rPr>
          <w:rFonts w:ascii="Book Antiqua" w:hAnsi="Book Antiqua" w:cs="Times New Roman"/>
          <w:bCs/>
          <w:kern w:val="2"/>
          <w:sz w:val="24"/>
          <w:szCs w:val="24"/>
          <w:lang w:eastAsia="sr-Latn-ME"/>
        </w:rPr>
        <w:t>).</w:t>
      </w:r>
    </w:p>
    <w:p w14:paraId="449345F4" w14:textId="77777777" w:rsidR="003801E8" w:rsidRDefault="00E44AAE">
      <w:pPr>
        <w:spacing w:after="160" w:line="360" w:lineRule="auto"/>
        <w:jc w:val="both"/>
        <w:rPr>
          <w:rFonts w:ascii="Book Antiqua" w:hAnsi="Book Antiqua" w:cs="Times New Roman"/>
          <w:bCs/>
          <w:kern w:val="2"/>
          <w:sz w:val="22"/>
          <w:szCs w:val="22"/>
          <w:lang w:val="en-US" w:eastAsia="sr-Latn-ME"/>
        </w:rPr>
      </w:pPr>
      <w:r>
        <w:rPr>
          <w:rFonts w:ascii="Book Antiqua" w:hAnsi="Book Antiqua" w:cs="Times New Roman"/>
          <w:b/>
          <w:kern w:val="2"/>
          <w:sz w:val="22"/>
          <w:szCs w:val="22"/>
          <w:lang w:val="en-US" w:eastAsia="sr-Latn-ME"/>
        </w:rPr>
        <w:lastRenderedPageBreak/>
        <w:t>Tabela 6</w:t>
      </w:r>
      <w:r>
        <w:rPr>
          <w:rFonts w:ascii="Book Antiqua" w:hAnsi="Book Antiqua" w:cs="Times New Roman"/>
          <w:bCs/>
          <w:kern w:val="2"/>
          <w:sz w:val="22"/>
          <w:szCs w:val="22"/>
          <w:lang w:val="en-US" w:eastAsia="sr-Latn-ME"/>
        </w:rPr>
        <w:t xml:space="preserve">. </w:t>
      </w:r>
      <w:r>
        <w:rPr>
          <w:rFonts w:ascii="Book Antiqua" w:hAnsi="Book Antiqua" w:cs="Times New Roman"/>
          <w:bCs/>
          <w:kern w:val="2"/>
          <w:sz w:val="22"/>
          <w:szCs w:val="22"/>
          <w:lang w:eastAsia="sr-Latn-ME"/>
        </w:rPr>
        <w:t xml:space="preserve">Pristupni brojevi za ITS, LSU, TUB2 i ACT sekvence mikroorganizama </w:t>
      </w:r>
      <w:r>
        <w:rPr>
          <w:rFonts w:ascii="Book Antiqua" w:hAnsi="Book Antiqua" w:cs="Times New Roman"/>
          <w:bCs/>
          <w:i/>
          <w:iCs/>
          <w:kern w:val="2"/>
          <w:sz w:val="22"/>
          <w:szCs w:val="22"/>
          <w:lang w:eastAsia="sr-Latn-ME"/>
        </w:rPr>
        <w:t>P. minimum</w:t>
      </w:r>
      <w:r>
        <w:rPr>
          <w:rFonts w:ascii="Book Antiqua" w:hAnsi="Book Antiqua" w:cs="Times New Roman"/>
          <w:bCs/>
          <w:kern w:val="2"/>
          <w:sz w:val="22"/>
          <w:szCs w:val="22"/>
          <w:lang w:eastAsia="sr-Latn-ME"/>
        </w:rPr>
        <w:t xml:space="preserve"> i </w:t>
      </w:r>
      <w:r>
        <w:rPr>
          <w:rFonts w:ascii="Book Antiqua" w:hAnsi="Book Antiqua" w:cs="Times New Roman"/>
          <w:bCs/>
          <w:i/>
          <w:iCs/>
          <w:kern w:val="2"/>
          <w:sz w:val="22"/>
          <w:szCs w:val="22"/>
          <w:lang w:eastAsia="sr-Latn-ME"/>
        </w:rPr>
        <w:t>P. iranianum</w:t>
      </w:r>
      <w:r>
        <w:rPr>
          <w:rFonts w:ascii="Book Antiqua" w:hAnsi="Book Antiqua" w:cs="Times New Roman"/>
          <w:bCs/>
          <w:kern w:val="2"/>
          <w:sz w:val="22"/>
          <w:szCs w:val="22"/>
          <w:lang w:eastAsia="sr-Latn-ME"/>
        </w:rPr>
        <w:t xml:space="preserve"> preuzete iz GenBank kao i za sekvence dobijene u ovom istraživanju. Boldirani NCBI brojevi sekvenci korišćenih u filogenetskim analizama</w:t>
      </w:r>
    </w:p>
    <w:tbl>
      <w:tblPr>
        <w:tblW w:w="9360" w:type="dxa"/>
        <w:tblLayout w:type="fixed"/>
        <w:tblLook w:val="04A0" w:firstRow="1" w:lastRow="0" w:firstColumn="1" w:lastColumn="0" w:noHBand="0" w:noVBand="1"/>
      </w:tblPr>
      <w:tblGrid>
        <w:gridCol w:w="1138"/>
        <w:gridCol w:w="1010"/>
        <w:gridCol w:w="1205"/>
        <w:gridCol w:w="1101"/>
        <w:gridCol w:w="836"/>
        <w:gridCol w:w="993"/>
        <w:gridCol w:w="732"/>
        <w:gridCol w:w="720"/>
        <w:gridCol w:w="815"/>
        <w:gridCol w:w="810"/>
      </w:tblGrid>
      <w:tr w:rsidR="003801E8" w14:paraId="7727FBD6" w14:textId="77777777">
        <w:trPr>
          <w:trHeight w:val="828"/>
        </w:trPr>
        <w:tc>
          <w:tcPr>
            <w:tcW w:w="1138" w:type="dxa"/>
            <w:tcBorders>
              <w:top w:val="single" w:sz="4" w:space="0" w:color="auto"/>
              <w:bottom w:val="single" w:sz="4" w:space="0" w:color="auto"/>
            </w:tcBorders>
            <w:vAlign w:val="center"/>
          </w:tcPr>
          <w:p w14:paraId="60EF8239"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Organizam </w:t>
            </w:r>
          </w:p>
        </w:tc>
        <w:tc>
          <w:tcPr>
            <w:tcW w:w="1010" w:type="dxa"/>
            <w:tcBorders>
              <w:top w:val="single" w:sz="4" w:space="0" w:color="auto"/>
              <w:bottom w:val="single" w:sz="4" w:space="0" w:color="auto"/>
            </w:tcBorders>
            <w:vAlign w:val="center"/>
          </w:tcPr>
          <w:p w14:paraId="5F63A3B7"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Izolat/Soj</w:t>
            </w:r>
          </w:p>
        </w:tc>
        <w:tc>
          <w:tcPr>
            <w:tcW w:w="1205" w:type="dxa"/>
            <w:tcBorders>
              <w:top w:val="single" w:sz="4" w:space="0" w:color="auto"/>
              <w:left w:val="nil"/>
              <w:bottom w:val="single" w:sz="4" w:space="0" w:color="auto"/>
            </w:tcBorders>
            <w:vAlign w:val="center"/>
          </w:tcPr>
          <w:p w14:paraId="0C8C899C"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Zemlja porijekla </w:t>
            </w:r>
          </w:p>
        </w:tc>
        <w:tc>
          <w:tcPr>
            <w:tcW w:w="1101" w:type="dxa"/>
            <w:tcBorders>
              <w:top w:val="single" w:sz="4" w:space="0" w:color="auto"/>
              <w:bottom w:val="single" w:sz="4" w:space="0" w:color="auto"/>
            </w:tcBorders>
            <w:vAlign w:val="center"/>
          </w:tcPr>
          <w:p w14:paraId="0687EF41"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Biljna vrsta (domaćin)</w:t>
            </w:r>
          </w:p>
        </w:tc>
        <w:tc>
          <w:tcPr>
            <w:tcW w:w="836" w:type="dxa"/>
            <w:tcBorders>
              <w:top w:val="single" w:sz="4" w:space="0" w:color="auto"/>
              <w:left w:val="nil"/>
              <w:bottom w:val="single" w:sz="4" w:space="0" w:color="auto"/>
            </w:tcBorders>
            <w:vAlign w:val="center"/>
          </w:tcPr>
          <w:p w14:paraId="27F25254"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Godina</w:t>
            </w:r>
          </w:p>
        </w:tc>
        <w:tc>
          <w:tcPr>
            <w:tcW w:w="993" w:type="dxa"/>
            <w:tcBorders>
              <w:top w:val="single" w:sz="4" w:space="0" w:color="auto"/>
              <w:bottom w:val="single" w:sz="4" w:space="0" w:color="auto"/>
            </w:tcBorders>
            <w:vAlign w:val="center"/>
          </w:tcPr>
          <w:p w14:paraId="164D1F75"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Autor</w:t>
            </w:r>
          </w:p>
        </w:tc>
        <w:tc>
          <w:tcPr>
            <w:tcW w:w="732" w:type="dxa"/>
            <w:tcBorders>
              <w:top w:val="single" w:sz="4" w:space="0" w:color="auto"/>
              <w:left w:val="nil"/>
              <w:bottom w:val="single" w:sz="4" w:space="0" w:color="auto"/>
            </w:tcBorders>
            <w:vAlign w:val="center"/>
          </w:tcPr>
          <w:p w14:paraId="27BC9529"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NCBI br. (ITS)</w:t>
            </w:r>
          </w:p>
        </w:tc>
        <w:tc>
          <w:tcPr>
            <w:tcW w:w="720" w:type="dxa"/>
            <w:tcBorders>
              <w:top w:val="single" w:sz="4" w:space="0" w:color="auto"/>
              <w:bottom w:val="single" w:sz="4" w:space="0" w:color="auto"/>
            </w:tcBorders>
            <w:vAlign w:val="center"/>
          </w:tcPr>
          <w:p w14:paraId="08B30E94"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NCBI br (LSU)</w:t>
            </w:r>
          </w:p>
        </w:tc>
        <w:tc>
          <w:tcPr>
            <w:tcW w:w="815" w:type="dxa"/>
            <w:tcBorders>
              <w:top w:val="single" w:sz="4" w:space="0" w:color="auto"/>
              <w:left w:val="nil"/>
              <w:bottom w:val="single" w:sz="4" w:space="0" w:color="auto"/>
            </w:tcBorders>
            <w:vAlign w:val="center"/>
          </w:tcPr>
          <w:p w14:paraId="5842FE95"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NCBI br. (TUB2)</w:t>
            </w:r>
          </w:p>
        </w:tc>
        <w:tc>
          <w:tcPr>
            <w:tcW w:w="810" w:type="dxa"/>
            <w:tcBorders>
              <w:top w:val="single" w:sz="4" w:space="0" w:color="auto"/>
              <w:bottom w:val="single" w:sz="4" w:space="0" w:color="auto"/>
            </w:tcBorders>
            <w:vAlign w:val="center"/>
          </w:tcPr>
          <w:p w14:paraId="1D2D8A86"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NCBI br. (ACT)</w:t>
            </w:r>
          </w:p>
        </w:tc>
      </w:tr>
      <w:tr w:rsidR="003801E8" w14:paraId="632E8A97" w14:textId="77777777">
        <w:trPr>
          <w:trHeight w:val="288"/>
        </w:trPr>
        <w:tc>
          <w:tcPr>
            <w:tcW w:w="1138" w:type="dxa"/>
            <w:tcBorders>
              <w:top w:val="single" w:sz="4" w:space="0" w:color="auto"/>
            </w:tcBorders>
            <w:noWrap/>
            <w:vAlign w:val="bottom"/>
          </w:tcPr>
          <w:p w14:paraId="53F533AE"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tcBorders>
              <w:top w:val="single" w:sz="4" w:space="0" w:color="auto"/>
            </w:tcBorders>
            <w:vAlign w:val="center"/>
          </w:tcPr>
          <w:p w14:paraId="00CC8CA1"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MN001</w:t>
            </w:r>
          </w:p>
        </w:tc>
        <w:tc>
          <w:tcPr>
            <w:tcW w:w="1205" w:type="dxa"/>
            <w:tcBorders>
              <w:top w:val="single" w:sz="4" w:space="0" w:color="auto"/>
              <w:left w:val="nil"/>
            </w:tcBorders>
            <w:vAlign w:val="center"/>
          </w:tcPr>
          <w:p w14:paraId="423BBDFA"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Crna Gora</w:t>
            </w:r>
          </w:p>
        </w:tc>
        <w:tc>
          <w:tcPr>
            <w:tcW w:w="1101" w:type="dxa"/>
            <w:tcBorders>
              <w:top w:val="single" w:sz="4" w:space="0" w:color="auto"/>
            </w:tcBorders>
            <w:vAlign w:val="center"/>
          </w:tcPr>
          <w:p w14:paraId="08F3F039"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top w:val="single" w:sz="4" w:space="0" w:color="auto"/>
              <w:left w:val="nil"/>
            </w:tcBorders>
            <w:vAlign w:val="center"/>
          </w:tcPr>
          <w:p w14:paraId="115375D4"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2023</w:t>
            </w:r>
          </w:p>
        </w:tc>
        <w:tc>
          <w:tcPr>
            <w:tcW w:w="993" w:type="dxa"/>
            <w:tcBorders>
              <w:top w:val="single" w:sz="4" w:space="0" w:color="auto"/>
            </w:tcBorders>
            <w:vAlign w:val="center"/>
          </w:tcPr>
          <w:p w14:paraId="49DC058E"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Kandić</w:t>
            </w:r>
          </w:p>
        </w:tc>
        <w:tc>
          <w:tcPr>
            <w:tcW w:w="732" w:type="dxa"/>
            <w:tcBorders>
              <w:top w:val="single" w:sz="4" w:space="0" w:color="auto"/>
              <w:left w:val="nil"/>
            </w:tcBorders>
            <w:vAlign w:val="center"/>
          </w:tcPr>
          <w:p w14:paraId="18CDF3A0"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PQ191303</w:t>
            </w:r>
          </w:p>
        </w:tc>
        <w:tc>
          <w:tcPr>
            <w:tcW w:w="720" w:type="dxa"/>
            <w:tcBorders>
              <w:top w:val="single" w:sz="4" w:space="0" w:color="auto"/>
            </w:tcBorders>
            <w:vAlign w:val="center"/>
          </w:tcPr>
          <w:p w14:paraId="30080F34"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PX670344</w:t>
            </w:r>
          </w:p>
        </w:tc>
        <w:tc>
          <w:tcPr>
            <w:tcW w:w="815" w:type="dxa"/>
            <w:tcBorders>
              <w:top w:val="single" w:sz="4" w:space="0" w:color="auto"/>
              <w:left w:val="nil"/>
            </w:tcBorders>
            <w:vAlign w:val="center"/>
          </w:tcPr>
          <w:p w14:paraId="403BFBB5"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PX686749</w:t>
            </w:r>
          </w:p>
        </w:tc>
        <w:tc>
          <w:tcPr>
            <w:tcW w:w="810" w:type="dxa"/>
            <w:tcBorders>
              <w:top w:val="single" w:sz="4" w:space="0" w:color="auto"/>
            </w:tcBorders>
            <w:vAlign w:val="center"/>
          </w:tcPr>
          <w:p w14:paraId="583422F9"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PX686339</w:t>
            </w:r>
          </w:p>
        </w:tc>
      </w:tr>
      <w:tr w:rsidR="003801E8" w14:paraId="1E4C84FD" w14:textId="77777777">
        <w:trPr>
          <w:trHeight w:val="288"/>
        </w:trPr>
        <w:tc>
          <w:tcPr>
            <w:tcW w:w="1138" w:type="dxa"/>
            <w:noWrap/>
            <w:vAlign w:val="bottom"/>
          </w:tcPr>
          <w:p w14:paraId="0B879E6C"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vAlign w:val="center"/>
          </w:tcPr>
          <w:p w14:paraId="6CD5475C"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MN002</w:t>
            </w:r>
          </w:p>
        </w:tc>
        <w:tc>
          <w:tcPr>
            <w:tcW w:w="1205" w:type="dxa"/>
            <w:tcBorders>
              <w:left w:val="nil"/>
            </w:tcBorders>
          </w:tcPr>
          <w:p w14:paraId="4D1F821E"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Crna Gora</w:t>
            </w:r>
          </w:p>
        </w:tc>
        <w:tc>
          <w:tcPr>
            <w:tcW w:w="1101" w:type="dxa"/>
            <w:vAlign w:val="center"/>
          </w:tcPr>
          <w:p w14:paraId="4CCF8FBD"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51CA3381"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2023</w:t>
            </w:r>
          </w:p>
        </w:tc>
        <w:tc>
          <w:tcPr>
            <w:tcW w:w="993" w:type="dxa"/>
            <w:vAlign w:val="center"/>
          </w:tcPr>
          <w:p w14:paraId="5526C0A4"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Kandić</w:t>
            </w:r>
          </w:p>
        </w:tc>
        <w:tc>
          <w:tcPr>
            <w:tcW w:w="732" w:type="dxa"/>
            <w:tcBorders>
              <w:left w:val="nil"/>
            </w:tcBorders>
            <w:vAlign w:val="center"/>
          </w:tcPr>
          <w:p w14:paraId="4AB9392E"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PQ191304</w:t>
            </w:r>
          </w:p>
        </w:tc>
        <w:tc>
          <w:tcPr>
            <w:tcW w:w="720" w:type="dxa"/>
            <w:vAlign w:val="center"/>
          </w:tcPr>
          <w:p w14:paraId="3ED37F3D"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PX670342</w:t>
            </w:r>
          </w:p>
        </w:tc>
        <w:tc>
          <w:tcPr>
            <w:tcW w:w="815" w:type="dxa"/>
            <w:tcBorders>
              <w:left w:val="nil"/>
            </w:tcBorders>
            <w:vAlign w:val="center"/>
          </w:tcPr>
          <w:p w14:paraId="52C525B8"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PX686752</w:t>
            </w:r>
          </w:p>
        </w:tc>
        <w:tc>
          <w:tcPr>
            <w:tcW w:w="810" w:type="dxa"/>
            <w:vAlign w:val="center"/>
          </w:tcPr>
          <w:p w14:paraId="7044E686"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PX686340</w:t>
            </w:r>
          </w:p>
        </w:tc>
      </w:tr>
      <w:tr w:rsidR="003801E8" w14:paraId="4C1D4EB5" w14:textId="77777777">
        <w:trPr>
          <w:trHeight w:val="288"/>
        </w:trPr>
        <w:tc>
          <w:tcPr>
            <w:tcW w:w="1138" w:type="dxa"/>
            <w:noWrap/>
            <w:vAlign w:val="bottom"/>
          </w:tcPr>
          <w:p w14:paraId="78969D5F"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vAlign w:val="center"/>
          </w:tcPr>
          <w:p w14:paraId="45203FF2"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MN003</w:t>
            </w:r>
          </w:p>
        </w:tc>
        <w:tc>
          <w:tcPr>
            <w:tcW w:w="1205" w:type="dxa"/>
            <w:tcBorders>
              <w:left w:val="nil"/>
            </w:tcBorders>
          </w:tcPr>
          <w:p w14:paraId="0141F944"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Crna Gora</w:t>
            </w:r>
          </w:p>
        </w:tc>
        <w:tc>
          <w:tcPr>
            <w:tcW w:w="1101" w:type="dxa"/>
          </w:tcPr>
          <w:p w14:paraId="5B044AB7"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4EB34458"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2023</w:t>
            </w:r>
          </w:p>
        </w:tc>
        <w:tc>
          <w:tcPr>
            <w:tcW w:w="993" w:type="dxa"/>
          </w:tcPr>
          <w:p w14:paraId="4E51BE8E"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Kandić</w:t>
            </w:r>
          </w:p>
        </w:tc>
        <w:tc>
          <w:tcPr>
            <w:tcW w:w="732" w:type="dxa"/>
            <w:tcBorders>
              <w:left w:val="nil"/>
            </w:tcBorders>
            <w:vAlign w:val="center"/>
          </w:tcPr>
          <w:p w14:paraId="31083E94"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PQ191305</w:t>
            </w:r>
          </w:p>
        </w:tc>
        <w:tc>
          <w:tcPr>
            <w:tcW w:w="720" w:type="dxa"/>
            <w:vAlign w:val="center"/>
          </w:tcPr>
          <w:p w14:paraId="24558A4F"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PX670347</w:t>
            </w:r>
          </w:p>
        </w:tc>
        <w:tc>
          <w:tcPr>
            <w:tcW w:w="815" w:type="dxa"/>
            <w:tcBorders>
              <w:left w:val="nil"/>
            </w:tcBorders>
            <w:vAlign w:val="center"/>
          </w:tcPr>
          <w:p w14:paraId="00A7CAAD"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PX686747</w:t>
            </w:r>
          </w:p>
        </w:tc>
        <w:tc>
          <w:tcPr>
            <w:tcW w:w="810" w:type="dxa"/>
            <w:vAlign w:val="center"/>
          </w:tcPr>
          <w:p w14:paraId="4016F762"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PX686341</w:t>
            </w:r>
          </w:p>
        </w:tc>
      </w:tr>
      <w:tr w:rsidR="003801E8" w14:paraId="41DC813A" w14:textId="77777777">
        <w:trPr>
          <w:trHeight w:val="288"/>
        </w:trPr>
        <w:tc>
          <w:tcPr>
            <w:tcW w:w="1138" w:type="dxa"/>
            <w:noWrap/>
            <w:vAlign w:val="bottom"/>
          </w:tcPr>
          <w:p w14:paraId="1B614E79"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vAlign w:val="center"/>
          </w:tcPr>
          <w:p w14:paraId="7F0C2DD4"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MN004</w:t>
            </w:r>
          </w:p>
        </w:tc>
        <w:tc>
          <w:tcPr>
            <w:tcW w:w="1205" w:type="dxa"/>
            <w:tcBorders>
              <w:left w:val="nil"/>
            </w:tcBorders>
          </w:tcPr>
          <w:p w14:paraId="11470EDC"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Crna Gora</w:t>
            </w:r>
          </w:p>
        </w:tc>
        <w:tc>
          <w:tcPr>
            <w:tcW w:w="1101" w:type="dxa"/>
          </w:tcPr>
          <w:p w14:paraId="6E11D6AD"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3D659300"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2023</w:t>
            </w:r>
          </w:p>
        </w:tc>
        <w:tc>
          <w:tcPr>
            <w:tcW w:w="993" w:type="dxa"/>
          </w:tcPr>
          <w:p w14:paraId="7CC52D0E"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Kandić</w:t>
            </w:r>
          </w:p>
        </w:tc>
        <w:tc>
          <w:tcPr>
            <w:tcW w:w="732" w:type="dxa"/>
            <w:tcBorders>
              <w:left w:val="nil"/>
            </w:tcBorders>
            <w:vAlign w:val="center"/>
          </w:tcPr>
          <w:p w14:paraId="335E6BEC"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PQ191306</w:t>
            </w:r>
          </w:p>
        </w:tc>
        <w:tc>
          <w:tcPr>
            <w:tcW w:w="720" w:type="dxa"/>
            <w:vAlign w:val="center"/>
          </w:tcPr>
          <w:p w14:paraId="485EFDB2"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PX670345</w:t>
            </w:r>
          </w:p>
        </w:tc>
        <w:tc>
          <w:tcPr>
            <w:tcW w:w="815" w:type="dxa"/>
            <w:tcBorders>
              <w:left w:val="nil"/>
            </w:tcBorders>
            <w:vAlign w:val="center"/>
          </w:tcPr>
          <w:p w14:paraId="7F378202"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PX686751</w:t>
            </w:r>
          </w:p>
        </w:tc>
        <w:tc>
          <w:tcPr>
            <w:tcW w:w="810" w:type="dxa"/>
            <w:vAlign w:val="center"/>
          </w:tcPr>
          <w:p w14:paraId="0F837998"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PX686342</w:t>
            </w:r>
          </w:p>
        </w:tc>
      </w:tr>
      <w:tr w:rsidR="003801E8" w14:paraId="0677F071" w14:textId="77777777">
        <w:trPr>
          <w:trHeight w:val="288"/>
        </w:trPr>
        <w:tc>
          <w:tcPr>
            <w:tcW w:w="1138" w:type="dxa"/>
            <w:noWrap/>
            <w:vAlign w:val="bottom"/>
          </w:tcPr>
          <w:p w14:paraId="43567313"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vAlign w:val="center"/>
          </w:tcPr>
          <w:p w14:paraId="6689740B"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MN005</w:t>
            </w:r>
          </w:p>
        </w:tc>
        <w:tc>
          <w:tcPr>
            <w:tcW w:w="1205" w:type="dxa"/>
            <w:tcBorders>
              <w:left w:val="nil"/>
            </w:tcBorders>
          </w:tcPr>
          <w:p w14:paraId="4235C986"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Crna Gora</w:t>
            </w:r>
          </w:p>
        </w:tc>
        <w:tc>
          <w:tcPr>
            <w:tcW w:w="1101" w:type="dxa"/>
          </w:tcPr>
          <w:p w14:paraId="2480F95D"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02EB3CE8"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2023</w:t>
            </w:r>
          </w:p>
        </w:tc>
        <w:tc>
          <w:tcPr>
            <w:tcW w:w="993" w:type="dxa"/>
          </w:tcPr>
          <w:p w14:paraId="158C34C6"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Kandić</w:t>
            </w:r>
          </w:p>
        </w:tc>
        <w:tc>
          <w:tcPr>
            <w:tcW w:w="732" w:type="dxa"/>
            <w:tcBorders>
              <w:left w:val="nil"/>
            </w:tcBorders>
            <w:vAlign w:val="center"/>
          </w:tcPr>
          <w:p w14:paraId="3ED15504"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PQ191307</w:t>
            </w:r>
          </w:p>
        </w:tc>
        <w:tc>
          <w:tcPr>
            <w:tcW w:w="720" w:type="dxa"/>
            <w:vAlign w:val="center"/>
          </w:tcPr>
          <w:p w14:paraId="7FB75710"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PX670346</w:t>
            </w:r>
          </w:p>
        </w:tc>
        <w:tc>
          <w:tcPr>
            <w:tcW w:w="815" w:type="dxa"/>
            <w:tcBorders>
              <w:left w:val="nil"/>
            </w:tcBorders>
            <w:vAlign w:val="center"/>
          </w:tcPr>
          <w:p w14:paraId="3793EE22"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PX673845</w:t>
            </w:r>
          </w:p>
        </w:tc>
        <w:tc>
          <w:tcPr>
            <w:tcW w:w="810" w:type="dxa"/>
            <w:vAlign w:val="center"/>
          </w:tcPr>
          <w:p w14:paraId="412368CA"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PX686343</w:t>
            </w:r>
          </w:p>
        </w:tc>
      </w:tr>
      <w:tr w:rsidR="003801E8" w14:paraId="66C53BEB" w14:textId="77777777">
        <w:trPr>
          <w:trHeight w:val="288"/>
        </w:trPr>
        <w:tc>
          <w:tcPr>
            <w:tcW w:w="1138" w:type="dxa"/>
            <w:noWrap/>
            <w:vAlign w:val="bottom"/>
          </w:tcPr>
          <w:p w14:paraId="424FD779"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vAlign w:val="center"/>
          </w:tcPr>
          <w:p w14:paraId="0C0A0E2F"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MN007</w:t>
            </w:r>
          </w:p>
        </w:tc>
        <w:tc>
          <w:tcPr>
            <w:tcW w:w="1205" w:type="dxa"/>
            <w:tcBorders>
              <w:left w:val="nil"/>
            </w:tcBorders>
          </w:tcPr>
          <w:p w14:paraId="78CED0A7"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Crna Gora</w:t>
            </w:r>
          </w:p>
        </w:tc>
        <w:tc>
          <w:tcPr>
            <w:tcW w:w="1101" w:type="dxa"/>
          </w:tcPr>
          <w:p w14:paraId="31277D9F"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530B066A"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2023</w:t>
            </w:r>
          </w:p>
        </w:tc>
        <w:tc>
          <w:tcPr>
            <w:tcW w:w="993" w:type="dxa"/>
          </w:tcPr>
          <w:p w14:paraId="6901FF8D"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Kandić</w:t>
            </w:r>
          </w:p>
        </w:tc>
        <w:tc>
          <w:tcPr>
            <w:tcW w:w="732" w:type="dxa"/>
            <w:tcBorders>
              <w:left w:val="nil"/>
            </w:tcBorders>
            <w:vAlign w:val="center"/>
          </w:tcPr>
          <w:p w14:paraId="0CB5A568"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PQ191309</w:t>
            </w:r>
          </w:p>
        </w:tc>
        <w:tc>
          <w:tcPr>
            <w:tcW w:w="720" w:type="dxa"/>
            <w:vAlign w:val="center"/>
          </w:tcPr>
          <w:p w14:paraId="2F9750D0"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PX682154</w:t>
            </w:r>
          </w:p>
        </w:tc>
        <w:tc>
          <w:tcPr>
            <w:tcW w:w="815" w:type="dxa"/>
            <w:tcBorders>
              <w:left w:val="nil"/>
            </w:tcBorders>
            <w:vAlign w:val="center"/>
          </w:tcPr>
          <w:p w14:paraId="5B0400B8"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PX686750</w:t>
            </w:r>
          </w:p>
        </w:tc>
        <w:tc>
          <w:tcPr>
            <w:tcW w:w="810" w:type="dxa"/>
            <w:vAlign w:val="center"/>
          </w:tcPr>
          <w:p w14:paraId="439C85C9"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PX686344</w:t>
            </w:r>
          </w:p>
        </w:tc>
      </w:tr>
      <w:tr w:rsidR="003801E8" w14:paraId="49F7D8FB" w14:textId="77777777">
        <w:trPr>
          <w:trHeight w:val="288"/>
        </w:trPr>
        <w:tc>
          <w:tcPr>
            <w:tcW w:w="1138" w:type="dxa"/>
            <w:noWrap/>
            <w:vAlign w:val="bottom"/>
          </w:tcPr>
          <w:p w14:paraId="3798A6A6"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vAlign w:val="center"/>
          </w:tcPr>
          <w:p w14:paraId="763E06F1"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MN009</w:t>
            </w:r>
          </w:p>
        </w:tc>
        <w:tc>
          <w:tcPr>
            <w:tcW w:w="1205" w:type="dxa"/>
            <w:tcBorders>
              <w:left w:val="nil"/>
            </w:tcBorders>
          </w:tcPr>
          <w:p w14:paraId="449D472F"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Crna Gora</w:t>
            </w:r>
          </w:p>
        </w:tc>
        <w:tc>
          <w:tcPr>
            <w:tcW w:w="1101" w:type="dxa"/>
          </w:tcPr>
          <w:p w14:paraId="60C0A4D2"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598008D2"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2023</w:t>
            </w:r>
          </w:p>
        </w:tc>
        <w:tc>
          <w:tcPr>
            <w:tcW w:w="993" w:type="dxa"/>
          </w:tcPr>
          <w:p w14:paraId="1FDF35C9"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Kandić</w:t>
            </w:r>
          </w:p>
        </w:tc>
        <w:tc>
          <w:tcPr>
            <w:tcW w:w="732" w:type="dxa"/>
            <w:tcBorders>
              <w:left w:val="nil"/>
            </w:tcBorders>
            <w:vAlign w:val="center"/>
          </w:tcPr>
          <w:p w14:paraId="511F1D29"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PQ191310</w:t>
            </w:r>
          </w:p>
        </w:tc>
        <w:tc>
          <w:tcPr>
            <w:tcW w:w="720" w:type="dxa"/>
            <w:vAlign w:val="center"/>
          </w:tcPr>
          <w:p w14:paraId="31AE9020"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PX682153</w:t>
            </w:r>
          </w:p>
        </w:tc>
        <w:tc>
          <w:tcPr>
            <w:tcW w:w="815" w:type="dxa"/>
            <w:tcBorders>
              <w:left w:val="nil"/>
            </w:tcBorders>
            <w:vAlign w:val="center"/>
          </w:tcPr>
          <w:p w14:paraId="10DBFA7D"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PX686748</w:t>
            </w:r>
          </w:p>
        </w:tc>
        <w:tc>
          <w:tcPr>
            <w:tcW w:w="810" w:type="dxa"/>
            <w:vAlign w:val="center"/>
          </w:tcPr>
          <w:p w14:paraId="62253F3C"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PX686345</w:t>
            </w:r>
          </w:p>
        </w:tc>
      </w:tr>
      <w:tr w:rsidR="003801E8" w14:paraId="0BF7D7AF" w14:textId="77777777">
        <w:trPr>
          <w:trHeight w:val="480"/>
        </w:trPr>
        <w:tc>
          <w:tcPr>
            <w:tcW w:w="1138" w:type="dxa"/>
            <w:noWrap/>
            <w:vAlign w:val="bottom"/>
          </w:tcPr>
          <w:p w14:paraId="444BFC83"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vAlign w:val="center"/>
          </w:tcPr>
          <w:p w14:paraId="3222F393"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Y038-05-3z (a)</w:t>
            </w:r>
          </w:p>
        </w:tc>
        <w:tc>
          <w:tcPr>
            <w:tcW w:w="1205" w:type="dxa"/>
            <w:tcBorders>
              <w:left w:val="nil"/>
            </w:tcBorders>
            <w:vAlign w:val="center"/>
          </w:tcPr>
          <w:p w14:paraId="01E71AE9"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Španija</w:t>
            </w:r>
          </w:p>
        </w:tc>
        <w:tc>
          <w:tcPr>
            <w:tcW w:w="1101" w:type="dxa"/>
          </w:tcPr>
          <w:p w14:paraId="19FFFB38"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0C554B05"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2016</w:t>
            </w:r>
          </w:p>
        </w:tc>
        <w:tc>
          <w:tcPr>
            <w:tcW w:w="993" w:type="dxa"/>
            <w:vAlign w:val="center"/>
          </w:tcPr>
          <w:p w14:paraId="3F2BC7B9"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Martin &amp; Martin</w:t>
            </w:r>
          </w:p>
        </w:tc>
        <w:tc>
          <w:tcPr>
            <w:tcW w:w="732" w:type="dxa"/>
            <w:tcBorders>
              <w:left w:val="nil"/>
            </w:tcBorders>
            <w:vAlign w:val="center"/>
          </w:tcPr>
          <w:p w14:paraId="0D99D3EF"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JF275866</w:t>
            </w:r>
          </w:p>
        </w:tc>
        <w:tc>
          <w:tcPr>
            <w:tcW w:w="720" w:type="dxa"/>
            <w:vAlign w:val="center"/>
          </w:tcPr>
          <w:p w14:paraId="6164357D"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w:t>
            </w:r>
          </w:p>
        </w:tc>
        <w:tc>
          <w:tcPr>
            <w:tcW w:w="815" w:type="dxa"/>
            <w:tcBorders>
              <w:left w:val="nil"/>
            </w:tcBorders>
            <w:vAlign w:val="center"/>
          </w:tcPr>
          <w:p w14:paraId="5C64E90E"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JQ691666</w:t>
            </w:r>
          </w:p>
        </w:tc>
        <w:tc>
          <w:tcPr>
            <w:tcW w:w="810" w:type="dxa"/>
            <w:vAlign w:val="center"/>
          </w:tcPr>
          <w:p w14:paraId="264DA677"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JF275892</w:t>
            </w:r>
          </w:p>
        </w:tc>
      </w:tr>
      <w:tr w:rsidR="003801E8" w14:paraId="40EB5BA3" w14:textId="77777777">
        <w:trPr>
          <w:trHeight w:val="480"/>
        </w:trPr>
        <w:tc>
          <w:tcPr>
            <w:tcW w:w="1138" w:type="dxa"/>
            <w:noWrap/>
            <w:vAlign w:val="bottom"/>
          </w:tcPr>
          <w:p w14:paraId="3E1A0DBF"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vAlign w:val="center"/>
          </w:tcPr>
          <w:p w14:paraId="088E2292"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Bent 720</w:t>
            </w:r>
          </w:p>
        </w:tc>
        <w:tc>
          <w:tcPr>
            <w:tcW w:w="1205" w:type="dxa"/>
            <w:tcBorders>
              <w:left w:val="nil"/>
            </w:tcBorders>
            <w:vAlign w:val="center"/>
          </w:tcPr>
          <w:p w14:paraId="4FD0E7C5"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SAD</w:t>
            </w:r>
          </w:p>
        </w:tc>
        <w:tc>
          <w:tcPr>
            <w:tcW w:w="1101" w:type="dxa"/>
          </w:tcPr>
          <w:p w14:paraId="1C585B44"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04B20C5C"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2022</w:t>
            </w:r>
          </w:p>
        </w:tc>
        <w:tc>
          <w:tcPr>
            <w:tcW w:w="993" w:type="dxa"/>
            <w:vAlign w:val="center"/>
          </w:tcPr>
          <w:p w14:paraId="3D90D1EE"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 xml:space="preserve">Travadon </w:t>
            </w:r>
          </w:p>
        </w:tc>
        <w:tc>
          <w:tcPr>
            <w:tcW w:w="732" w:type="dxa"/>
            <w:tcBorders>
              <w:left w:val="nil"/>
            </w:tcBorders>
            <w:vAlign w:val="center"/>
          </w:tcPr>
          <w:p w14:paraId="77D26D40"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OP038029</w:t>
            </w:r>
          </w:p>
        </w:tc>
        <w:tc>
          <w:tcPr>
            <w:tcW w:w="720" w:type="dxa"/>
            <w:vAlign w:val="center"/>
          </w:tcPr>
          <w:p w14:paraId="5EB62FA0"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w:t>
            </w:r>
          </w:p>
        </w:tc>
        <w:tc>
          <w:tcPr>
            <w:tcW w:w="815" w:type="dxa"/>
            <w:tcBorders>
              <w:left w:val="nil"/>
            </w:tcBorders>
            <w:vAlign w:val="center"/>
          </w:tcPr>
          <w:p w14:paraId="0E4E053D"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OP079862</w:t>
            </w:r>
          </w:p>
        </w:tc>
        <w:tc>
          <w:tcPr>
            <w:tcW w:w="810" w:type="dxa"/>
            <w:vAlign w:val="center"/>
          </w:tcPr>
          <w:p w14:paraId="622BAF27"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OP003953</w:t>
            </w:r>
          </w:p>
        </w:tc>
      </w:tr>
      <w:tr w:rsidR="003801E8" w14:paraId="78104074" w14:textId="77777777">
        <w:trPr>
          <w:trHeight w:val="480"/>
        </w:trPr>
        <w:tc>
          <w:tcPr>
            <w:tcW w:w="1138" w:type="dxa"/>
            <w:noWrap/>
            <w:vAlign w:val="bottom"/>
          </w:tcPr>
          <w:p w14:paraId="20274858"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vAlign w:val="center"/>
          </w:tcPr>
          <w:p w14:paraId="1E0F206D"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Kern 725</w:t>
            </w:r>
          </w:p>
        </w:tc>
        <w:tc>
          <w:tcPr>
            <w:tcW w:w="1205" w:type="dxa"/>
            <w:tcBorders>
              <w:left w:val="nil"/>
            </w:tcBorders>
            <w:vAlign w:val="center"/>
          </w:tcPr>
          <w:p w14:paraId="455BC1E0"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Kalifornija</w:t>
            </w:r>
          </w:p>
        </w:tc>
        <w:tc>
          <w:tcPr>
            <w:tcW w:w="1101" w:type="dxa"/>
          </w:tcPr>
          <w:p w14:paraId="6C2984C4"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0FD73D9B"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2022</w:t>
            </w:r>
          </w:p>
        </w:tc>
        <w:tc>
          <w:tcPr>
            <w:tcW w:w="993" w:type="dxa"/>
            <w:vAlign w:val="center"/>
          </w:tcPr>
          <w:p w14:paraId="4F631416"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 xml:space="preserve">Travadon </w:t>
            </w:r>
          </w:p>
        </w:tc>
        <w:tc>
          <w:tcPr>
            <w:tcW w:w="732" w:type="dxa"/>
            <w:tcBorders>
              <w:left w:val="nil"/>
            </w:tcBorders>
            <w:vAlign w:val="center"/>
          </w:tcPr>
          <w:p w14:paraId="27067359"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OP038082</w:t>
            </w:r>
          </w:p>
        </w:tc>
        <w:tc>
          <w:tcPr>
            <w:tcW w:w="720" w:type="dxa"/>
            <w:vAlign w:val="center"/>
          </w:tcPr>
          <w:p w14:paraId="3D83F1A0"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w:t>
            </w:r>
          </w:p>
        </w:tc>
        <w:tc>
          <w:tcPr>
            <w:tcW w:w="815" w:type="dxa"/>
            <w:tcBorders>
              <w:left w:val="nil"/>
            </w:tcBorders>
            <w:vAlign w:val="center"/>
          </w:tcPr>
          <w:p w14:paraId="09D96E3B"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OP079901</w:t>
            </w:r>
          </w:p>
        </w:tc>
        <w:tc>
          <w:tcPr>
            <w:tcW w:w="810" w:type="dxa"/>
            <w:vAlign w:val="center"/>
          </w:tcPr>
          <w:p w14:paraId="75667E82"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OP003970</w:t>
            </w:r>
          </w:p>
        </w:tc>
      </w:tr>
      <w:tr w:rsidR="003801E8" w14:paraId="31A881C2" w14:textId="77777777">
        <w:trPr>
          <w:trHeight w:val="288"/>
        </w:trPr>
        <w:tc>
          <w:tcPr>
            <w:tcW w:w="1138" w:type="dxa"/>
            <w:noWrap/>
            <w:vAlign w:val="bottom"/>
          </w:tcPr>
          <w:p w14:paraId="22858C77"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vAlign w:val="center"/>
          </w:tcPr>
          <w:p w14:paraId="786A817A"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MEND-F-0838</w:t>
            </w:r>
          </w:p>
        </w:tc>
        <w:tc>
          <w:tcPr>
            <w:tcW w:w="1205" w:type="dxa"/>
            <w:tcBorders>
              <w:left w:val="nil"/>
            </w:tcBorders>
            <w:vAlign w:val="center"/>
          </w:tcPr>
          <w:p w14:paraId="28F613C4"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Češka</w:t>
            </w:r>
          </w:p>
        </w:tc>
        <w:tc>
          <w:tcPr>
            <w:tcW w:w="1101" w:type="dxa"/>
            <w:vAlign w:val="center"/>
          </w:tcPr>
          <w:p w14:paraId="03611628"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P. domestica</w:t>
            </w:r>
          </w:p>
        </w:tc>
        <w:tc>
          <w:tcPr>
            <w:tcW w:w="836" w:type="dxa"/>
            <w:tcBorders>
              <w:left w:val="nil"/>
            </w:tcBorders>
            <w:vAlign w:val="center"/>
          </w:tcPr>
          <w:p w14:paraId="3E9BA8BD"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2023</w:t>
            </w:r>
          </w:p>
        </w:tc>
        <w:tc>
          <w:tcPr>
            <w:tcW w:w="993" w:type="dxa"/>
            <w:vAlign w:val="center"/>
          </w:tcPr>
          <w:p w14:paraId="74A53AF1"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 xml:space="preserve">Spetik </w:t>
            </w:r>
          </w:p>
        </w:tc>
        <w:tc>
          <w:tcPr>
            <w:tcW w:w="732" w:type="dxa"/>
            <w:tcBorders>
              <w:left w:val="nil"/>
            </w:tcBorders>
            <w:vAlign w:val="center"/>
          </w:tcPr>
          <w:p w14:paraId="01D3190E"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OQ358091</w:t>
            </w:r>
          </w:p>
        </w:tc>
        <w:tc>
          <w:tcPr>
            <w:tcW w:w="720" w:type="dxa"/>
            <w:vAlign w:val="center"/>
          </w:tcPr>
          <w:p w14:paraId="1A74D7F9"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w:t>
            </w:r>
          </w:p>
        </w:tc>
        <w:tc>
          <w:tcPr>
            <w:tcW w:w="815" w:type="dxa"/>
            <w:tcBorders>
              <w:left w:val="nil"/>
            </w:tcBorders>
            <w:vAlign w:val="center"/>
          </w:tcPr>
          <w:p w14:paraId="0F8E338B"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OQ379511</w:t>
            </w:r>
          </w:p>
        </w:tc>
        <w:tc>
          <w:tcPr>
            <w:tcW w:w="810" w:type="dxa"/>
            <w:vAlign w:val="center"/>
          </w:tcPr>
          <w:p w14:paraId="5D5C1BEF"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OQ401693</w:t>
            </w:r>
          </w:p>
        </w:tc>
      </w:tr>
      <w:tr w:rsidR="003801E8" w14:paraId="6D0648BA" w14:textId="77777777">
        <w:trPr>
          <w:trHeight w:val="480"/>
        </w:trPr>
        <w:tc>
          <w:tcPr>
            <w:tcW w:w="1138" w:type="dxa"/>
            <w:noWrap/>
            <w:vAlign w:val="bottom"/>
          </w:tcPr>
          <w:p w14:paraId="2886B277"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vAlign w:val="center"/>
          </w:tcPr>
          <w:p w14:paraId="5279418B"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Y235-04-1w</w:t>
            </w:r>
          </w:p>
        </w:tc>
        <w:tc>
          <w:tcPr>
            <w:tcW w:w="1205" w:type="dxa"/>
            <w:tcBorders>
              <w:left w:val="nil"/>
            </w:tcBorders>
            <w:vAlign w:val="center"/>
          </w:tcPr>
          <w:p w14:paraId="10D441D3"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Španija</w:t>
            </w:r>
          </w:p>
        </w:tc>
        <w:tc>
          <w:tcPr>
            <w:tcW w:w="1101" w:type="dxa"/>
            <w:vAlign w:val="center"/>
          </w:tcPr>
          <w:p w14:paraId="39EDE457"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765DA948"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2011</w:t>
            </w:r>
          </w:p>
        </w:tc>
        <w:tc>
          <w:tcPr>
            <w:tcW w:w="993" w:type="dxa"/>
            <w:vAlign w:val="center"/>
          </w:tcPr>
          <w:p w14:paraId="02341A88"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Martin &amp; Martin</w:t>
            </w:r>
          </w:p>
        </w:tc>
        <w:tc>
          <w:tcPr>
            <w:tcW w:w="732" w:type="dxa"/>
            <w:tcBorders>
              <w:left w:val="nil"/>
            </w:tcBorders>
            <w:vAlign w:val="center"/>
          </w:tcPr>
          <w:p w14:paraId="23EA9220"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JF275871</w:t>
            </w:r>
          </w:p>
        </w:tc>
        <w:tc>
          <w:tcPr>
            <w:tcW w:w="720" w:type="dxa"/>
            <w:vAlign w:val="center"/>
          </w:tcPr>
          <w:p w14:paraId="78F48A60"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w:t>
            </w:r>
          </w:p>
        </w:tc>
        <w:tc>
          <w:tcPr>
            <w:tcW w:w="815" w:type="dxa"/>
            <w:tcBorders>
              <w:left w:val="nil"/>
            </w:tcBorders>
            <w:noWrap/>
            <w:vAlign w:val="center"/>
          </w:tcPr>
          <w:p w14:paraId="586D70EC"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JF275878</w:t>
            </w:r>
          </w:p>
        </w:tc>
        <w:tc>
          <w:tcPr>
            <w:tcW w:w="810" w:type="dxa"/>
            <w:noWrap/>
            <w:vAlign w:val="center"/>
          </w:tcPr>
          <w:p w14:paraId="7991E4DF"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JF275897</w:t>
            </w:r>
          </w:p>
        </w:tc>
      </w:tr>
      <w:tr w:rsidR="003801E8" w14:paraId="4CAA8AED" w14:textId="77777777">
        <w:trPr>
          <w:trHeight w:val="480"/>
        </w:trPr>
        <w:tc>
          <w:tcPr>
            <w:tcW w:w="1138" w:type="dxa"/>
            <w:noWrap/>
            <w:vAlign w:val="bottom"/>
          </w:tcPr>
          <w:p w14:paraId="25210261"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vAlign w:val="center"/>
          </w:tcPr>
          <w:p w14:paraId="7E6511FC"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PARC369</w:t>
            </w:r>
          </w:p>
        </w:tc>
        <w:tc>
          <w:tcPr>
            <w:tcW w:w="1205" w:type="dxa"/>
            <w:tcBorders>
              <w:left w:val="nil"/>
            </w:tcBorders>
            <w:vAlign w:val="center"/>
          </w:tcPr>
          <w:p w14:paraId="066FED15"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Kanada</w:t>
            </w:r>
          </w:p>
        </w:tc>
        <w:tc>
          <w:tcPr>
            <w:tcW w:w="1101" w:type="dxa"/>
            <w:vAlign w:val="center"/>
          </w:tcPr>
          <w:p w14:paraId="0EE6EDE9"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4C41CEB9"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2014</w:t>
            </w:r>
          </w:p>
        </w:tc>
        <w:tc>
          <w:tcPr>
            <w:tcW w:w="993" w:type="dxa"/>
            <w:vAlign w:val="center"/>
          </w:tcPr>
          <w:p w14:paraId="13A46933"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Urbez-Torres</w:t>
            </w:r>
          </w:p>
        </w:tc>
        <w:tc>
          <w:tcPr>
            <w:tcW w:w="732" w:type="dxa"/>
            <w:tcBorders>
              <w:left w:val="nil"/>
            </w:tcBorders>
            <w:vAlign w:val="center"/>
          </w:tcPr>
          <w:p w14:paraId="256482C6"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KF764556</w:t>
            </w:r>
          </w:p>
        </w:tc>
        <w:tc>
          <w:tcPr>
            <w:tcW w:w="720" w:type="dxa"/>
            <w:vAlign w:val="center"/>
          </w:tcPr>
          <w:p w14:paraId="1BF9B714"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w:t>
            </w:r>
          </w:p>
        </w:tc>
        <w:tc>
          <w:tcPr>
            <w:tcW w:w="815" w:type="dxa"/>
            <w:tcBorders>
              <w:left w:val="nil"/>
            </w:tcBorders>
            <w:noWrap/>
            <w:vAlign w:val="center"/>
          </w:tcPr>
          <w:p w14:paraId="55F1493D"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KF764680</w:t>
            </w:r>
          </w:p>
        </w:tc>
        <w:tc>
          <w:tcPr>
            <w:tcW w:w="810" w:type="dxa"/>
            <w:noWrap/>
            <w:vAlign w:val="center"/>
          </w:tcPr>
          <w:p w14:paraId="2493943C"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KF764519</w:t>
            </w:r>
          </w:p>
        </w:tc>
      </w:tr>
      <w:tr w:rsidR="003801E8" w14:paraId="584AA528" w14:textId="77777777">
        <w:trPr>
          <w:trHeight w:val="225"/>
        </w:trPr>
        <w:tc>
          <w:tcPr>
            <w:tcW w:w="1138" w:type="dxa"/>
            <w:noWrap/>
            <w:vAlign w:val="bottom"/>
          </w:tcPr>
          <w:p w14:paraId="45A08ABA"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minimum</w:t>
            </w:r>
          </w:p>
        </w:tc>
        <w:tc>
          <w:tcPr>
            <w:tcW w:w="1010" w:type="dxa"/>
            <w:vAlign w:val="center"/>
          </w:tcPr>
          <w:p w14:paraId="3AF6D93D"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STE-U 5964</w:t>
            </w:r>
          </w:p>
        </w:tc>
        <w:tc>
          <w:tcPr>
            <w:tcW w:w="1205" w:type="dxa"/>
            <w:tcBorders>
              <w:left w:val="nil"/>
            </w:tcBorders>
            <w:vAlign w:val="center"/>
          </w:tcPr>
          <w:p w14:paraId="2AF8C092"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Južna Afrika</w:t>
            </w:r>
          </w:p>
        </w:tc>
        <w:tc>
          <w:tcPr>
            <w:tcW w:w="1101" w:type="dxa"/>
            <w:vAlign w:val="center"/>
          </w:tcPr>
          <w:p w14:paraId="2400587D"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Prunus sp.</w:t>
            </w:r>
          </w:p>
        </w:tc>
        <w:tc>
          <w:tcPr>
            <w:tcW w:w="836" w:type="dxa"/>
            <w:tcBorders>
              <w:left w:val="nil"/>
            </w:tcBorders>
            <w:vAlign w:val="center"/>
          </w:tcPr>
          <w:p w14:paraId="3C4F76C5"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2008</w:t>
            </w:r>
          </w:p>
        </w:tc>
        <w:tc>
          <w:tcPr>
            <w:tcW w:w="993" w:type="dxa"/>
            <w:vAlign w:val="center"/>
          </w:tcPr>
          <w:p w14:paraId="4F8C48B8"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Damm</w:t>
            </w:r>
          </w:p>
        </w:tc>
        <w:tc>
          <w:tcPr>
            <w:tcW w:w="732" w:type="dxa"/>
            <w:tcBorders>
              <w:left w:val="nil"/>
            </w:tcBorders>
            <w:vAlign w:val="center"/>
          </w:tcPr>
          <w:p w14:paraId="53CE9CED"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EU128020</w:t>
            </w:r>
          </w:p>
        </w:tc>
        <w:tc>
          <w:tcPr>
            <w:tcW w:w="720" w:type="dxa"/>
            <w:vAlign w:val="center"/>
          </w:tcPr>
          <w:p w14:paraId="38670105"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w:t>
            </w:r>
          </w:p>
        </w:tc>
        <w:tc>
          <w:tcPr>
            <w:tcW w:w="815" w:type="dxa"/>
            <w:tcBorders>
              <w:left w:val="nil"/>
            </w:tcBorders>
            <w:noWrap/>
            <w:vAlign w:val="center"/>
          </w:tcPr>
          <w:p w14:paraId="629EFD3F"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EU128068</w:t>
            </w:r>
          </w:p>
        </w:tc>
        <w:tc>
          <w:tcPr>
            <w:tcW w:w="810" w:type="dxa"/>
            <w:noWrap/>
            <w:vAlign w:val="center"/>
          </w:tcPr>
          <w:p w14:paraId="08665153"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EU128110</w:t>
            </w:r>
          </w:p>
        </w:tc>
      </w:tr>
      <w:tr w:rsidR="003801E8" w14:paraId="3D0B26A1" w14:textId="77777777">
        <w:trPr>
          <w:trHeight w:val="288"/>
        </w:trPr>
        <w:tc>
          <w:tcPr>
            <w:tcW w:w="1138" w:type="dxa"/>
            <w:noWrap/>
            <w:vAlign w:val="bottom"/>
          </w:tcPr>
          <w:p w14:paraId="42AEDEBA"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iranianum</w:t>
            </w:r>
          </w:p>
        </w:tc>
        <w:tc>
          <w:tcPr>
            <w:tcW w:w="1010" w:type="dxa"/>
            <w:vAlign w:val="center"/>
          </w:tcPr>
          <w:p w14:paraId="49A34E53"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MN006</w:t>
            </w:r>
          </w:p>
        </w:tc>
        <w:tc>
          <w:tcPr>
            <w:tcW w:w="1205" w:type="dxa"/>
            <w:tcBorders>
              <w:left w:val="nil"/>
            </w:tcBorders>
            <w:vAlign w:val="center"/>
          </w:tcPr>
          <w:p w14:paraId="1900AE4E"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Crna Gora</w:t>
            </w:r>
          </w:p>
        </w:tc>
        <w:tc>
          <w:tcPr>
            <w:tcW w:w="1101" w:type="dxa"/>
            <w:vAlign w:val="center"/>
          </w:tcPr>
          <w:p w14:paraId="4A2BAC3E"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087BB26D"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2023</w:t>
            </w:r>
          </w:p>
        </w:tc>
        <w:tc>
          <w:tcPr>
            <w:tcW w:w="993" w:type="dxa"/>
            <w:vAlign w:val="center"/>
          </w:tcPr>
          <w:p w14:paraId="0C78A24B"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Kandić</w:t>
            </w:r>
          </w:p>
        </w:tc>
        <w:tc>
          <w:tcPr>
            <w:tcW w:w="732" w:type="dxa"/>
            <w:tcBorders>
              <w:left w:val="nil"/>
            </w:tcBorders>
            <w:vAlign w:val="center"/>
          </w:tcPr>
          <w:p w14:paraId="0AF6CE8C"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PQ191308</w:t>
            </w:r>
          </w:p>
        </w:tc>
        <w:tc>
          <w:tcPr>
            <w:tcW w:w="720" w:type="dxa"/>
            <w:vAlign w:val="center"/>
          </w:tcPr>
          <w:p w14:paraId="395E8649"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w:t>
            </w:r>
          </w:p>
        </w:tc>
        <w:tc>
          <w:tcPr>
            <w:tcW w:w="815" w:type="dxa"/>
            <w:tcBorders>
              <w:left w:val="nil"/>
            </w:tcBorders>
            <w:vAlign w:val="center"/>
          </w:tcPr>
          <w:p w14:paraId="7A52658C"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PX673808</w:t>
            </w:r>
          </w:p>
        </w:tc>
        <w:tc>
          <w:tcPr>
            <w:tcW w:w="810" w:type="dxa"/>
            <w:vAlign w:val="center"/>
          </w:tcPr>
          <w:p w14:paraId="460EB38E"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w:t>
            </w:r>
          </w:p>
        </w:tc>
      </w:tr>
      <w:tr w:rsidR="003801E8" w14:paraId="20E0EF82" w14:textId="77777777">
        <w:trPr>
          <w:trHeight w:val="480"/>
        </w:trPr>
        <w:tc>
          <w:tcPr>
            <w:tcW w:w="1138" w:type="dxa"/>
            <w:noWrap/>
            <w:vAlign w:val="bottom"/>
          </w:tcPr>
          <w:p w14:paraId="6FD5B25F"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iranianum</w:t>
            </w:r>
          </w:p>
        </w:tc>
        <w:tc>
          <w:tcPr>
            <w:tcW w:w="1010" w:type="dxa"/>
            <w:vAlign w:val="center"/>
          </w:tcPr>
          <w:p w14:paraId="7428D614"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Y277-14-1</w:t>
            </w:r>
          </w:p>
        </w:tc>
        <w:tc>
          <w:tcPr>
            <w:tcW w:w="1205" w:type="dxa"/>
            <w:tcBorders>
              <w:left w:val="nil"/>
            </w:tcBorders>
            <w:vAlign w:val="center"/>
          </w:tcPr>
          <w:p w14:paraId="5DA9A8F0"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Španija</w:t>
            </w:r>
          </w:p>
        </w:tc>
        <w:tc>
          <w:tcPr>
            <w:tcW w:w="1101" w:type="dxa"/>
            <w:vAlign w:val="center"/>
          </w:tcPr>
          <w:p w14:paraId="50C2D9C6"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5E2971EC"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2011</w:t>
            </w:r>
          </w:p>
        </w:tc>
        <w:tc>
          <w:tcPr>
            <w:tcW w:w="993" w:type="dxa"/>
            <w:vAlign w:val="center"/>
          </w:tcPr>
          <w:p w14:paraId="77044146"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Martin &amp; Martin</w:t>
            </w:r>
          </w:p>
        </w:tc>
        <w:tc>
          <w:tcPr>
            <w:tcW w:w="732" w:type="dxa"/>
            <w:tcBorders>
              <w:left w:val="nil"/>
            </w:tcBorders>
            <w:vAlign w:val="center"/>
          </w:tcPr>
          <w:p w14:paraId="794912C3"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JF275863</w:t>
            </w:r>
          </w:p>
        </w:tc>
        <w:tc>
          <w:tcPr>
            <w:tcW w:w="720" w:type="dxa"/>
            <w:vAlign w:val="center"/>
          </w:tcPr>
          <w:p w14:paraId="0361B842"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w:t>
            </w:r>
          </w:p>
        </w:tc>
        <w:tc>
          <w:tcPr>
            <w:tcW w:w="815" w:type="dxa"/>
            <w:tcBorders>
              <w:left w:val="nil"/>
            </w:tcBorders>
            <w:vAlign w:val="center"/>
          </w:tcPr>
          <w:p w14:paraId="56E6615D"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JF275881</w:t>
            </w:r>
          </w:p>
        </w:tc>
        <w:tc>
          <w:tcPr>
            <w:tcW w:w="810" w:type="dxa"/>
            <w:vAlign w:val="center"/>
          </w:tcPr>
          <w:p w14:paraId="5F321F20"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JF275891</w:t>
            </w:r>
          </w:p>
        </w:tc>
      </w:tr>
      <w:tr w:rsidR="003801E8" w14:paraId="6C3BC017" w14:textId="77777777">
        <w:trPr>
          <w:trHeight w:val="480"/>
        </w:trPr>
        <w:tc>
          <w:tcPr>
            <w:tcW w:w="1138" w:type="dxa"/>
            <w:noWrap/>
            <w:vAlign w:val="bottom"/>
          </w:tcPr>
          <w:p w14:paraId="705122BE"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iranianum</w:t>
            </w:r>
          </w:p>
        </w:tc>
        <w:tc>
          <w:tcPr>
            <w:tcW w:w="1010" w:type="dxa"/>
            <w:vAlign w:val="center"/>
          </w:tcPr>
          <w:p w14:paraId="73AECF07"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PARC107</w:t>
            </w:r>
          </w:p>
        </w:tc>
        <w:tc>
          <w:tcPr>
            <w:tcW w:w="1205" w:type="dxa"/>
            <w:tcBorders>
              <w:left w:val="nil"/>
            </w:tcBorders>
            <w:vAlign w:val="center"/>
          </w:tcPr>
          <w:p w14:paraId="14493110"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Kanada</w:t>
            </w:r>
          </w:p>
        </w:tc>
        <w:tc>
          <w:tcPr>
            <w:tcW w:w="1101" w:type="dxa"/>
            <w:vAlign w:val="center"/>
          </w:tcPr>
          <w:p w14:paraId="56EBED7B" w14:textId="77777777" w:rsidR="003801E8" w:rsidRDefault="00E44AAE">
            <w:pPr>
              <w:spacing w:after="0" w:line="240" w:lineRule="auto"/>
              <w:jc w:val="center"/>
              <w:rPr>
                <w:rFonts w:ascii="Book Antiqua" w:eastAsia="Times New Roman" w:hAnsi="Book Antiqua" w:cs="Times New Roman"/>
                <w:i/>
                <w:iCs/>
                <w:sz w:val="18"/>
                <w:szCs w:val="18"/>
                <w:lang w:val="en-US"/>
              </w:rPr>
            </w:pPr>
            <w:r>
              <w:rPr>
                <w:rFonts w:ascii="Book Antiqua" w:eastAsia="Times New Roman" w:hAnsi="Book Antiqua" w:cs="Times New Roman"/>
                <w:i/>
                <w:iCs/>
                <w:sz w:val="18"/>
                <w:szCs w:val="18"/>
                <w:lang w:val="en-US"/>
              </w:rPr>
              <w:t>V. vinifera</w:t>
            </w:r>
          </w:p>
        </w:tc>
        <w:tc>
          <w:tcPr>
            <w:tcW w:w="836" w:type="dxa"/>
            <w:tcBorders>
              <w:left w:val="nil"/>
            </w:tcBorders>
            <w:vAlign w:val="center"/>
          </w:tcPr>
          <w:p w14:paraId="34026A24"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2014</w:t>
            </w:r>
          </w:p>
        </w:tc>
        <w:tc>
          <w:tcPr>
            <w:tcW w:w="993" w:type="dxa"/>
            <w:vAlign w:val="center"/>
          </w:tcPr>
          <w:p w14:paraId="5BAEB47A"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Urbez-Torres</w:t>
            </w:r>
          </w:p>
        </w:tc>
        <w:tc>
          <w:tcPr>
            <w:tcW w:w="732" w:type="dxa"/>
            <w:tcBorders>
              <w:left w:val="nil"/>
            </w:tcBorders>
            <w:vAlign w:val="center"/>
          </w:tcPr>
          <w:p w14:paraId="584E9E83"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KF764530</w:t>
            </w:r>
          </w:p>
        </w:tc>
        <w:tc>
          <w:tcPr>
            <w:tcW w:w="720" w:type="dxa"/>
            <w:vAlign w:val="center"/>
          </w:tcPr>
          <w:p w14:paraId="5B23DA89"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w:t>
            </w:r>
          </w:p>
        </w:tc>
        <w:tc>
          <w:tcPr>
            <w:tcW w:w="815" w:type="dxa"/>
            <w:tcBorders>
              <w:left w:val="nil"/>
            </w:tcBorders>
            <w:vAlign w:val="center"/>
          </w:tcPr>
          <w:p w14:paraId="09839689"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KF764655</w:t>
            </w:r>
          </w:p>
        </w:tc>
        <w:tc>
          <w:tcPr>
            <w:tcW w:w="810" w:type="dxa"/>
            <w:vAlign w:val="center"/>
          </w:tcPr>
          <w:p w14:paraId="1832B44E"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KF764503</w:t>
            </w:r>
          </w:p>
        </w:tc>
      </w:tr>
      <w:tr w:rsidR="003801E8" w14:paraId="4FFA245C" w14:textId="77777777">
        <w:trPr>
          <w:trHeight w:val="480"/>
        </w:trPr>
        <w:tc>
          <w:tcPr>
            <w:tcW w:w="1138" w:type="dxa"/>
            <w:tcBorders>
              <w:bottom w:val="single" w:sz="4" w:space="0" w:color="auto"/>
            </w:tcBorders>
            <w:noWrap/>
            <w:vAlign w:val="bottom"/>
          </w:tcPr>
          <w:p w14:paraId="4B45358E"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richardsiae </w:t>
            </w:r>
          </w:p>
        </w:tc>
        <w:tc>
          <w:tcPr>
            <w:tcW w:w="1010" w:type="dxa"/>
            <w:tcBorders>
              <w:bottom w:val="single" w:sz="4" w:space="0" w:color="auto"/>
            </w:tcBorders>
            <w:vAlign w:val="center"/>
          </w:tcPr>
          <w:p w14:paraId="39246486"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CBS 270.33 </w:t>
            </w:r>
          </w:p>
        </w:tc>
        <w:tc>
          <w:tcPr>
            <w:tcW w:w="1205" w:type="dxa"/>
            <w:tcBorders>
              <w:left w:val="nil"/>
              <w:bottom w:val="single" w:sz="4" w:space="0" w:color="auto"/>
            </w:tcBorders>
            <w:vAlign w:val="center"/>
          </w:tcPr>
          <w:p w14:paraId="44313DA6"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Nepoznatno</w:t>
            </w:r>
          </w:p>
        </w:tc>
        <w:tc>
          <w:tcPr>
            <w:tcW w:w="1101" w:type="dxa"/>
            <w:tcBorders>
              <w:bottom w:val="single" w:sz="4" w:space="0" w:color="auto"/>
            </w:tcBorders>
            <w:vAlign w:val="center"/>
          </w:tcPr>
          <w:p w14:paraId="3016E265"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Nepoznato</w:t>
            </w:r>
          </w:p>
        </w:tc>
        <w:tc>
          <w:tcPr>
            <w:tcW w:w="836" w:type="dxa"/>
            <w:tcBorders>
              <w:left w:val="nil"/>
              <w:bottom w:val="single" w:sz="4" w:space="0" w:color="auto"/>
            </w:tcBorders>
            <w:vAlign w:val="center"/>
          </w:tcPr>
          <w:p w14:paraId="78F81567"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2005</w:t>
            </w:r>
          </w:p>
        </w:tc>
        <w:tc>
          <w:tcPr>
            <w:tcW w:w="993" w:type="dxa"/>
            <w:tcBorders>
              <w:bottom w:val="single" w:sz="4" w:space="0" w:color="auto"/>
            </w:tcBorders>
            <w:vAlign w:val="center"/>
          </w:tcPr>
          <w:p w14:paraId="605A1304"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 xml:space="preserve">Mostert </w:t>
            </w:r>
          </w:p>
        </w:tc>
        <w:tc>
          <w:tcPr>
            <w:tcW w:w="732" w:type="dxa"/>
            <w:tcBorders>
              <w:left w:val="nil"/>
              <w:bottom w:val="single" w:sz="4" w:space="0" w:color="auto"/>
            </w:tcBorders>
            <w:vAlign w:val="center"/>
          </w:tcPr>
          <w:p w14:paraId="7A98715E"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AY729811</w:t>
            </w:r>
          </w:p>
        </w:tc>
        <w:tc>
          <w:tcPr>
            <w:tcW w:w="720" w:type="dxa"/>
            <w:tcBorders>
              <w:bottom w:val="single" w:sz="4" w:space="0" w:color="auto"/>
            </w:tcBorders>
            <w:vAlign w:val="center"/>
          </w:tcPr>
          <w:p w14:paraId="45421916" w14:textId="77777777" w:rsidR="003801E8" w:rsidRDefault="00E44AAE">
            <w:pPr>
              <w:spacing w:after="0" w:line="240" w:lineRule="auto"/>
              <w:jc w:val="center"/>
              <w:rPr>
                <w:rFonts w:ascii="Book Antiqua" w:eastAsia="Times New Roman" w:hAnsi="Book Antiqua" w:cs="Times New Roman"/>
                <w:sz w:val="18"/>
                <w:szCs w:val="18"/>
                <w:lang w:val="en-US"/>
              </w:rPr>
            </w:pPr>
            <w:r>
              <w:rPr>
                <w:rFonts w:ascii="Book Antiqua" w:eastAsia="Times New Roman" w:hAnsi="Book Antiqua" w:cs="Times New Roman"/>
                <w:sz w:val="18"/>
                <w:szCs w:val="18"/>
                <w:lang w:val="en-US"/>
              </w:rPr>
              <w:t>-</w:t>
            </w:r>
          </w:p>
        </w:tc>
        <w:tc>
          <w:tcPr>
            <w:tcW w:w="815" w:type="dxa"/>
            <w:tcBorders>
              <w:left w:val="nil"/>
              <w:bottom w:val="single" w:sz="4" w:space="0" w:color="auto"/>
            </w:tcBorders>
            <w:vAlign w:val="center"/>
          </w:tcPr>
          <w:p w14:paraId="13C9373D"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AY579334</w:t>
            </w:r>
          </w:p>
        </w:tc>
        <w:tc>
          <w:tcPr>
            <w:tcW w:w="810" w:type="dxa"/>
            <w:tcBorders>
              <w:bottom w:val="single" w:sz="4" w:space="0" w:color="auto"/>
            </w:tcBorders>
            <w:vAlign w:val="center"/>
          </w:tcPr>
          <w:p w14:paraId="2958D543" w14:textId="77777777" w:rsidR="003801E8" w:rsidRDefault="00E44AAE">
            <w:pPr>
              <w:spacing w:after="0" w:line="240" w:lineRule="auto"/>
              <w:jc w:val="center"/>
              <w:rPr>
                <w:rFonts w:ascii="Book Antiqua" w:eastAsia="Times New Roman" w:hAnsi="Book Antiqua" w:cs="Times New Roman"/>
                <w:b/>
                <w:bCs/>
                <w:sz w:val="18"/>
                <w:szCs w:val="18"/>
                <w:lang w:val="en-US"/>
              </w:rPr>
            </w:pPr>
            <w:r>
              <w:rPr>
                <w:rFonts w:ascii="Book Antiqua" w:eastAsia="Times New Roman" w:hAnsi="Book Antiqua" w:cs="Times New Roman"/>
                <w:b/>
                <w:bCs/>
                <w:sz w:val="18"/>
                <w:szCs w:val="18"/>
                <w:lang w:val="en-US"/>
              </w:rPr>
              <w:t>AY579271</w:t>
            </w:r>
          </w:p>
        </w:tc>
      </w:tr>
    </w:tbl>
    <w:p w14:paraId="4A51C007" w14:textId="77777777" w:rsidR="003801E8" w:rsidRDefault="003801E8">
      <w:pPr>
        <w:spacing w:after="160" w:line="360" w:lineRule="auto"/>
        <w:jc w:val="both"/>
        <w:rPr>
          <w:rFonts w:ascii="Book Antiqua" w:hAnsi="Book Antiqua" w:cs="Times New Roman"/>
          <w:bCs/>
          <w:kern w:val="2"/>
          <w:sz w:val="18"/>
          <w:szCs w:val="18"/>
          <w:lang w:val="en-US" w:eastAsia="sr-Latn-ME"/>
        </w:rPr>
      </w:pPr>
    </w:p>
    <w:p w14:paraId="3D40A7E2" w14:textId="77777777" w:rsidR="003801E8" w:rsidRDefault="003801E8">
      <w:pPr>
        <w:spacing w:after="160" w:line="360" w:lineRule="auto"/>
        <w:jc w:val="both"/>
        <w:rPr>
          <w:rFonts w:ascii="Book Antiqua" w:hAnsi="Book Antiqua" w:cs="Times New Roman"/>
          <w:bCs/>
          <w:kern w:val="2"/>
          <w:sz w:val="24"/>
          <w:szCs w:val="24"/>
          <w:lang w:val="en-US" w:eastAsia="sr-Latn-ME"/>
        </w:rPr>
      </w:pPr>
    </w:p>
    <w:p w14:paraId="74754CAF" w14:textId="77777777" w:rsidR="002D356B" w:rsidRDefault="002D356B">
      <w:pPr>
        <w:spacing w:after="160" w:line="360" w:lineRule="auto"/>
        <w:jc w:val="both"/>
        <w:rPr>
          <w:rFonts w:ascii="Book Antiqua" w:hAnsi="Book Antiqua" w:cs="Times New Roman"/>
          <w:bCs/>
          <w:kern w:val="2"/>
          <w:sz w:val="24"/>
          <w:szCs w:val="24"/>
          <w:lang w:val="en-US" w:eastAsia="sr-Latn-ME"/>
        </w:rPr>
      </w:pPr>
    </w:p>
    <w:p w14:paraId="530BCFA2" w14:textId="77777777" w:rsidR="003801E8" w:rsidRDefault="003801E8">
      <w:pPr>
        <w:spacing w:after="160" w:line="360" w:lineRule="auto"/>
        <w:jc w:val="both"/>
        <w:rPr>
          <w:rFonts w:ascii="Book Antiqua" w:hAnsi="Book Antiqua" w:cs="Times New Roman"/>
          <w:bCs/>
          <w:kern w:val="2"/>
          <w:sz w:val="24"/>
          <w:szCs w:val="24"/>
          <w:lang w:val="en-US" w:eastAsia="sr-Latn-ME"/>
        </w:rPr>
      </w:pPr>
    </w:p>
    <w:p w14:paraId="07294FA6" w14:textId="77777777" w:rsidR="003801E8" w:rsidRDefault="00E44AAE">
      <w:pPr>
        <w:spacing w:after="160" w:line="360" w:lineRule="auto"/>
        <w:jc w:val="both"/>
        <w:rPr>
          <w:rFonts w:ascii="Book Antiqua" w:hAnsi="Book Antiqua" w:cs="Times New Roman"/>
          <w:bCs/>
          <w:kern w:val="2"/>
          <w:sz w:val="22"/>
          <w:szCs w:val="22"/>
          <w:lang w:val="en-US" w:eastAsia="sr-Latn-ME"/>
        </w:rPr>
      </w:pPr>
      <w:r>
        <w:rPr>
          <w:rFonts w:ascii="Book Antiqua" w:hAnsi="Book Antiqua" w:cs="Times New Roman"/>
          <w:b/>
          <w:kern w:val="2"/>
          <w:sz w:val="22"/>
          <w:szCs w:val="22"/>
          <w:lang w:val="en-US" w:eastAsia="sr-Latn-ME"/>
        </w:rPr>
        <w:lastRenderedPageBreak/>
        <w:t>Tabela 7</w:t>
      </w:r>
      <w:r>
        <w:rPr>
          <w:rFonts w:ascii="Book Antiqua" w:hAnsi="Book Antiqua" w:cs="Times New Roman"/>
          <w:bCs/>
          <w:kern w:val="2"/>
          <w:sz w:val="22"/>
          <w:szCs w:val="22"/>
          <w:lang w:val="en-US" w:eastAsia="sr-Latn-ME"/>
        </w:rPr>
        <w:t xml:space="preserve">. </w:t>
      </w:r>
      <w:r>
        <w:rPr>
          <w:rFonts w:ascii="Book Antiqua" w:hAnsi="Book Antiqua" w:cs="Times New Roman"/>
          <w:bCs/>
          <w:kern w:val="2"/>
          <w:sz w:val="22"/>
          <w:szCs w:val="22"/>
          <w:lang w:eastAsia="sr-Latn-ME"/>
        </w:rPr>
        <w:t xml:space="preserve">Pristupni brojevi za ITS, LSU i TUB2 sekvence mikroorganizama </w:t>
      </w:r>
      <w:r>
        <w:rPr>
          <w:rFonts w:ascii="Book Antiqua" w:hAnsi="Book Antiqua" w:cs="Times New Roman"/>
          <w:bCs/>
          <w:i/>
          <w:iCs/>
          <w:kern w:val="2"/>
          <w:sz w:val="22"/>
          <w:szCs w:val="22"/>
          <w:lang w:eastAsia="sr-Latn-ME"/>
        </w:rPr>
        <w:t xml:space="preserve">P. chlamydospora </w:t>
      </w:r>
      <w:r>
        <w:rPr>
          <w:rFonts w:ascii="Book Antiqua" w:hAnsi="Book Antiqua" w:cs="Times New Roman"/>
          <w:bCs/>
          <w:kern w:val="2"/>
          <w:sz w:val="22"/>
          <w:szCs w:val="22"/>
          <w:lang w:eastAsia="sr-Latn-ME"/>
        </w:rPr>
        <w:t>preuzete iz GenBank kao i za sekvence dobijene u ovom istraživanju. Boldirani NCBI brojevi sekvenci korišćenih u filogenetskim analizama</w:t>
      </w:r>
    </w:p>
    <w:tbl>
      <w:tblPr>
        <w:tblW w:w="9625" w:type="dxa"/>
        <w:tblLayout w:type="fixed"/>
        <w:tblLook w:val="04A0" w:firstRow="1" w:lastRow="0" w:firstColumn="1" w:lastColumn="0" w:noHBand="0" w:noVBand="1"/>
      </w:tblPr>
      <w:tblGrid>
        <w:gridCol w:w="1345"/>
        <w:gridCol w:w="1080"/>
        <w:gridCol w:w="1260"/>
        <w:gridCol w:w="1170"/>
        <w:gridCol w:w="990"/>
        <w:gridCol w:w="1355"/>
        <w:gridCol w:w="805"/>
        <w:gridCol w:w="810"/>
        <w:gridCol w:w="810"/>
      </w:tblGrid>
      <w:tr w:rsidR="003801E8" w14:paraId="7A4ADB19" w14:textId="77777777">
        <w:trPr>
          <w:trHeight w:val="864"/>
        </w:trPr>
        <w:tc>
          <w:tcPr>
            <w:tcW w:w="1345" w:type="dxa"/>
            <w:tcBorders>
              <w:top w:val="single" w:sz="4" w:space="0" w:color="auto"/>
              <w:bottom w:val="single" w:sz="4" w:space="0" w:color="auto"/>
            </w:tcBorders>
            <w:vAlign w:val="center"/>
          </w:tcPr>
          <w:p w14:paraId="56E145F5"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Organizam </w:t>
            </w:r>
          </w:p>
        </w:tc>
        <w:tc>
          <w:tcPr>
            <w:tcW w:w="1080" w:type="dxa"/>
            <w:tcBorders>
              <w:top w:val="single" w:sz="4" w:space="0" w:color="auto"/>
              <w:left w:val="nil"/>
              <w:bottom w:val="single" w:sz="4" w:space="0" w:color="auto"/>
            </w:tcBorders>
            <w:vAlign w:val="center"/>
          </w:tcPr>
          <w:p w14:paraId="1B4599C1"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Izolat </w:t>
            </w:r>
          </w:p>
        </w:tc>
        <w:tc>
          <w:tcPr>
            <w:tcW w:w="1260" w:type="dxa"/>
            <w:tcBorders>
              <w:top w:val="single" w:sz="4" w:space="0" w:color="auto"/>
              <w:bottom w:val="single" w:sz="4" w:space="0" w:color="auto"/>
            </w:tcBorders>
            <w:vAlign w:val="center"/>
          </w:tcPr>
          <w:p w14:paraId="58283B1B"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Zemlja porijekla </w:t>
            </w:r>
          </w:p>
        </w:tc>
        <w:tc>
          <w:tcPr>
            <w:tcW w:w="1170" w:type="dxa"/>
            <w:tcBorders>
              <w:top w:val="single" w:sz="4" w:space="0" w:color="auto"/>
              <w:left w:val="nil"/>
              <w:bottom w:val="single" w:sz="4" w:space="0" w:color="auto"/>
            </w:tcBorders>
            <w:vAlign w:val="center"/>
          </w:tcPr>
          <w:p w14:paraId="1A706B47"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Biljna vrsta (domaćin)</w:t>
            </w:r>
          </w:p>
        </w:tc>
        <w:tc>
          <w:tcPr>
            <w:tcW w:w="990" w:type="dxa"/>
            <w:tcBorders>
              <w:top w:val="single" w:sz="4" w:space="0" w:color="auto"/>
              <w:bottom w:val="single" w:sz="4" w:space="0" w:color="auto"/>
            </w:tcBorders>
            <w:vAlign w:val="center"/>
          </w:tcPr>
          <w:p w14:paraId="65D04EEB"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Godina</w:t>
            </w:r>
          </w:p>
        </w:tc>
        <w:tc>
          <w:tcPr>
            <w:tcW w:w="1355" w:type="dxa"/>
            <w:tcBorders>
              <w:top w:val="single" w:sz="4" w:space="0" w:color="auto"/>
              <w:left w:val="nil"/>
              <w:bottom w:val="single" w:sz="4" w:space="0" w:color="auto"/>
            </w:tcBorders>
            <w:vAlign w:val="center"/>
          </w:tcPr>
          <w:p w14:paraId="03707C32"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Autor (NCBI)</w:t>
            </w:r>
          </w:p>
        </w:tc>
        <w:tc>
          <w:tcPr>
            <w:tcW w:w="805" w:type="dxa"/>
            <w:tcBorders>
              <w:top w:val="single" w:sz="4" w:space="0" w:color="auto"/>
              <w:bottom w:val="single" w:sz="4" w:space="0" w:color="auto"/>
            </w:tcBorders>
            <w:vAlign w:val="center"/>
          </w:tcPr>
          <w:p w14:paraId="0D593015"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NCBI br. (ITS)</w:t>
            </w:r>
          </w:p>
        </w:tc>
        <w:tc>
          <w:tcPr>
            <w:tcW w:w="810" w:type="dxa"/>
            <w:tcBorders>
              <w:top w:val="single" w:sz="4" w:space="0" w:color="auto"/>
              <w:bottom w:val="single" w:sz="4" w:space="0" w:color="auto"/>
            </w:tcBorders>
            <w:vAlign w:val="center"/>
          </w:tcPr>
          <w:p w14:paraId="319645A9"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NCBI br. (TUB2)</w:t>
            </w:r>
          </w:p>
        </w:tc>
        <w:tc>
          <w:tcPr>
            <w:tcW w:w="810" w:type="dxa"/>
            <w:tcBorders>
              <w:top w:val="single" w:sz="4" w:space="0" w:color="auto"/>
              <w:left w:val="nil"/>
              <w:bottom w:val="single" w:sz="4" w:space="0" w:color="auto"/>
            </w:tcBorders>
            <w:vAlign w:val="bottom"/>
          </w:tcPr>
          <w:p w14:paraId="6CFB286D" w14:textId="77777777" w:rsidR="003801E8" w:rsidRDefault="00E44AAE">
            <w:pPr>
              <w:spacing w:after="0" w:line="240" w:lineRule="auto"/>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(LSU)</w:t>
            </w:r>
          </w:p>
        </w:tc>
      </w:tr>
      <w:tr w:rsidR="003801E8" w14:paraId="0B9CE8D8" w14:textId="77777777">
        <w:trPr>
          <w:trHeight w:val="576"/>
        </w:trPr>
        <w:tc>
          <w:tcPr>
            <w:tcW w:w="1345" w:type="dxa"/>
            <w:tcBorders>
              <w:top w:val="single" w:sz="4" w:space="0" w:color="auto"/>
            </w:tcBorders>
            <w:vAlign w:val="center"/>
          </w:tcPr>
          <w:p w14:paraId="24C457E1"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P.chlamydospora</w:t>
            </w:r>
          </w:p>
        </w:tc>
        <w:tc>
          <w:tcPr>
            <w:tcW w:w="1080" w:type="dxa"/>
            <w:tcBorders>
              <w:top w:val="single" w:sz="4" w:space="0" w:color="auto"/>
              <w:left w:val="nil"/>
            </w:tcBorders>
            <w:noWrap/>
            <w:vAlign w:val="center"/>
          </w:tcPr>
          <w:p w14:paraId="1B6C07B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MN012</w:t>
            </w:r>
          </w:p>
        </w:tc>
        <w:tc>
          <w:tcPr>
            <w:tcW w:w="1260" w:type="dxa"/>
            <w:tcBorders>
              <w:top w:val="single" w:sz="4" w:space="0" w:color="auto"/>
            </w:tcBorders>
            <w:noWrap/>
            <w:vAlign w:val="center"/>
          </w:tcPr>
          <w:p w14:paraId="1A70BB1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Crna Gora</w:t>
            </w:r>
          </w:p>
        </w:tc>
        <w:tc>
          <w:tcPr>
            <w:tcW w:w="1170" w:type="dxa"/>
            <w:tcBorders>
              <w:top w:val="single" w:sz="4" w:space="0" w:color="auto"/>
              <w:left w:val="nil"/>
            </w:tcBorders>
            <w:noWrap/>
            <w:vAlign w:val="center"/>
          </w:tcPr>
          <w:p w14:paraId="71C54EDE"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90" w:type="dxa"/>
            <w:tcBorders>
              <w:top w:val="single" w:sz="4" w:space="0" w:color="auto"/>
            </w:tcBorders>
            <w:noWrap/>
            <w:vAlign w:val="center"/>
          </w:tcPr>
          <w:p w14:paraId="396F96B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2023</w:t>
            </w:r>
          </w:p>
        </w:tc>
        <w:tc>
          <w:tcPr>
            <w:tcW w:w="1355" w:type="dxa"/>
            <w:tcBorders>
              <w:top w:val="single" w:sz="4" w:space="0" w:color="auto"/>
              <w:left w:val="nil"/>
            </w:tcBorders>
            <w:vAlign w:val="center"/>
          </w:tcPr>
          <w:p w14:paraId="08F655F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Kandić</w:t>
            </w:r>
          </w:p>
        </w:tc>
        <w:tc>
          <w:tcPr>
            <w:tcW w:w="805" w:type="dxa"/>
            <w:tcBorders>
              <w:top w:val="single" w:sz="4" w:space="0" w:color="auto"/>
            </w:tcBorders>
            <w:vAlign w:val="center"/>
          </w:tcPr>
          <w:p w14:paraId="6D4D540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PQ191313</w:t>
            </w:r>
          </w:p>
        </w:tc>
        <w:tc>
          <w:tcPr>
            <w:tcW w:w="810" w:type="dxa"/>
            <w:tcBorders>
              <w:top w:val="single" w:sz="4" w:space="0" w:color="auto"/>
            </w:tcBorders>
            <w:vAlign w:val="center"/>
          </w:tcPr>
          <w:p w14:paraId="4A9E56B5"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PX686746</w:t>
            </w:r>
          </w:p>
        </w:tc>
        <w:tc>
          <w:tcPr>
            <w:tcW w:w="810" w:type="dxa"/>
            <w:tcBorders>
              <w:top w:val="single" w:sz="4" w:space="0" w:color="auto"/>
              <w:left w:val="nil"/>
            </w:tcBorders>
            <w:vAlign w:val="center"/>
          </w:tcPr>
          <w:p w14:paraId="37712B7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PX670336</w:t>
            </w:r>
          </w:p>
        </w:tc>
      </w:tr>
      <w:tr w:rsidR="003801E8" w14:paraId="383F18D0" w14:textId="77777777">
        <w:trPr>
          <w:trHeight w:val="576"/>
        </w:trPr>
        <w:tc>
          <w:tcPr>
            <w:tcW w:w="1345" w:type="dxa"/>
            <w:vAlign w:val="center"/>
          </w:tcPr>
          <w:p w14:paraId="1D9D68EF"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P.chlamydospora</w:t>
            </w:r>
          </w:p>
        </w:tc>
        <w:tc>
          <w:tcPr>
            <w:tcW w:w="1080" w:type="dxa"/>
            <w:tcBorders>
              <w:left w:val="nil"/>
            </w:tcBorders>
            <w:noWrap/>
            <w:vAlign w:val="center"/>
          </w:tcPr>
          <w:p w14:paraId="3ACF50B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MN013</w:t>
            </w:r>
          </w:p>
        </w:tc>
        <w:tc>
          <w:tcPr>
            <w:tcW w:w="1260" w:type="dxa"/>
            <w:noWrap/>
            <w:vAlign w:val="center"/>
          </w:tcPr>
          <w:p w14:paraId="3E58900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Crna Gora</w:t>
            </w:r>
          </w:p>
        </w:tc>
        <w:tc>
          <w:tcPr>
            <w:tcW w:w="1170" w:type="dxa"/>
            <w:tcBorders>
              <w:left w:val="nil"/>
            </w:tcBorders>
            <w:noWrap/>
            <w:vAlign w:val="center"/>
          </w:tcPr>
          <w:p w14:paraId="6699B5E1"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90" w:type="dxa"/>
            <w:noWrap/>
            <w:vAlign w:val="center"/>
          </w:tcPr>
          <w:p w14:paraId="31E35D1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2023</w:t>
            </w:r>
          </w:p>
        </w:tc>
        <w:tc>
          <w:tcPr>
            <w:tcW w:w="1355" w:type="dxa"/>
            <w:tcBorders>
              <w:left w:val="nil"/>
            </w:tcBorders>
            <w:vAlign w:val="center"/>
          </w:tcPr>
          <w:p w14:paraId="7A76375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Kandić</w:t>
            </w:r>
          </w:p>
        </w:tc>
        <w:tc>
          <w:tcPr>
            <w:tcW w:w="805" w:type="dxa"/>
            <w:vAlign w:val="center"/>
          </w:tcPr>
          <w:p w14:paraId="24358FC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PQ191314</w:t>
            </w:r>
          </w:p>
        </w:tc>
        <w:tc>
          <w:tcPr>
            <w:tcW w:w="810" w:type="dxa"/>
            <w:vAlign w:val="center"/>
          </w:tcPr>
          <w:p w14:paraId="35D954F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PX686743</w:t>
            </w:r>
          </w:p>
        </w:tc>
        <w:tc>
          <w:tcPr>
            <w:tcW w:w="810" w:type="dxa"/>
            <w:tcBorders>
              <w:left w:val="nil"/>
            </w:tcBorders>
            <w:vAlign w:val="center"/>
          </w:tcPr>
          <w:p w14:paraId="6D9CED0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PX670340</w:t>
            </w:r>
          </w:p>
        </w:tc>
      </w:tr>
      <w:tr w:rsidR="003801E8" w14:paraId="2F2B2978" w14:textId="77777777">
        <w:trPr>
          <w:trHeight w:val="576"/>
        </w:trPr>
        <w:tc>
          <w:tcPr>
            <w:tcW w:w="1345" w:type="dxa"/>
            <w:vAlign w:val="center"/>
          </w:tcPr>
          <w:p w14:paraId="67A7BE99"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P.chlamydospora</w:t>
            </w:r>
          </w:p>
        </w:tc>
        <w:tc>
          <w:tcPr>
            <w:tcW w:w="1080" w:type="dxa"/>
            <w:tcBorders>
              <w:left w:val="nil"/>
            </w:tcBorders>
            <w:noWrap/>
            <w:vAlign w:val="center"/>
          </w:tcPr>
          <w:p w14:paraId="2947E80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MN014</w:t>
            </w:r>
          </w:p>
        </w:tc>
        <w:tc>
          <w:tcPr>
            <w:tcW w:w="1260" w:type="dxa"/>
            <w:noWrap/>
            <w:vAlign w:val="center"/>
          </w:tcPr>
          <w:p w14:paraId="469CEBF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Crna Gora</w:t>
            </w:r>
          </w:p>
        </w:tc>
        <w:tc>
          <w:tcPr>
            <w:tcW w:w="1170" w:type="dxa"/>
            <w:tcBorders>
              <w:left w:val="nil"/>
            </w:tcBorders>
            <w:noWrap/>
            <w:vAlign w:val="center"/>
          </w:tcPr>
          <w:p w14:paraId="0D1669DC"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90" w:type="dxa"/>
            <w:noWrap/>
            <w:vAlign w:val="center"/>
          </w:tcPr>
          <w:p w14:paraId="2FE7D6B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2023</w:t>
            </w:r>
          </w:p>
        </w:tc>
        <w:tc>
          <w:tcPr>
            <w:tcW w:w="1355" w:type="dxa"/>
            <w:tcBorders>
              <w:left w:val="nil"/>
            </w:tcBorders>
            <w:vAlign w:val="center"/>
          </w:tcPr>
          <w:p w14:paraId="6C241FD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Kandić</w:t>
            </w:r>
          </w:p>
        </w:tc>
        <w:tc>
          <w:tcPr>
            <w:tcW w:w="805" w:type="dxa"/>
            <w:vAlign w:val="center"/>
          </w:tcPr>
          <w:p w14:paraId="40E739C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PQ191315</w:t>
            </w:r>
          </w:p>
        </w:tc>
        <w:tc>
          <w:tcPr>
            <w:tcW w:w="810" w:type="dxa"/>
            <w:vAlign w:val="center"/>
          </w:tcPr>
          <w:p w14:paraId="01A04EB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PX686745</w:t>
            </w:r>
          </w:p>
        </w:tc>
        <w:tc>
          <w:tcPr>
            <w:tcW w:w="810" w:type="dxa"/>
            <w:tcBorders>
              <w:left w:val="nil"/>
            </w:tcBorders>
            <w:vAlign w:val="center"/>
          </w:tcPr>
          <w:p w14:paraId="7DF806D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PX670341</w:t>
            </w:r>
          </w:p>
        </w:tc>
      </w:tr>
      <w:tr w:rsidR="003801E8" w14:paraId="16191820" w14:textId="77777777">
        <w:trPr>
          <w:trHeight w:val="576"/>
        </w:trPr>
        <w:tc>
          <w:tcPr>
            <w:tcW w:w="1345" w:type="dxa"/>
            <w:vAlign w:val="center"/>
          </w:tcPr>
          <w:p w14:paraId="25E2AB00"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P.chlamydospora</w:t>
            </w:r>
          </w:p>
        </w:tc>
        <w:tc>
          <w:tcPr>
            <w:tcW w:w="1080" w:type="dxa"/>
            <w:tcBorders>
              <w:left w:val="nil"/>
            </w:tcBorders>
            <w:noWrap/>
            <w:vAlign w:val="center"/>
          </w:tcPr>
          <w:p w14:paraId="03C6E0A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MN015</w:t>
            </w:r>
          </w:p>
        </w:tc>
        <w:tc>
          <w:tcPr>
            <w:tcW w:w="1260" w:type="dxa"/>
            <w:noWrap/>
            <w:vAlign w:val="center"/>
          </w:tcPr>
          <w:p w14:paraId="7FA4AB8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Crna Gora</w:t>
            </w:r>
          </w:p>
        </w:tc>
        <w:tc>
          <w:tcPr>
            <w:tcW w:w="1170" w:type="dxa"/>
            <w:tcBorders>
              <w:left w:val="nil"/>
            </w:tcBorders>
            <w:noWrap/>
            <w:vAlign w:val="center"/>
          </w:tcPr>
          <w:p w14:paraId="6B560DFF"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90" w:type="dxa"/>
            <w:noWrap/>
            <w:vAlign w:val="center"/>
          </w:tcPr>
          <w:p w14:paraId="5F63DE7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2023</w:t>
            </w:r>
          </w:p>
        </w:tc>
        <w:tc>
          <w:tcPr>
            <w:tcW w:w="1355" w:type="dxa"/>
            <w:tcBorders>
              <w:left w:val="nil"/>
            </w:tcBorders>
            <w:vAlign w:val="center"/>
          </w:tcPr>
          <w:p w14:paraId="1559FAD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Kandić</w:t>
            </w:r>
          </w:p>
        </w:tc>
        <w:tc>
          <w:tcPr>
            <w:tcW w:w="805" w:type="dxa"/>
            <w:vAlign w:val="center"/>
          </w:tcPr>
          <w:p w14:paraId="37F980E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PQ191316</w:t>
            </w:r>
          </w:p>
        </w:tc>
        <w:tc>
          <w:tcPr>
            <w:tcW w:w="810" w:type="dxa"/>
            <w:vAlign w:val="center"/>
          </w:tcPr>
          <w:p w14:paraId="79D39DA5"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PX686744</w:t>
            </w:r>
          </w:p>
        </w:tc>
        <w:tc>
          <w:tcPr>
            <w:tcW w:w="810" w:type="dxa"/>
            <w:tcBorders>
              <w:left w:val="nil"/>
            </w:tcBorders>
            <w:vAlign w:val="center"/>
          </w:tcPr>
          <w:p w14:paraId="4653C0D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PX670343</w:t>
            </w:r>
          </w:p>
        </w:tc>
      </w:tr>
      <w:tr w:rsidR="003801E8" w14:paraId="53C4DDDD" w14:textId="77777777">
        <w:trPr>
          <w:trHeight w:val="576"/>
        </w:trPr>
        <w:tc>
          <w:tcPr>
            <w:tcW w:w="1345" w:type="dxa"/>
            <w:vAlign w:val="center"/>
          </w:tcPr>
          <w:p w14:paraId="5BBF4350"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P.chlamydospora</w:t>
            </w:r>
          </w:p>
        </w:tc>
        <w:tc>
          <w:tcPr>
            <w:tcW w:w="1080" w:type="dxa"/>
            <w:tcBorders>
              <w:left w:val="nil"/>
            </w:tcBorders>
            <w:noWrap/>
            <w:vAlign w:val="center"/>
          </w:tcPr>
          <w:p w14:paraId="53863D0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MN010</w:t>
            </w:r>
          </w:p>
        </w:tc>
        <w:tc>
          <w:tcPr>
            <w:tcW w:w="1260" w:type="dxa"/>
            <w:noWrap/>
            <w:vAlign w:val="center"/>
          </w:tcPr>
          <w:p w14:paraId="5FE06E7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Crna Gora</w:t>
            </w:r>
          </w:p>
        </w:tc>
        <w:tc>
          <w:tcPr>
            <w:tcW w:w="1170" w:type="dxa"/>
            <w:tcBorders>
              <w:left w:val="nil"/>
            </w:tcBorders>
            <w:noWrap/>
            <w:vAlign w:val="center"/>
          </w:tcPr>
          <w:p w14:paraId="3FFAB029"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90" w:type="dxa"/>
            <w:noWrap/>
            <w:vAlign w:val="center"/>
          </w:tcPr>
          <w:p w14:paraId="0F44E21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2023</w:t>
            </w:r>
          </w:p>
        </w:tc>
        <w:tc>
          <w:tcPr>
            <w:tcW w:w="1355" w:type="dxa"/>
            <w:tcBorders>
              <w:left w:val="nil"/>
            </w:tcBorders>
            <w:vAlign w:val="center"/>
          </w:tcPr>
          <w:p w14:paraId="60A1A9D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Kandić</w:t>
            </w:r>
          </w:p>
        </w:tc>
        <w:tc>
          <w:tcPr>
            <w:tcW w:w="805" w:type="dxa"/>
            <w:vAlign w:val="center"/>
          </w:tcPr>
          <w:p w14:paraId="34FCE2F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PQ191311</w:t>
            </w:r>
          </w:p>
        </w:tc>
        <w:tc>
          <w:tcPr>
            <w:tcW w:w="810" w:type="dxa"/>
            <w:vAlign w:val="center"/>
          </w:tcPr>
          <w:p w14:paraId="649BD301"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PX686742</w:t>
            </w:r>
          </w:p>
        </w:tc>
        <w:tc>
          <w:tcPr>
            <w:tcW w:w="810" w:type="dxa"/>
            <w:tcBorders>
              <w:left w:val="nil"/>
            </w:tcBorders>
            <w:vAlign w:val="center"/>
          </w:tcPr>
          <w:p w14:paraId="48FAACD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PX670337</w:t>
            </w:r>
          </w:p>
        </w:tc>
      </w:tr>
      <w:tr w:rsidR="003801E8" w14:paraId="2ABC2CAA" w14:textId="77777777">
        <w:trPr>
          <w:trHeight w:val="576"/>
        </w:trPr>
        <w:tc>
          <w:tcPr>
            <w:tcW w:w="1345" w:type="dxa"/>
            <w:vAlign w:val="center"/>
          </w:tcPr>
          <w:p w14:paraId="42803E80"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P.chlamydospora</w:t>
            </w:r>
          </w:p>
        </w:tc>
        <w:tc>
          <w:tcPr>
            <w:tcW w:w="1080" w:type="dxa"/>
            <w:tcBorders>
              <w:left w:val="nil"/>
            </w:tcBorders>
            <w:noWrap/>
            <w:vAlign w:val="center"/>
          </w:tcPr>
          <w:p w14:paraId="4CEA9ED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IBVDSP08</w:t>
            </w:r>
          </w:p>
        </w:tc>
        <w:tc>
          <w:tcPr>
            <w:tcW w:w="1260" w:type="dxa"/>
            <w:noWrap/>
            <w:vAlign w:val="center"/>
          </w:tcPr>
          <w:p w14:paraId="5FDBD4D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Brazil</w:t>
            </w:r>
          </w:p>
        </w:tc>
        <w:tc>
          <w:tcPr>
            <w:tcW w:w="1170" w:type="dxa"/>
            <w:tcBorders>
              <w:left w:val="nil"/>
            </w:tcBorders>
            <w:noWrap/>
            <w:vAlign w:val="center"/>
          </w:tcPr>
          <w:p w14:paraId="0F808A22"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90" w:type="dxa"/>
            <w:noWrap/>
            <w:vAlign w:val="center"/>
          </w:tcPr>
          <w:p w14:paraId="513FE7E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2019</w:t>
            </w:r>
          </w:p>
        </w:tc>
        <w:tc>
          <w:tcPr>
            <w:tcW w:w="1355" w:type="dxa"/>
            <w:tcBorders>
              <w:left w:val="nil"/>
            </w:tcBorders>
            <w:vAlign w:val="center"/>
          </w:tcPr>
          <w:p w14:paraId="1BB099E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Marraschi </w:t>
            </w:r>
          </w:p>
        </w:tc>
        <w:tc>
          <w:tcPr>
            <w:tcW w:w="805" w:type="dxa"/>
            <w:vAlign w:val="center"/>
          </w:tcPr>
          <w:p w14:paraId="610D1EF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MK903785</w:t>
            </w:r>
          </w:p>
        </w:tc>
        <w:tc>
          <w:tcPr>
            <w:tcW w:w="810" w:type="dxa"/>
            <w:vAlign w:val="center"/>
          </w:tcPr>
          <w:p w14:paraId="4F69C0B9"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MK903841</w:t>
            </w:r>
          </w:p>
        </w:tc>
        <w:tc>
          <w:tcPr>
            <w:tcW w:w="810" w:type="dxa"/>
            <w:tcBorders>
              <w:left w:val="nil"/>
            </w:tcBorders>
            <w:vAlign w:val="center"/>
          </w:tcPr>
          <w:p w14:paraId="27134EA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7E867A83" w14:textId="77777777">
        <w:trPr>
          <w:trHeight w:val="576"/>
        </w:trPr>
        <w:tc>
          <w:tcPr>
            <w:tcW w:w="1345" w:type="dxa"/>
            <w:vAlign w:val="center"/>
          </w:tcPr>
          <w:p w14:paraId="100A35C0"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P.chlamydospora</w:t>
            </w:r>
          </w:p>
        </w:tc>
        <w:tc>
          <w:tcPr>
            <w:tcW w:w="1080" w:type="dxa"/>
            <w:tcBorders>
              <w:left w:val="nil"/>
            </w:tcBorders>
            <w:noWrap/>
            <w:vAlign w:val="center"/>
          </w:tcPr>
          <w:p w14:paraId="72BCBED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Y112-42-3</w:t>
            </w:r>
          </w:p>
        </w:tc>
        <w:tc>
          <w:tcPr>
            <w:tcW w:w="1260" w:type="dxa"/>
            <w:noWrap/>
            <w:vAlign w:val="center"/>
          </w:tcPr>
          <w:p w14:paraId="4DF34CB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Španija</w:t>
            </w:r>
          </w:p>
        </w:tc>
        <w:tc>
          <w:tcPr>
            <w:tcW w:w="1170" w:type="dxa"/>
            <w:tcBorders>
              <w:left w:val="nil"/>
            </w:tcBorders>
            <w:noWrap/>
            <w:vAlign w:val="center"/>
          </w:tcPr>
          <w:p w14:paraId="09D33BA3"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90" w:type="dxa"/>
            <w:noWrap/>
            <w:vAlign w:val="center"/>
          </w:tcPr>
          <w:p w14:paraId="07A39B4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2007</w:t>
            </w:r>
          </w:p>
        </w:tc>
        <w:tc>
          <w:tcPr>
            <w:tcW w:w="1355" w:type="dxa"/>
            <w:tcBorders>
              <w:left w:val="nil"/>
            </w:tcBorders>
            <w:vAlign w:val="center"/>
          </w:tcPr>
          <w:p w14:paraId="2A89D6E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Cobos &amp; Martin</w:t>
            </w:r>
          </w:p>
        </w:tc>
        <w:tc>
          <w:tcPr>
            <w:tcW w:w="805" w:type="dxa"/>
            <w:vAlign w:val="center"/>
          </w:tcPr>
          <w:p w14:paraId="050728E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EU018415</w:t>
            </w:r>
          </w:p>
        </w:tc>
        <w:tc>
          <w:tcPr>
            <w:tcW w:w="810" w:type="dxa"/>
            <w:vAlign w:val="center"/>
          </w:tcPr>
          <w:p w14:paraId="7EB8E17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EU078332</w:t>
            </w:r>
          </w:p>
        </w:tc>
        <w:tc>
          <w:tcPr>
            <w:tcW w:w="810" w:type="dxa"/>
            <w:tcBorders>
              <w:left w:val="nil"/>
            </w:tcBorders>
            <w:vAlign w:val="center"/>
          </w:tcPr>
          <w:p w14:paraId="15AF3B6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30D2A1EC" w14:textId="77777777">
        <w:trPr>
          <w:trHeight w:val="576"/>
        </w:trPr>
        <w:tc>
          <w:tcPr>
            <w:tcW w:w="1345" w:type="dxa"/>
            <w:vAlign w:val="center"/>
          </w:tcPr>
          <w:p w14:paraId="0816F837"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P.chlamydospora</w:t>
            </w:r>
          </w:p>
        </w:tc>
        <w:tc>
          <w:tcPr>
            <w:tcW w:w="1080" w:type="dxa"/>
            <w:tcBorders>
              <w:left w:val="nil"/>
            </w:tcBorders>
            <w:noWrap/>
            <w:vAlign w:val="center"/>
          </w:tcPr>
          <w:p w14:paraId="743D1CE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Kern717</w:t>
            </w:r>
          </w:p>
        </w:tc>
        <w:tc>
          <w:tcPr>
            <w:tcW w:w="1260" w:type="dxa"/>
            <w:noWrap/>
            <w:vAlign w:val="center"/>
          </w:tcPr>
          <w:p w14:paraId="678BFD8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Kalifornija</w:t>
            </w:r>
          </w:p>
        </w:tc>
        <w:tc>
          <w:tcPr>
            <w:tcW w:w="1170" w:type="dxa"/>
            <w:tcBorders>
              <w:left w:val="nil"/>
            </w:tcBorders>
            <w:noWrap/>
            <w:vAlign w:val="center"/>
          </w:tcPr>
          <w:p w14:paraId="008AE677"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90" w:type="dxa"/>
            <w:noWrap/>
            <w:vAlign w:val="center"/>
          </w:tcPr>
          <w:p w14:paraId="6BB8075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2022</w:t>
            </w:r>
          </w:p>
        </w:tc>
        <w:tc>
          <w:tcPr>
            <w:tcW w:w="1355" w:type="dxa"/>
            <w:tcBorders>
              <w:left w:val="nil"/>
            </w:tcBorders>
            <w:vAlign w:val="center"/>
          </w:tcPr>
          <w:p w14:paraId="0DFEA9F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 Fujiyoshi &amp; Hernandez</w:t>
            </w:r>
          </w:p>
        </w:tc>
        <w:tc>
          <w:tcPr>
            <w:tcW w:w="805" w:type="dxa"/>
            <w:vAlign w:val="center"/>
          </w:tcPr>
          <w:p w14:paraId="7DCA420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OP038080</w:t>
            </w:r>
          </w:p>
        </w:tc>
        <w:tc>
          <w:tcPr>
            <w:tcW w:w="810" w:type="dxa"/>
            <w:vAlign w:val="center"/>
          </w:tcPr>
          <w:p w14:paraId="5353678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OP079899</w:t>
            </w:r>
          </w:p>
        </w:tc>
        <w:tc>
          <w:tcPr>
            <w:tcW w:w="810" w:type="dxa"/>
            <w:tcBorders>
              <w:left w:val="nil"/>
            </w:tcBorders>
            <w:vAlign w:val="center"/>
          </w:tcPr>
          <w:p w14:paraId="41B7520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1AF48ED9" w14:textId="77777777">
        <w:trPr>
          <w:trHeight w:val="576"/>
        </w:trPr>
        <w:tc>
          <w:tcPr>
            <w:tcW w:w="1345" w:type="dxa"/>
            <w:vAlign w:val="center"/>
          </w:tcPr>
          <w:p w14:paraId="1B9AAA3C"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P.chlamydospora</w:t>
            </w:r>
          </w:p>
        </w:tc>
        <w:tc>
          <w:tcPr>
            <w:tcW w:w="1080" w:type="dxa"/>
            <w:tcBorders>
              <w:left w:val="nil"/>
            </w:tcBorders>
            <w:noWrap/>
            <w:vAlign w:val="center"/>
          </w:tcPr>
          <w:p w14:paraId="17818EE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Bent710</w:t>
            </w:r>
          </w:p>
        </w:tc>
        <w:tc>
          <w:tcPr>
            <w:tcW w:w="1260" w:type="dxa"/>
            <w:noWrap/>
            <w:vAlign w:val="center"/>
          </w:tcPr>
          <w:p w14:paraId="6054C66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Kalifornija</w:t>
            </w:r>
          </w:p>
        </w:tc>
        <w:tc>
          <w:tcPr>
            <w:tcW w:w="1170" w:type="dxa"/>
            <w:tcBorders>
              <w:left w:val="nil"/>
            </w:tcBorders>
            <w:noWrap/>
            <w:vAlign w:val="center"/>
          </w:tcPr>
          <w:p w14:paraId="2F4B5E7E"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90" w:type="dxa"/>
            <w:noWrap/>
            <w:vAlign w:val="center"/>
          </w:tcPr>
          <w:p w14:paraId="7974C6C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2022</w:t>
            </w:r>
          </w:p>
        </w:tc>
        <w:tc>
          <w:tcPr>
            <w:tcW w:w="1355" w:type="dxa"/>
            <w:tcBorders>
              <w:left w:val="nil"/>
            </w:tcBorders>
            <w:vAlign w:val="center"/>
          </w:tcPr>
          <w:p w14:paraId="0FFB040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 Fujiyoshi &amp; Hernandez</w:t>
            </w:r>
          </w:p>
        </w:tc>
        <w:tc>
          <w:tcPr>
            <w:tcW w:w="805" w:type="dxa"/>
            <w:vAlign w:val="center"/>
          </w:tcPr>
          <w:p w14:paraId="2BD5854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OP038023</w:t>
            </w:r>
          </w:p>
        </w:tc>
        <w:tc>
          <w:tcPr>
            <w:tcW w:w="810" w:type="dxa"/>
            <w:vAlign w:val="center"/>
          </w:tcPr>
          <w:p w14:paraId="3967231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OP079856</w:t>
            </w:r>
          </w:p>
        </w:tc>
        <w:tc>
          <w:tcPr>
            <w:tcW w:w="810" w:type="dxa"/>
            <w:tcBorders>
              <w:left w:val="nil"/>
            </w:tcBorders>
            <w:vAlign w:val="center"/>
          </w:tcPr>
          <w:p w14:paraId="44B97CC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6D558EB1" w14:textId="77777777">
        <w:trPr>
          <w:trHeight w:val="576"/>
        </w:trPr>
        <w:tc>
          <w:tcPr>
            <w:tcW w:w="1345" w:type="dxa"/>
            <w:vAlign w:val="center"/>
          </w:tcPr>
          <w:p w14:paraId="3318E948"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P.chlamydospora</w:t>
            </w:r>
          </w:p>
        </w:tc>
        <w:tc>
          <w:tcPr>
            <w:tcW w:w="1080" w:type="dxa"/>
            <w:tcBorders>
              <w:left w:val="nil"/>
            </w:tcBorders>
            <w:noWrap/>
            <w:vAlign w:val="center"/>
          </w:tcPr>
          <w:p w14:paraId="5DBA4FD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JKI-May05</w:t>
            </w:r>
          </w:p>
        </w:tc>
        <w:tc>
          <w:tcPr>
            <w:tcW w:w="1260" w:type="dxa"/>
            <w:noWrap/>
            <w:vAlign w:val="center"/>
          </w:tcPr>
          <w:p w14:paraId="4F94C48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Njemačka</w:t>
            </w:r>
          </w:p>
        </w:tc>
        <w:tc>
          <w:tcPr>
            <w:tcW w:w="1170" w:type="dxa"/>
            <w:tcBorders>
              <w:left w:val="nil"/>
            </w:tcBorders>
            <w:noWrap/>
            <w:vAlign w:val="center"/>
          </w:tcPr>
          <w:p w14:paraId="1944C424"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90" w:type="dxa"/>
            <w:noWrap/>
            <w:vAlign w:val="center"/>
          </w:tcPr>
          <w:p w14:paraId="7E25630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2020</w:t>
            </w:r>
          </w:p>
        </w:tc>
        <w:tc>
          <w:tcPr>
            <w:tcW w:w="1355" w:type="dxa"/>
            <w:tcBorders>
              <w:left w:val="nil"/>
            </w:tcBorders>
            <w:vAlign w:val="center"/>
          </w:tcPr>
          <w:p w14:paraId="7B550E7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Kraus </w:t>
            </w:r>
          </w:p>
        </w:tc>
        <w:tc>
          <w:tcPr>
            <w:tcW w:w="805" w:type="dxa"/>
            <w:vAlign w:val="center"/>
          </w:tcPr>
          <w:p w14:paraId="091895B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MH999527</w:t>
            </w:r>
          </w:p>
        </w:tc>
        <w:tc>
          <w:tcPr>
            <w:tcW w:w="810" w:type="dxa"/>
            <w:vAlign w:val="center"/>
          </w:tcPr>
          <w:p w14:paraId="0F34670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MK070490</w:t>
            </w:r>
          </w:p>
        </w:tc>
        <w:tc>
          <w:tcPr>
            <w:tcW w:w="810" w:type="dxa"/>
            <w:tcBorders>
              <w:left w:val="nil"/>
            </w:tcBorders>
            <w:vAlign w:val="center"/>
          </w:tcPr>
          <w:p w14:paraId="686106F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24331078" w14:textId="77777777">
        <w:trPr>
          <w:trHeight w:val="576"/>
        </w:trPr>
        <w:tc>
          <w:tcPr>
            <w:tcW w:w="1345" w:type="dxa"/>
            <w:vAlign w:val="center"/>
          </w:tcPr>
          <w:p w14:paraId="06500F65"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P.chlamydospora</w:t>
            </w:r>
          </w:p>
        </w:tc>
        <w:tc>
          <w:tcPr>
            <w:tcW w:w="1080" w:type="dxa"/>
            <w:tcBorders>
              <w:left w:val="nil"/>
            </w:tcBorders>
            <w:noWrap/>
            <w:vAlign w:val="center"/>
          </w:tcPr>
          <w:p w14:paraId="486B492B" w14:textId="77777777" w:rsidR="003801E8" w:rsidRDefault="003801E8">
            <w:pPr>
              <w:spacing w:after="0" w:line="240" w:lineRule="auto"/>
              <w:jc w:val="center"/>
              <w:rPr>
                <w:rFonts w:ascii="Book Antiqua" w:eastAsia="Times New Roman" w:hAnsi="Book Antiqua" w:cs="Calibri"/>
                <w:color w:val="000000"/>
                <w:sz w:val="18"/>
                <w:szCs w:val="18"/>
                <w:lang w:val="en-US"/>
              </w:rPr>
            </w:pPr>
          </w:p>
        </w:tc>
        <w:tc>
          <w:tcPr>
            <w:tcW w:w="1260" w:type="dxa"/>
            <w:noWrap/>
            <w:vAlign w:val="center"/>
          </w:tcPr>
          <w:p w14:paraId="56E2C84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Njemačka</w:t>
            </w:r>
          </w:p>
        </w:tc>
        <w:tc>
          <w:tcPr>
            <w:tcW w:w="1170" w:type="dxa"/>
            <w:tcBorders>
              <w:left w:val="nil"/>
            </w:tcBorders>
            <w:noWrap/>
            <w:vAlign w:val="center"/>
          </w:tcPr>
          <w:p w14:paraId="552ABEA2"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90" w:type="dxa"/>
            <w:noWrap/>
            <w:vAlign w:val="center"/>
          </w:tcPr>
          <w:p w14:paraId="63E0417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2018</w:t>
            </w:r>
          </w:p>
        </w:tc>
        <w:tc>
          <w:tcPr>
            <w:tcW w:w="1355" w:type="dxa"/>
            <w:tcBorders>
              <w:left w:val="nil"/>
            </w:tcBorders>
            <w:vAlign w:val="center"/>
          </w:tcPr>
          <w:p w14:paraId="2D3B57C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Kraus</w:t>
            </w:r>
          </w:p>
        </w:tc>
        <w:tc>
          <w:tcPr>
            <w:tcW w:w="805" w:type="dxa"/>
            <w:vAlign w:val="center"/>
          </w:tcPr>
          <w:p w14:paraId="58A445D0" w14:textId="77777777" w:rsidR="003801E8" w:rsidRDefault="00E44AA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Book Antiqua" w:eastAsia="Times New Roman" w:hAnsi="Book Antiqua" w:cs="Calibri"/>
                <w:b/>
                <w:bCs/>
                <w:color w:val="000000"/>
                <w:sz w:val="18"/>
                <w:szCs w:val="18"/>
                <w:lang w:val="en-US"/>
              </w:rPr>
            </w:pPr>
            <w:r>
              <w:rPr>
                <w:rFonts w:ascii="Book Antiqua" w:eastAsia="Times New Roman" w:hAnsi="Book Antiqua" w:cs="Courier New"/>
                <w:b/>
                <w:color w:val="000000"/>
                <w:sz w:val="18"/>
                <w:szCs w:val="18"/>
                <w:lang w:val="en-US"/>
              </w:rPr>
              <w:t>MH999525</w:t>
            </w:r>
          </w:p>
        </w:tc>
        <w:tc>
          <w:tcPr>
            <w:tcW w:w="810" w:type="dxa"/>
            <w:vAlign w:val="center"/>
          </w:tcPr>
          <w:p w14:paraId="31171D7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MK070488</w:t>
            </w:r>
          </w:p>
        </w:tc>
        <w:tc>
          <w:tcPr>
            <w:tcW w:w="810" w:type="dxa"/>
            <w:tcBorders>
              <w:left w:val="nil"/>
            </w:tcBorders>
            <w:vAlign w:val="center"/>
          </w:tcPr>
          <w:p w14:paraId="5ED172E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MH999548</w:t>
            </w:r>
          </w:p>
        </w:tc>
      </w:tr>
      <w:tr w:rsidR="003801E8" w14:paraId="140DA110" w14:textId="77777777">
        <w:trPr>
          <w:trHeight w:val="576"/>
        </w:trPr>
        <w:tc>
          <w:tcPr>
            <w:tcW w:w="2425" w:type="dxa"/>
            <w:gridSpan w:val="2"/>
            <w:noWrap/>
            <w:vAlign w:val="center"/>
          </w:tcPr>
          <w:p w14:paraId="560B96AC"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pinifoliarum</w:t>
            </w:r>
          </w:p>
        </w:tc>
        <w:tc>
          <w:tcPr>
            <w:tcW w:w="1260" w:type="dxa"/>
            <w:noWrap/>
            <w:vAlign w:val="center"/>
          </w:tcPr>
          <w:p w14:paraId="15A01E7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Južna Koreja</w:t>
            </w:r>
          </w:p>
        </w:tc>
        <w:tc>
          <w:tcPr>
            <w:tcW w:w="1170" w:type="dxa"/>
            <w:tcBorders>
              <w:left w:val="nil"/>
            </w:tcBorders>
            <w:noWrap/>
            <w:vAlign w:val="center"/>
          </w:tcPr>
          <w:p w14:paraId="3ABDE791"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90" w:type="dxa"/>
            <w:noWrap/>
            <w:vAlign w:val="center"/>
          </w:tcPr>
          <w:p w14:paraId="226976D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2019</w:t>
            </w:r>
          </w:p>
        </w:tc>
        <w:tc>
          <w:tcPr>
            <w:tcW w:w="1355" w:type="dxa"/>
            <w:tcBorders>
              <w:left w:val="nil"/>
            </w:tcBorders>
            <w:vAlign w:val="center"/>
          </w:tcPr>
          <w:p w14:paraId="43004BA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Vu  </w:t>
            </w:r>
          </w:p>
        </w:tc>
        <w:tc>
          <w:tcPr>
            <w:tcW w:w="805" w:type="dxa"/>
            <w:vAlign w:val="center"/>
          </w:tcPr>
          <w:p w14:paraId="7D62243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MH862974</w:t>
            </w:r>
          </w:p>
        </w:tc>
        <w:tc>
          <w:tcPr>
            <w:tcW w:w="810" w:type="dxa"/>
            <w:vAlign w:val="center"/>
          </w:tcPr>
          <w:p w14:paraId="391381A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KR260452</w:t>
            </w:r>
          </w:p>
        </w:tc>
        <w:tc>
          <w:tcPr>
            <w:tcW w:w="810" w:type="dxa"/>
            <w:tcBorders>
              <w:left w:val="nil"/>
            </w:tcBorders>
            <w:vAlign w:val="center"/>
          </w:tcPr>
          <w:p w14:paraId="3C61EEA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4E607F56" w14:textId="77777777">
        <w:trPr>
          <w:trHeight w:val="576"/>
        </w:trPr>
        <w:tc>
          <w:tcPr>
            <w:tcW w:w="2425" w:type="dxa"/>
            <w:gridSpan w:val="2"/>
            <w:tcBorders>
              <w:bottom w:val="single" w:sz="4" w:space="0" w:color="auto"/>
            </w:tcBorders>
            <w:noWrap/>
            <w:vAlign w:val="center"/>
          </w:tcPr>
          <w:p w14:paraId="69E8AA38" w14:textId="77777777" w:rsidR="003801E8" w:rsidRDefault="00E44AAE">
            <w:pPr>
              <w:spacing w:after="0" w:line="240" w:lineRule="auto"/>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tardicola</w:t>
            </w:r>
          </w:p>
        </w:tc>
        <w:tc>
          <w:tcPr>
            <w:tcW w:w="1260" w:type="dxa"/>
            <w:tcBorders>
              <w:left w:val="nil"/>
              <w:bottom w:val="single" w:sz="4" w:space="0" w:color="auto"/>
            </w:tcBorders>
            <w:noWrap/>
            <w:vAlign w:val="center"/>
          </w:tcPr>
          <w:p w14:paraId="1DD7042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Južna Koreja</w:t>
            </w:r>
          </w:p>
        </w:tc>
        <w:tc>
          <w:tcPr>
            <w:tcW w:w="1170" w:type="dxa"/>
            <w:tcBorders>
              <w:bottom w:val="single" w:sz="4" w:space="0" w:color="auto"/>
            </w:tcBorders>
            <w:noWrap/>
            <w:vAlign w:val="center"/>
          </w:tcPr>
          <w:p w14:paraId="5CC735E4"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armeniaca</w:t>
            </w:r>
          </w:p>
        </w:tc>
        <w:tc>
          <w:tcPr>
            <w:tcW w:w="990" w:type="dxa"/>
            <w:tcBorders>
              <w:bottom w:val="single" w:sz="4" w:space="0" w:color="auto"/>
            </w:tcBorders>
            <w:noWrap/>
            <w:vAlign w:val="center"/>
          </w:tcPr>
          <w:p w14:paraId="616B50F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2010</w:t>
            </w:r>
          </w:p>
        </w:tc>
        <w:tc>
          <w:tcPr>
            <w:tcW w:w="1355" w:type="dxa"/>
            <w:tcBorders>
              <w:left w:val="nil"/>
              <w:bottom w:val="single" w:sz="4" w:space="0" w:color="auto"/>
            </w:tcBorders>
            <w:vAlign w:val="center"/>
          </w:tcPr>
          <w:p w14:paraId="6D0E8F4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Damm </w:t>
            </w:r>
          </w:p>
        </w:tc>
        <w:tc>
          <w:tcPr>
            <w:tcW w:w="805" w:type="dxa"/>
            <w:tcBorders>
              <w:bottom w:val="single" w:sz="4" w:space="0" w:color="auto"/>
            </w:tcBorders>
            <w:vAlign w:val="center"/>
          </w:tcPr>
          <w:p w14:paraId="629AF4A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NR_132006</w:t>
            </w:r>
          </w:p>
        </w:tc>
        <w:tc>
          <w:tcPr>
            <w:tcW w:w="810" w:type="dxa"/>
            <w:tcBorders>
              <w:bottom w:val="single" w:sz="4" w:space="0" w:color="auto"/>
            </w:tcBorders>
            <w:vAlign w:val="center"/>
          </w:tcPr>
          <w:p w14:paraId="6DA77E8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KR260454</w:t>
            </w:r>
          </w:p>
        </w:tc>
        <w:tc>
          <w:tcPr>
            <w:tcW w:w="810" w:type="dxa"/>
            <w:tcBorders>
              <w:left w:val="nil"/>
              <w:bottom w:val="single" w:sz="4" w:space="0" w:color="auto"/>
            </w:tcBorders>
            <w:vAlign w:val="center"/>
          </w:tcPr>
          <w:p w14:paraId="4DAF050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bl>
    <w:p w14:paraId="6701DD02" w14:textId="77777777" w:rsidR="003801E8" w:rsidRDefault="003801E8">
      <w:pPr>
        <w:spacing w:after="160" w:line="360" w:lineRule="auto"/>
        <w:jc w:val="both"/>
        <w:rPr>
          <w:rFonts w:ascii="Book Antiqua" w:hAnsi="Book Antiqua" w:cs="Times New Roman"/>
          <w:sz w:val="24"/>
          <w:szCs w:val="24"/>
          <w:lang w:val="en-US" w:eastAsia="sr-Latn-ME"/>
        </w:rPr>
      </w:pPr>
    </w:p>
    <w:p w14:paraId="4D887C9A" w14:textId="77777777" w:rsidR="003801E8" w:rsidRDefault="003801E8">
      <w:pPr>
        <w:spacing w:after="160" w:line="360" w:lineRule="auto"/>
        <w:jc w:val="both"/>
        <w:rPr>
          <w:rFonts w:ascii="Book Antiqua" w:hAnsi="Book Antiqua" w:cs="Times New Roman"/>
          <w:sz w:val="24"/>
          <w:szCs w:val="24"/>
          <w:lang w:val="en-US" w:eastAsia="sr-Latn-ME"/>
        </w:rPr>
      </w:pPr>
    </w:p>
    <w:p w14:paraId="082108D9" w14:textId="77777777" w:rsidR="003801E8" w:rsidRDefault="003801E8">
      <w:pPr>
        <w:spacing w:after="160" w:line="360" w:lineRule="auto"/>
        <w:jc w:val="both"/>
        <w:rPr>
          <w:rFonts w:ascii="Book Antiqua" w:hAnsi="Book Antiqua" w:cs="Times New Roman"/>
          <w:sz w:val="24"/>
          <w:szCs w:val="24"/>
          <w:lang w:val="en-US" w:eastAsia="sr-Latn-ME"/>
        </w:rPr>
      </w:pPr>
    </w:p>
    <w:p w14:paraId="765D2BB2" w14:textId="77777777" w:rsidR="003801E8" w:rsidRDefault="003801E8">
      <w:pPr>
        <w:spacing w:after="160" w:line="360" w:lineRule="auto"/>
        <w:jc w:val="both"/>
        <w:rPr>
          <w:rFonts w:ascii="Book Antiqua" w:hAnsi="Book Antiqua" w:cs="Times New Roman"/>
          <w:sz w:val="24"/>
          <w:szCs w:val="24"/>
          <w:lang w:val="en-US" w:eastAsia="sr-Latn-ME"/>
        </w:rPr>
      </w:pPr>
    </w:p>
    <w:p w14:paraId="6F6234B6" w14:textId="77777777" w:rsidR="003801E8" w:rsidRDefault="003801E8">
      <w:pPr>
        <w:spacing w:after="160" w:line="360" w:lineRule="auto"/>
        <w:jc w:val="both"/>
        <w:rPr>
          <w:rFonts w:ascii="Book Antiqua" w:hAnsi="Book Antiqua" w:cs="Times New Roman"/>
          <w:sz w:val="24"/>
          <w:szCs w:val="24"/>
          <w:lang w:val="en-US" w:eastAsia="sr-Latn-ME"/>
        </w:rPr>
      </w:pPr>
    </w:p>
    <w:p w14:paraId="258D1D6F" w14:textId="77777777" w:rsidR="003801E8" w:rsidRDefault="003801E8">
      <w:pPr>
        <w:spacing w:after="160" w:line="360" w:lineRule="auto"/>
        <w:jc w:val="both"/>
        <w:rPr>
          <w:rFonts w:ascii="Book Antiqua" w:hAnsi="Book Antiqua" w:cs="Times New Roman"/>
          <w:sz w:val="24"/>
          <w:szCs w:val="24"/>
          <w:lang w:val="en-US" w:eastAsia="sr-Latn-ME"/>
        </w:rPr>
      </w:pPr>
    </w:p>
    <w:p w14:paraId="31AEF3C8" w14:textId="77777777" w:rsidR="003801E8" w:rsidRDefault="00E44AAE">
      <w:pPr>
        <w:spacing w:after="160" w:line="360" w:lineRule="auto"/>
        <w:jc w:val="both"/>
        <w:rPr>
          <w:rFonts w:ascii="Book Antiqua" w:hAnsi="Book Antiqua" w:cs="Times New Roman"/>
          <w:bCs/>
          <w:kern w:val="2"/>
          <w:sz w:val="22"/>
          <w:szCs w:val="22"/>
          <w:lang w:eastAsia="sr-Latn-ME"/>
        </w:rPr>
      </w:pPr>
      <w:r>
        <w:rPr>
          <w:rFonts w:ascii="Book Antiqua" w:hAnsi="Book Antiqua" w:cs="Times New Roman"/>
          <w:b/>
          <w:kern w:val="2"/>
          <w:sz w:val="22"/>
          <w:szCs w:val="22"/>
          <w:lang w:val="en-US" w:eastAsia="sr-Latn-ME"/>
        </w:rPr>
        <w:lastRenderedPageBreak/>
        <w:t>Tabela 8</w:t>
      </w:r>
      <w:r>
        <w:rPr>
          <w:rFonts w:ascii="Book Antiqua" w:hAnsi="Book Antiqua" w:cs="Times New Roman"/>
          <w:bCs/>
          <w:kern w:val="2"/>
          <w:sz w:val="22"/>
          <w:szCs w:val="22"/>
          <w:lang w:val="en-US" w:eastAsia="sr-Latn-ME"/>
        </w:rPr>
        <w:t xml:space="preserve">. </w:t>
      </w:r>
      <w:r>
        <w:rPr>
          <w:rFonts w:ascii="Book Antiqua" w:hAnsi="Book Antiqua" w:cs="Times New Roman"/>
          <w:bCs/>
          <w:kern w:val="2"/>
          <w:sz w:val="22"/>
          <w:szCs w:val="22"/>
          <w:lang w:eastAsia="sr-Latn-ME"/>
        </w:rPr>
        <w:t xml:space="preserve">Pristupni brojevi za ITS, LSU i TEF1a sekvence mikroorganizama </w:t>
      </w:r>
      <w:r>
        <w:rPr>
          <w:rFonts w:ascii="Book Antiqua" w:hAnsi="Book Antiqua" w:cs="Times New Roman"/>
          <w:bCs/>
          <w:i/>
          <w:iCs/>
          <w:kern w:val="2"/>
          <w:sz w:val="22"/>
          <w:szCs w:val="22"/>
          <w:lang w:eastAsia="sr-Latn-ME"/>
        </w:rPr>
        <w:t xml:space="preserve">F. mediterranea </w:t>
      </w:r>
      <w:r>
        <w:rPr>
          <w:rFonts w:ascii="Book Antiqua" w:hAnsi="Book Antiqua" w:cs="Times New Roman"/>
          <w:bCs/>
          <w:kern w:val="2"/>
          <w:sz w:val="22"/>
          <w:szCs w:val="22"/>
          <w:lang w:eastAsia="sr-Latn-ME"/>
        </w:rPr>
        <w:t>preuzete iz GenBank kao i za sekvence dobijene u ovom istraživanju. Boldirani NCBI brojevi sekvenci korišćenih u filogenetskim analizama</w:t>
      </w:r>
    </w:p>
    <w:tbl>
      <w:tblPr>
        <w:tblW w:w="8910" w:type="dxa"/>
        <w:tblLayout w:type="fixed"/>
        <w:tblLook w:val="04A0" w:firstRow="1" w:lastRow="0" w:firstColumn="1" w:lastColumn="0" w:noHBand="0" w:noVBand="1"/>
      </w:tblPr>
      <w:tblGrid>
        <w:gridCol w:w="1170"/>
        <w:gridCol w:w="810"/>
        <w:gridCol w:w="990"/>
        <w:gridCol w:w="1260"/>
        <w:gridCol w:w="810"/>
        <w:gridCol w:w="1170"/>
        <w:gridCol w:w="810"/>
        <w:gridCol w:w="990"/>
        <w:gridCol w:w="900"/>
      </w:tblGrid>
      <w:tr w:rsidR="003801E8" w14:paraId="7306EDD7" w14:textId="77777777">
        <w:trPr>
          <w:trHeight w:val="576"/>
        </w:trPr>
        <w:tc>
          <w:tcPr>
            <w:tcW w:w="1170" w:type="dxa"/>
            <w:tcBorders>
              <w:top w:val="single" w:sz="4" w:space="0" w:color="auto"/>
            </w:tcBorders>
            <w:vAlign w:val="center"/>
          </w:tcPr>
          <w:p w14:paraId="1FCB0BEF"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hAnsi="Book Antiqua" w:cs="Calibri"/>
                <w:b/>
                <w:bCs/>
                <w:color w:val="000000"/>
                <w:sz w:val="18"/>
                <w:szCs w:val="18"/>
              </w:rPr>
              <w:t xml:space="preserve">Organizam </w:t>
            </w:r>
          </w:p>
        </w:tc>
        <w:tc>
          <w:tcPr>
            <w:tcW w:w="810" w:type="dxa"/>
            <w:tcBorders>
              <w:top w:val="single" w:sz="4" w:space="0" w:color="auto"/>
              <w:left w:val="nil"/>
            </w:tcBorders>
            <w:vAlign w:val="center"/>
          </w:tcPr>
          <w:p w14:paraId="4B95A63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cs="Calibri"/>
                <w:b/>
                <w:bCs/>
                <w:color w:val="000000"/>
                <w:sz w:val="18"/>
                <w:szCs w:val="18"/>
              </w:rPr>
              <w:t>Izolat</w:t>
            </w:r>
          </w:p>
        </w:tc>
        <w:tc>
          <w:tcPr>
            <w:tcW w:w="990" w:type="dxa"/>
            <w:tcBorders>
              <w:top w:val="single" w:sz="4" w:space="0" w:color="auto"/>
            </w:tcBorders>
            <w:vAlign w:val="center"/>
          </w:tcPr>
          <w:p w14:paraId="4716766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cs="Calibri"/>
                <w:b/>
                <w:bCs/>
                <w:color w:val="000000"/>
                <w:sz w:val="18"/>
                <w:szCs w:val="18"/>
              </w:rPr>
              <w:t xml:space="preserve">Zemlja porijekla </w:t>
            </w:r>
          </w:p>
        </w:tc>
        <w:tc>
          <w:tcPr>
            <w:tcW w:w="1260" w:type="dxa"/>
            <w:tcBorders>
              <w:top w:val="single" w:sz="4" w:space="0" w:color="auto"/>
              <w:left w:val="nil"/>
            </w:tcBorders>
            <w:vAlign w:val="center"/>
          </w:tcPr>
          <w:p w14:paraId="43C83E61"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hAnsi="Book Antiqua" w:cs="Calibri"/>
                <w:b/>
                <w:bCs/>
                <w:color w:val="000000"/>
                <w:sz w:val="18"/>
                <w:szCs w:val="18"/>
              </w:rPr>
              <w:t>Biljna vrsta (domaćin)</w:t>
            </w:r>
          </w:p>
        </w:tc>
        <w:tc>
          <w:tcPr>
            <w:tcW w:w="810" w:type="dxa"/>
            <w:tcBorders>
              <w:top w:val="single" w:sz="4" w:space="0" w:color="auto"/>
            </w:tcBorders>
            <w:noWrap/>
            <w:vAlign w:val="center"/>
          </w:tcPr>
          <w:p w14:paraId="740DF29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cs="Calibri"/>
                <w:b/>
                <w:bCs/>
                <w:color w:val="000000"/>
                <w:sz w:val="18"/>
                <w:szCs w:val="18"/>
              </w:rPr>
              <w:t>Godina</w:t>
            </w:r>
          </w:p>
        </w:tc>
        <w:tc>
          <w:tcPr>
            <w:tcW w:w="1170" w:type="dxa"/>
            <w:tcBorders>
              <w:top w:val="single" w:sz="4" w:space="0" w:color="auto"/>
              <w:left w:val="nil"/>
            </w:tcBorders>
            <w:noWrap/>
            <w:vAlign w:val="center"/>
          </w:tcPr>
          <w:p w14:paraId="5620858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cs="Calibri"/>
                <w:b/>
                <w:bCs/>
                <w:color w:val="000000"/>
                <w:sz w:val="18"/>
                <w:szCs w:val="18"/>
              </w:rPr>
              <w:t>Autor (NCBI)</w:t>
            </w:r>
          </w:p>
        </w:tc>
        <w:tc>
          <w:tcPr>
            <w:tcW w:w="810" w:type="dxa"/>
            <w:tcBorders>
              <w:top w:val="single" w:sz="4" w:space="0" w:color="auto"/>
            </w:tcBorders>
            <w:vAlign w:val="center"/>
          </w:tcPr>
          <w:p w14:paraId="38AED9C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hAnsi="Book Antiqua" w:cs="Calibri"/>
                <w:b/>
                <w:bCs/>
                <w:color w:val="000000"/>
                <w:sz w:val="18"/>
                <w:szCs w:val="18"/>
              </w:rPr>
              <w:t>NCBI br. (ITS)</w:t>
            </w:r>
          </w:p>
        </w:tc>
        <w:tc>
          <w:tcPr>
            <w:tcW w:w="990" w:type="dxa"/>
            <w:tcBorders>
              <w:top w:val="single" w:sz="4" w:space="0" w:color="auto"/>
              <w:left w:val="nil"/>
            </w:tcBorders>
            <w:vAlign w:val="center"/>
          </w:tcPr>
          <w:p w14:paraId="26E5129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hAnsi="Book Antiqua" w:cs="Calibri"/>
                <w:b/>
                <w:bCs/>
                <w:color w:val="000000"/>
                <w:sz w:val="18"/>
                <w:szCs w:val="18"/>
              </w:rPr>
              <w:t>NCBI br. (TEF1a)</w:t>
            </w:r>
          </w:p>
        </w:tc>
        <w:tc>
          <w:tcPr>
            <w:tcW w:w="900" w:type="dxa"/>
            <w:tcBorders>
              <w:top w:val="single" w:sz="4" w:space="0" w:color="auto"/>
            </w:tcBorders>
            <w:vAlign w:val="center"/>
          </w:tcPr>
          <w:p w14:paraId="3D07E5C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cs="Calibri"/>
                <w:b/>
                <w:bCs/>
                <w:color w:val="000000"/>
                <w:sz w:val="18"/>
                <w:szCs w:val="18"/>
              </w:rPr>
              <w:t>NCBI br. (LSU)</w:t>
            </w:r>
          </w:p>
        </w:tc>
      </w:tr>
      <w:tr w:rsidR="003801E8" w14:paraId="2CC71F07" w14:textId="77777777">
        <w:trPr>
          <w:trHeight w:val="576"/>
        </w:trPr>
        <w:tc>
          <w:tcPr>
            <w:tcW w:w="1170" w:type="dxa"/>
            <w:tcBorders>
              <w:top w:val="single" w:sz="4" w:space="0" w:color="auto"/>
            </w:tcBorders>
            <w:vAlign w:val="bottom"/>
          </w:tcPr>
          <w:p w14:paraId="6BDF362E"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F. mediterranea</w:t>
            </w:r>
          </w:p>
        </w:tc>
        <w:tc>
          <w:tcPr>
            <w:tcW w:w="810" w:type="dxa"/>
            <w:tcBorders>
              <w:top w:val="single" w:sz="4" w:space="0" w:color="auto"/>
              <w:left w:val="nil"/>
            </w:tcBorders>
            <w:vAlign w:val="bottom"/>
          </w:tcPr>
          <w:p w14:paraId="6D2E844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MnNudo 1</w:t>
            </w:r>
          </w:p>
        </w:tc>
        <w:tc>
          <w:tcPr>
            <w:tcW w:w="990" w:type="dxa"/>
            <w:tcBorders>
              <w:top w:val="single" w:sz="4" w:space="0" w:color="auto"/>
            </w:tcBorders>
            <w:vAlign w:val="bottom"/>
          </w:tcPr>
          <w:p w14:paraId="2C94DA6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Crna Gora</w:t>
            </w:r>
          </w:p>
        </w:tc>
        <w:tc>
          <w:tcPr>
            <w:tcW w:w="1260" w:type="dxa"/>
            <w:tcBorders>
              <w:top w:val="single" w:sz="4" w:space="0" w:color="auto"/>
              <w:left w:val="nil"/>
            </w:tcBorders>
            <w:vAlign w:val="bottom"/>
          </w:tcPr>
          <w:p w14:paraId="658C6A93"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810" w:type="dxa"/>
            <w:tcBorders>
              <w:top w:val="single" w:sz="4" w:space="0" w:color="auto"/>
            </w:tcBorders>
            <w:noWrap/>
            <w:vAlign w:val="bottom"/>
          </w:tcPr>
          <w:p w14:paraId="56E1879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2022</w:t>
            </w:r>
          </w:p>
        </w:tc>
        <w:tc>
          <w:tcPr>
            <w:tcW w:w="1170" w:type="dxa"/>
            <w:tcBorders>
              <w:top w:val="single" w:sz="4" w:space="0" w:color="auto"/>
              <w:left w:val="nil"/>
            </w:tcBorders>
            <w:noWrap/>
            <w:vAlign w:val="bottom"/>
          </w:tcPr>
          <w:p w14:paraId="251B347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Kandić</w:t>
            </w:r>
          </w:p>
        </w:tc>
        <w:tc>
          <w:tcPr>
            <w:tcW w:w="810" w:type="dxa"/>
            <w:tcBorders>
              <w:top w:val="single" w:sz="4" w:space="0" w:color="auto"/>
            </w:tcBorders>
            <w:vAlign w:val="bottom"/>
          </w:tcPr>
          <w:p w14:paraId="1FB8DB8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PQ169338</w:t>
            </w:r>
          </w:p>
        </w:tc>
        <w:tc>
          <w:tcPr>
            <w:tcW w:w="990" w:type="dxa"/>
            <w:tcBorders>
              <w:top w:val="single" w:sz="4" w:space="0" w:color="auto"/>
              <w:left w:val="nil"/>
            </w:tcBorders>
            <w:vAlign w:val="bottom"/>
          </w:tcPr>
          <w:p w14:paraId="11CA8E2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PX673847</w:t>
            </w:r>
          </w:p>
        </w:tc>
        <w:tc>
          <w:tcPr>
            <w:tcW w:w="900" w:type="dxa"/>
            <w:tcBorders>
              <w:top w:val="single" w:sz="4" w:space="0" w:color="auto"/>
            </w:tcBorders>
            <w:vAlign w:val="bottom"/>
          </w:tcPr>
          <w:p w14:paraId="22BC4C4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PX668548</w:t>
            </w:r>
          </w:p>
        </w:tc>
      </w:tr>
      <w:tr w:rsidR="003801E8" w14:paraId="0F5249A7" w14:textId="77777777">
        <w:trPr>
          <w:trHeight w:val="576"/>
        </w:trPr>
        <w:tc>
          <w:tcPr>
            <w:tcW w:w="1170" w:type="dxa"/>
            <w:vAlign w:val="bottom"/>
          </w:tcPr>
          <w:p w14:paraId="6DFE2436"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F. mediterranea</w:t>
            </w:r>
          </w:p>
        </w:tc>
        <w:tc>
          <w:tcPr>
            <w:tcW w:w="810" w:type="dxa"/>
            <w:tcBorders>
              <w:left w:val="nil"/>
            </w:tcBorders>
            <w:vAlign w:val="bottom"/>
          </w:tcPr>
          <w:p w14:paraId="49C00F3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MnNudo 2</w:t>
            </w:r>
          </w:p>
        </w:tc>
        <w:tc>
          <w:tcPr>
            <w:tcW w:w="990" w:type="dxa"/>
            <w:vAlign w:val="bottom"/>
          </w:tcPr>
          <w:p w14:paraId="6813DA7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Crna Gora</w:t>
            </w:r>
          </w:p>
        </w:tc>
        <w:tc>
          <w:tcPr>
            <w:tcW w:w="1260" w:type="dxa"/>
            <w:tcBorders>
              <w:left w:val="nil"/>
            </w:tcBorders>
            <w:vAlign w:val="bottom"/>
          </w:tcPr>
          <w:p w14:paraId="5CAFDC64"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810" w:type="dxa"/>
            <w:noWrap/>
            <w:vAlign w:val="bottom"/>
          </w:tcPr>
          <w:p w14:paraId="61A6E32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2022</w:t>
            </w:r>
          </w:p>
        </w:tc>
        <w:tc>
          <w:tcPr>
            <w:tcW w:w="1170" w:type="dxa"/>
            <w:tcBorders>
              <w:left w:val="nil"/>
            </w:tcBorders>
            <w:noWrap/>
            <w:vAlign w:val="bottom"/>
          </w:tcPr>
          <w:p w14:paraId="5A64846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Kandić</w:t>
            </w:r>
          </w:p>
        </w:tc>
        <w:tc>
          <w:tcPr>
            <w:tcW w:w="810" w:type="dxa"/>
            <w:vAlign w:val="bottom"/>
          </w:tcPr>
          <w:p w14:paraId="5D37BF8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PQ169339</w:t>
            </w:r>
          </w:p>
        </w:tc>
        <w:tc>
          <w:tcPr>
            <w:tcW w:w="990" w:type="dxa"/>
            <w:tcBorders>
              <w:left w:val="nil"/>
            </w:tcBorders>
            <w:vAlign w:val="bottom"/>
          </w:tcPr>
          <w:p w14:paraId="3EBB77A8" w14:textId="77777777" w:rsidR="003801E8" w:rsidRDefault="00E44AAE">
            <w:pPr>
              <w:spacing w:after="0" w:line="240" w:lineRule="auto"/>
              <w:jc w:val="center"/>
              <w:rPr>
                <w:rFonts w:ascii="Book Antiqua" w:eastAsia="Times New Roman" w:hAnsi="Book Antiqua" w:cs="Calibri"/>
                <w:b/>
                <w:bCs/>
                <w:color w:val="000000"/>
                <w:sz w:val="18"/>
                <w:szCs w:val="18"/>
                <w:highlight w:val="yellow"/>
                <w:lang w:val="en-US"/>
              </w:rPr>
            </w:pPr>
            <w:r>
              <w:rPr>
                <w:rFonts w:ascii="Book Antiqua" w:eastAsia="Times New Roman" w:hAnsi="Book Antiqua" w:cs="Calibri"/>
                <w:b/>
                <w:bCs/>
                <w:color w:val="000000"/>
                <w:sz w:val="18"/>
                <w:szCs w:val="18"/>
                <w:lang w:val="en-US"/>
              </w:rPr>
              <w:t>PX779387</w:t>
            </w:r>
          </w:p>
        </w:tc>
        <w:tc>
          <w:tcPr>
            <w:tcW w:w="900" w:type="dxa"/>
            <w:vAlign w:val="bottom"/>
          </w:tcPr>
          <w:p w14:paraId="38EA4B2A" w14:textId="77777777" w:rsidR="003801E8" w:rsidRDefault="00E44AAE">
            <w:pPr>
              <w:spacing w:after="0" w:line="240" w:lineRule="auto"/>
              <w:jc w:val="center"/>
              <w:rPr>
                <w:rFonts w:ascii="Book Antiqua" w:eastAsia="Times New Roman" w:hAnsi="Book Antiqua" w:cs="Calibri"/>
                <w:color w:val="000000"/>
                <w:sz w:val="18"/>
                <w:szCs w:val="18"/>
                <w:highlight w:val="yellow"/>
                <w:lang w:val="en-US"/>
              </w:rPr>
            </w:pPr>
            <w:r>
              <w:rPr>
                <w:rFonts w:ascii="Book Antiqua" w:eastAsia="Times New Roman" w:hAnsi="Book Antiqua" w:cs="Calibri"/>
                <w:color w:val="000000"/>
                <w:sz w:val="18"/>
                <w:szCs w:val="18"/>
                <w:lang w:val="en-US"/>
              </w:rPr>
              <w:t>PX699951</w:t>
            </w:r>
          </w:p>
        </w:tc>
      </w:tr>
      <w:tr w:rsidR="003801E8" w14:paraId="1A7C58ED" w14:textId="77777777">
        <w:trPr>
          <w:trHeight w:val="576"/>
        </w:trPr>
        <w:tc>
          <w:tcPr>
            <w:tcW w:w="1170" w:type="dxa"/>
            <w:vAlign w:val="bottom"/>
          </w:tcPr>
          <w:p w14:paraId="62E03267"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F. mediterranea</w:t>
            </w:r>
          </w:p>
        </w:tc>
        <w:tc>
          <w:tcPr>
            <w:tcW w:w="810" w:type="dxa"/>
            <w:tcBorders>
              <w:left w:val="nil"/>
            </w:tcBorders>
            <w:vAlign w:val="bottom"/>
          </w:tcPr>
          <w:p w14:paraId="4DFA961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MN011</w:t>
            </w:r>
          </w:p>
        </w:tc>
        <w:tc>
          <w:tcPr>
            <w:tcW w:w="990" w:type="dxa"/>
            <w:vAlign w:val="bottom"/>
          </w:tcPr>
          <w:p w14:paraId="215D208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Crna Gora</w:t>
            </w:r>
          </w:p>
        </w:tc>
        <w:tc>
          <w:tcPr>
            <w:tcW w:w="1260" w:type="dxa"/>
            <w:tcBorders>
              <w:left w:val="nil"/>
            </w:tcBorders>
            <w:vAlign w:val="bottom"/>
          </w:tcPr>
          <w:p w14:paraId="0CB51CDB"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810" w:type="dxa"/>
            <w:noWrap/>
            <w:vAlign w:val="bottom"/>
          </w:tcPr>
          <w:p w14:paraId="1B20BA2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2023</w:t>
            </w:r>
          </w:p>
        </w:tc>
        <w:tc>
          <w:tcPr>
            <w:tcW w:w="1170" w:type="dxa"/>
            <w:tcBorders>
              <w:left w:val="nil"/>
            </w:tcBorders>
            <w:noWrap/>
            <w:vAlign w:val="bottom"/>
          </w:tcPr>
          <w:p w14:paraId="5193282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Kandić</w:t>
            </w:r>
          </w:p>
        </w:tc>
        <w:tc>
          <w:tcPr>
            <w:tcW w:w="810" w:type="dxa"/>
            <w:vAlign w:val="bottom"/>
          </w:tcPr>
          <w:p w14:paraId="1578A89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PQ191312</w:t>
            </w:r>
          </w:p>
        </w:tc>
        <w:tc>
          <w:tcPr>
            <w:tcW w:w="990" w:type="dxa"/>
            <w:tcBorders>
              <w:left w:val="nil"/>
            </w:tcBorders>
            <w:vAlign w:val="bottom"/>
          </w:tcPr>
          <w:p w14:paraId="50E8F18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PX673846</w:t>
            </w:r>
          </w:p>
        </w:tc>
        <w:tc>
          <w:tcPr>
            <w:tcW w:w="900" w:type="dxa"/>
            <w:vAlign w:val="bottom"/>
          </w:tcPr>
          <w:p w14:paraId="1386191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PX668545</w:t>
            </w:r>
          </w:p>
        </w:tc>
      </w:tr>
      <w:tr w:rsidR="003801E8" w14:paraId="1C9359AF" w14:textId="77777777">
        <w:trPr>
          <w:trHeight w:val="576"/>
        </w:trPr>
        <w:tc>
          <w:tcPr>
            <w:tcW w:w="1170" w:type="dxa"/>
            <w:vAlign w:val="bottom"/>
          </w:tcPr>
          <w:p w14:paraId="2F6C34F8"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F. mediterranea</w:t>
            </w:r>
          </w:p>
        </w:tc>
        <w:tc>
          <w:tcPr>
            <w:tcW w:w="810" w:type="dxa"/>
            <w:tcBorders>
              <w:left w:val="nil"/>
            </w:tcBorders>
            <w:vAlign w:val="bottom"/>
          </w:tcPr>
          <w:p w14:paraId="6538E2C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MN008</w:t>
            </w:r>
          </w:p>
        </w:tc>
        <w:tc>
          <w:tcPr>
            <w:tcW w:w="990" w:type="dxa"/>
            <w:vAlign w:val="bottom"/>
          </w:tcPr>
          <w:p w14:paraId="5260366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Crna Gora</w:t>
            </w:r>
          </w:p>
        </w:tc>
        <w:tc>
          <w:tcPr>
            <w:tcW w:w="1260" w:type="dxa"/>
            <w:tcBorders>
              <w:left w:val="nil"/>
            </w:tcBorders>
            <w:vAlign w:val="bottom"/>
          </w:tcPr>
          <w:p w14:paraId="50149012"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810" w:type="dxa"/>
            <w:noWrap/>
            <w:vAlign w:val="bottom"/>
          </w:tcPr>
          <w:p w14:paraId="3FE7DD4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2023</w:t>
            </w:r>
          </w:p>
        </w:tc>
        <w:tc>
          <w:tcPr>
            <w:tcW w:w="1170" w:type="dxa"/>
            <w:tcBorders>
              <w:left w:val="nil"/>
            </w:tcBorders>
            <w:noWrap/>
            <w:vAlign w:val="bottom"/>
          </w:tcPr>
          <w:p w14:paraId="3D20C55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Kandić</w:t>
            </w:r>
          </w:p>
        </w:tc>
        <w:tc>
          <w:tcPr>
            <w:tcW w:w="810" w:type="dxa"/>
            <w:vAlign w:val="bottom"/>
          </w:tcPr>
          <w:p w14:paraId="2D4028B9"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PQ200513</w:t>
            </w:r>
          </w:p>
        </w:tc>
        <w:tc>
          <w:tcPr>
            <w:tcW w:w="990" w:type="dxa"/>
            <w:tcBorders>
              <w:left w:val="nil"/>
            </w:tcBorders>
            <w:vAlign w:val="bottom"/>
          </w:tcPr>
          <w:p w14:paraId="116713E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PX694436</w:t>
            </w:r>
          </w:p>
        </w:tc>
        <w:tc>
          <w:tcPr>
            <w:tcW w:w="900" w:type="dxa"/>
            <w:vAlign w:val="bottom"/>
          </w:tcPr>
          <w:p w14:paraId="3A74595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PX668546</w:t>
            </w:r>
          </w:p>
        </w:tc>
      </w:tr>
      <w:tr w:rsidR="003801E8" w14:paraId="0962006A" w14:textId="77777777">
        <w:trPr>
          <w:trHeight w:val="576"/>
        </w:trPr>
        <w:tc>
          <w:tcPr>
            <w:tcW w:w="1170" w:type="dxa"/>
            <w:vAlign w:val="bottom"/>
          </w:tcPr>
          <w:p w14:paraId="5BE45F92"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F. mediterranea</w:t>
            </w:r>
          </w:p>
        </w:tc>
        <w:tc>
          <w:tcPr>
            <w:tcW w:w="810" w:type="dxa"/>
            <w:tcBorders>
              <w:left w:val="nil"/>
            </w:tcBorders>
            <w:vAlign w:val="bottom"/>
          </w:tcPr>
          <w:p w14:paraId="63334B7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Fmed2395</w:t>
            </w:r>
          </w:p>
        </w:tc>
        <w:tc>
          <w:tcPr>
            <w:tcW w:w="990" w:type="dxa"/>
            <w:vAlign w:val="bottom"/>
          </w:tcPr>
          <w:p w14:paraId="41E1FB0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Austrija</w:t>
            </w:r>
          </w:p>
        </w:tc>
        <w:tc>
          <w:tcPr>
            <w:tcW w:w="1260" w:type="dxa"/>
            <w:tcBorders>
              <w:left w:val="nil"/>
            </w:tcBorders>
            <w:vAlign w:val="bottom"/>
          </w:tcPr>
          <w:p w14:paraId="15671DBF"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810" w:type="dxa"/>
            <w:noWrap/>
            <w:vAlign w:val="bottom"/>
          </w:tcPr>
          <w:p w14:paraId="2FECEDB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2023</w:t>
            </w:r>
          </w:p>
        </w:tc>
        <w:tc>
          <w:tcPr>
            <w:tcW w:w="1170" w:type="dxa"/>
            <w:tcBorders>
              <w:left w:val="nil"/>
            </w:tcBorders>
            <w:noWrap/>
            <w:vAlign w:val="bottom"/>
          </w:tcPr>
          <w:p w14:paraId="2F67A02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Riedle-Bauer</w:t>
            </w:r>
          </w:p>
        </w:tc>
        <w:tc>
          <w:tcPr>
            <w:tcW w:w="810" w:type="dxa"/>
            <w:vAlign w:val="bottom"/>
          </w:tcPr>
          <w:p w14:paraId="3578C85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OQ534545</w:t>
            </w:r>
          </w:p>
        </w:tc>
        <w:tc>
          <w:tcPr>
            <w:tcW w:w="990" w:type="dxa"/>
            <w:tcBorders>
              <w:left w:val="nil"/>
            </w:tcBorders>
            <w:vAlign w:val="bottom"/>
          </w:tcPr>
          <w:p w14:paraId="75ABBF2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OQ541847</w:t>
            </w:r>
          </w:p>
        </w:tc>
        <w:tc>
          <w:tcPr>
            <w:tcW w:w="900" w:type="dxa"/>
            <w:vAlign w:val="bottom"/>
          </w:tcPr>
          <w:p w14:paraId="58D1F2F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2FB44D0C" w14:textId="77777777">
        <w:trPr>
          <w:trHeight w:val="576"/>
        </w:trPr>
        <w:tc>
          <w:tcPr>
            <w:tcW w:w="1170" w:type="dxa"/>
            <w:vAlign w:val="bottom"/>
          </w:tcPr>
          <w:p w14:paraId="0FB69576"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F. mediterranea</w:t>
            </w:r>
          </w:p>
        </w:tc>
        <w:tc>
          <w:tcPr>
            <w:tcW w:w="810" w:type="dxa"/>
            <w:tcBorders>
              <w:left w:val="nil"/>
            </w:tcBorders>
            <w:vAlign w:val="bottom"/>
          </w:tcPr>
          <w:p w14:paraId="6A90971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AFTOL-ID 688</w:t>
            </w:r>
          </w:p>
        </w:tc>
        <w:tc>
          <w:tcPr>
            <w:tcW w:w="990" w:type="dxa"/>
            <w:vAlign w:val="bottom"/>
          </w:tcPr>
          <w:p w14:paraId="4802768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SAD</w:t>
            </w:r>
          </w:p>
        </w:tc>
        <w:tc>
          <w:tcPr>
            <w:tcW w:w="1260" w:type="dxa"/>
            <w:tcBorders>
              <w:left w:val="nil"/>
            </w:tcBorders>
            <w:vAlign w:val="bottom"/>
          </w:tcPr>
          <w:p w14:paraId="2188D81B"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810" w:type="dxa"/>
            <w:noWrap/>
            <w:vAlign w:val="bottom"/>
          </w:tcPr>
          <w:p w14:paraId="19D741D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2005</w:t>
            </w:r>
          </w:p>
        </w:tc>
        <w:tc>
          <w:tcPr>
            <w:tcW w:w="1170" w:type="dxa"/>
            <w:tcBorders>
              <w:left w:val="nil"/>
            </w:tcBorders>
            <w:noWrap/>
            <w:vAlign w:val="bottom"/>
          </w:tcPr>
          <w:p w14:paraId="72060AF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Binder</w:t>
            </w:r>
          </w:p>
        </w:tc>
        <w:tc>
          <w:tcPr>
            <w:tcW w:w="810" w:type="dxa"/>
            <w:vAlign w:val="bottom"/>
          </w:tcPr>
          <w:p w14:paraId="6CDF2CC5"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AY854080</w:t>
            </w:r>
          </w:p>
        </w:tc>
        <w:tc>
          <w:tcPr>
            <w:tcW w:w="990" w:type="dxa"/>
            <w:tcBorders>
              <w:left w:val="nil"/>
            </w:tcBorders>
            <w:vAlign w:val="bottom"/>
          </w:tcPr>
          <w:p w14:paraId="48C584C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AY885149</w:t>
            </w:r>
          </w:p>
        </w:tc>
        <w:tc>
          <w:tcPr>
            <w:tcW w:w="900" w:type="dxa"/>
            <w:vAlign w:val="bottom"/>
          </w:tcPr>
          <w:p w14:paraId="5C832F2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43DF1B91" w14:textId="77777777">
        <w:trPr>
          <w:trHeight w:val="576"/>
        </w:trPr>
        <w:tc>
          <w:tcPr>
            <w:tcW w:w="1170" w:type="dxa"/>
            <w:vAlign w:val="bottom"/>
          </w:tcPr>
          <w:p w14:paraId="32FC9E73"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F. mediterranea</w:t>
            </w:r>
          </w:p>
        </w:tc>
        <w:tc>
          <w:tcPr>
            <w:tcW w:w="810" w:type="dxa"/>
            <w:tcBorders>
              <w:left w:val="nil"/>
            </w:tcBorders>
            <w:vAlign w:val="bottom"/>
          </w:tcPr>
          <w:p w14:paraId="20577A7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MUCL 38514</w:t>
            </w:r>
          </w:p>
        </w:tc>
        <w:tc>
          <w:tcPr>
            <w:tcW w:w="990" w:type="dxa"/>
            <w:vAlign w:val="bottom"/>
          </w:tcPr>
          <w:p w14:paraId="5703100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Belgija</w:t>
            </w:r>
          </w:p>
        </w:tc>
        <w:tc>
          <w:tcPr>
            <w:tcW w:w="1260" w:type="dxa"/>
            <w:tcBorders>
              <w:left w:val="nil"/>
            </w:tcBorders>
            <w:vAlign w:val="bottom"/>
          </w:tcPr>
          <w:p w14:paraId="2B8A0D92"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810" w:type="dxa"/>
            <w:noWrap/>
            <w:vAlign w:val="bottom"/>
          </w:tcPr>
          <w:p w14:paraId="6A3762A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2010</w:t>
            </w:r>
          </w:p>
        </w:tc>
        <w:tc>
          <w:tcPr>
            <w:tcW w:w="1170" w:type="dxa"/>
            <w:tcBorders>
              <w:left w:val="nil"/>
            </w:tcBorders>
            <w:noWrap/>
            <w:vAlign w:val="bottom"/>
          </w:tcPr>
          <w:p w14:paraId="69D02E2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Amalfi </w:t>
            </w:r>
          </w:p>
        </w:tc>
        <w:tc>
          <w:tcPr>
            <w:tcW w:w="810" w:type="dxa"/>
            <w:vAlign w:val="bottom"/>
          </w:tcPr>
          <w:p w14:paraId="728782A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GU461953</w:t>
            </w:r>
          </w:p>
        </w:tc>
        <w:tc>
          <w:tcPr>
            <w:tcW w:w="990" w:type="dxa"/>
            <w:tcBorders>
              <w:left w:val="nil"/>
            </w:tcBorders>
            <w:vAlign w:val="bottom"/>
          </w:tcPr>
          <w:p w14:paraId="53AD385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GU461912</w:t>
            </w:r>
          </w:p>
        </w:tc>
        <w:tc>
          <w:tcPr>
            <w:tcW w:w="900" w:type="dxa"/>
            <w:vAlign w:val="bottom"/>
          </w:tcPr>
          <w:p w14:paraId="3757F1A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7EF1446C" w14:textId="77777777">
        <w:trPr>
          <w:trHeight w:val="576"/>
        </w:trPr>
        <w:tc>
          <w:tcPr>
            <w:tcW w:w="1170" w:type="dxa"/>
            <w:vAlign w:val="bottom"/>
          </w:tcPr>
          <w:p w14:paraId="61315979"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F. punctata</w:t>
            </w:r>
          </w:p>
        </w:tc>
        <w:tc>
          <w:tcPr>
            <w:tcW w:w="810" w:type="dxa"/>
            <w:tcBorders>
              <w:left w:val="nil"/>
            </w:tcBorders>
            <w:vAlign w:val="bottom"/>
          </w:tcPr>
          <w:p w14:paraId="3D4261F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MUCL34101</w:t>
            </w:r>
          </w:p>
        </w:tc>
        <w:tc>
          <w:tcPr>
            <w:tcW w:w="990" w:type="dxa"/>
            <w:vAlign w:val="bottom"/>
          </w:tcPr>
          <w:p w14:paraId="36B4B62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Njemačka</w:t>
            </w:r>
          </w:p>
        </w:tc>
        <w:tc>
          <w:tcPr>
            <w:tcW w:w="1260" w:type="dxa"/>
            <w:tcBorders>
              <w:left w:val="nil"/>
            </w:tcBorders>
            <w:vAlign w:val="bottom"/>
          </w:tcPr>
          <w:p w14:paraId="4DBD520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Nepoznatno</w:t>
            </w:r>
          </w:p>
        </w:tc>
        <w:tc>
          <w:tcPr>
            <w:tcW w:w="810" w:type="dxa"/>
            <w:noWrap/>
            <w:vAlign w:val="bottom"/>
          </w:tcPr>
          <w:p w14:paraId="72FFEE0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2010</w:t>
            </w:r>
          </w:p>
        </w:tc>
        <w:tc>
          <w:tcPr>
            <w:tcW w:w="1170" w:type="dxa"/>
            <w:tcBorders>
              <w:left w:val="nil"/>
            </w:tcBorders>
            <w:noWrap/>
            <w:vAlign w:val="bottom"/>
          </w:tcPr>
          <w:p w14:paraId="5F5B00B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Amalfi</w:t>
            </w:r>
          </w:p>
        </w:tc>
        <w:tc>
          <w:tcPr>
            <w:tcW w:w="810" w:type="dxa"/>
            <w:vAlign w:val="bottom"/>
          </w:tcPr>
          <w:p w14:paraId="41386B7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GU461947</w:t>
            </w:r>
          </w:p>
        </w:tc>
        <w:tc>
          <w:tcPr>
            <w:tcW w:w="990" w:type="dxa"/>
            <w:tcBorders>
              <w:left w:val="nil"/>
            </w:tcBorders>
            <w:vAlign w:val="bottom"/>
          </w:tcPr>
          <w:p w14:paraId="2C7E8F8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GU461917</w:t>
            </w:r>
          </w:p>
        </w:tc>
        <w:tc>
          <w:tcPr>
            <w:tcW w:w="900" w:type="dxa"/>
            <w:vAlign w:val="bottom"/>
          </w:tcPr>
          <w:p w14:paraId="0E55718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213C126A" w14:textId="77777777">
        <w:trPr>
          <w:trHeight w:val="576"/>
        </w:trPr>
        <w:tc>
          <w:tcPr>
            <w:tcW w:w="1170" w:type="dxa"/>
            <w:vAlign w:val="bottom"/>
          </w:tcPr>
          <w:p w14:paraId="08DAD128"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F. punctata</w:t>
            </w:r>
          </w:p>
        </w:tc>
        <w:tc>
          <w:tcPr>
            <w:tcW w:w="810" w:type="dxa"/>
            <w:tcBorders>
              <w:left w:val="nil"/>
            </w:tcBorders>
            <w:vAlign w:val="bottom"/>
          </w:tcPr>
          <w:p w14:paraId="4D96B0F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MUCL53548</w:t>
            </w:r>
          </w:p>
        </w:tc>
        <w:tc>
          <w:tcPr>
            <w:tcW w:w="990" w:type="dxa"/>
            <w:vAlign w:val="bottom"/>
          </w:tcPr>
          <w:p w14:paraId="2910C25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Estonija</w:t>
            </w:r>
          </w:p>
        </w:tc>
        <w:tc>
          <w:tcPr>
            <w:tcW w:w="1260" w:type="dxa"/>
            <w:tcBorders>
              <w:left w:val="nil"/>
            </w:tcBorders>
            <w:vAlign w:val="bottom"/>
          </w:tcPr>
          <w:p w14:paraId="02FD253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Nepoznatno</w:t>
            </w:r>
          </w:p>
        </w:tc>
        <w:tc>
          <w:tcPr>
            <w:tcW w:w="810" w:type="dxa"/>
            <w:noWrap/>
            <w:vAlign w:val="bottom"/>
          </w:tcPr>
          <w:p w14:paraId="4489174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2013</w:t>
            </w:r>
          </w:p>
        </w:tc>
        <w:tc>
          <w:tcPr>
            <w:tcW w:w="1170" w:type="dxa"/>
            <w:tcBorders>
              <w:left w:val="nil"/>
            </w:tcBorders>
            <w:noWrap/>
            <w:vAlign w:val="bottom"/>
          </w:tcPr>
          <w:p w14:paraId="5A4FD5E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Amalfi &amp; Decock</w:t>
            </w:r>
          </w:p>
        </w:tc>
        <w:tc>
          <w:tcPr>
            <w:tcW w:w="810" w:type="dxa"/>
            <w:vAlign w:val="bottom"/>
          </w:tcPr>
          <w:p w14:paraId="43CD726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JX093790</w:t>
            </w:r>
          </w:p>
        </w:tc>
        <w:tc>
          <w:tcPr>
            <w:tcW w:w="990" w:type="dxa"/>
            <w:tcBorders>
              <w:left w:val="nil"/>
            </w:tcBorders>
            <w:vAlign w:val="bottom"/>
          </w:tcPr>
          <w:p w14:paraId="3BAACCC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JX093747</w:t>
            </w:r>
          </w:p>
        </w:tc>
        <w:tc>
          <w:tcPr>
            <w:tcW w:w="900" w:type="dxa"/>
            <w:vAlign w:val="bottom"/>
          </w:tcPr>
          <w:p w14:paraId="227FF08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4C804731" w14:textId="77777777">
        <w:trPr>
          <w:trHeight w:val="576"/>
        </w:trPr>
        <w:tc>
          <w:tcPr>
            <w:tcW w:w="1170" w:type="dxa"/>
            <w:vAlign w:val="bottom"/>
          </w:tcPr>
          <w:p w14:paraId="189B2109"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F. mediterranea</w:t>
            </w:r>
          </w:p>
        </w:tc>
        <w:tc>
          <w:tcPr>
            <w:tcW w:w="810" w:type="dxa"/>
            <w:tcBorders>
              <w:left w:val="nil"/>
            </w:tcBorders>
            <w:vAlign w:val="bottom"/>
          </w:tcPr>
          <w:p w14:paraId="124F166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MUCL 45670</w:t>
            </w:r>
          </w:p>
        </w:tc>
        <w:tc>
          <w:tcPr>
            <w:tcW w:w="990" w:type="dxa"/>
            <w:vAlign w:val="bottom"/>
          </w:tcPr>
          <w:p w14:paraId="7F1B803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Italija</w:t>
            </w:r>
          </w:p>
        </w:tc>
        <w:tc>
          <w:tcPr>
            <w:tcW w:w="1260" w:type="dxa"/>
            <w:tcBorders>
              <w:left w:val="nil"/>
            </w:tcBorders>
            <w:vAlign w:val="bottom"/>
          </w:tcPr>
          <w:p w14:paraId="5D121E5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Nepoznatno</w:t>
            </w:r>
          </w:p>
        </w:tc>
        <w:tc>
          <w:tcPr>
            <w:tcW w:w="810" w:type="dxa"/>
            <w:noWrap/>
            <w:vAlign w:val="bottom"/>
          </w:tcPr>
          <w:p w14:paraId="1B2396C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2010</w:t>
            </w:r>
          </w:p>
        </w:tc>
        <w:tc>
          <w:tcPr>
            <w:tcW w:w="1170" w:type="dxa"/>
            <w:tcBorders>
              <w:left w:val="nil"/>
            </w:tcBorders>
            <w:noWrap/>
            <w:vAlign w:val="bottom"/>
          </w:tcPr>
          <w:p w14:paraId="3F5B09B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Amalfi</w:t>
            </w:r>
          </w:p>
        </w:tc>
        <w:tc>
          <w:tcPr>
            <w:tcW w:w="810" w:type="dxa"/>
            <w:vAlign w:val="bottom"/>
          </w:tcPr>
          <w:p w14:paraId="22913DC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GU461954</w:t>
            </w:r>
          </w:p>
        </w:tc>
        <w:tc>
          <w:tcPr>
            <w:tcW w:w="990" w:type="dxa"/>
            <w:tcBorders>
              <w:left w:val="nil"/>
            </w:tcBorders>
            <w:vAlign w:val="bottom"/>
          </w:tcPr>
          <w:p w14:paraId="38FCA66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GU461913</w:t>
            </w:r>
          </w:p>
        </w:tc>
        <w:tc>
          <w:tcPr>
            <w:tcW w:w="900" w:type="dxa"/>
            <w:vAlign w:val="bottom"/>
          </w:tcPr>
          <w:p w14:paraId="4F88C1D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1DAEB3FC" w14:textId="77777777">
        <w:trPr>
          <w:trHeight w:val="576"/>
        </w:trPr>
        <w:tc>
          <w:tcPr>
            <w:tcW w:w="1170" w:type="dxa"/>
            <w:tcBorders>
              <w:bottom w:val="single" w:sz="4" w:space="0" w:color="auto"/>
            </w:tcBorders>
            <w:vAlign w:val="bottom"/>
          </w:tcPr>
          <w:p w14:paraId="7037FB97"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Phellinus igniarius</w:t>
            </w:r>
          </w:p>
        </w:tc>
        <w:tc>
          <w:tcPr>
            <w:tcW w:w="810" w:type="dxa"/>
            <w:tcBorders>
              <w:left w:val="nil"/>
              <w:bottom w:val="single" w:sz="4" w:space="0" w:color="auto"/>
            </w:tcBorders>
            <w:vAlign w:val="bottom"/>
          </w:tcPr>
          <w:p w14:paraId="2EBBB31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Cui 2332</w:t>
            </w:r>
          </w:p>
        </w:tc>
        <w:tc>
          <w:tcPr>
            <w:tcW w:w="990" w:type="dxa"/>
            <w:tcBorders>
              <w:bottom w:val="single" w:sz="4" w:space="0" w:color="auto"/>
            </w:tcBorders>
            <w:vAlign w:val="bottom"/>
          </w:tcPr>
          <w:p w14:paraId="71D1332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Kina</w:t>
            </w:r>
          </w:p>
        </w:tc>
        <w:tc>
          <w:tcPr>
            <w:tcW w:w="1260" w:type="dxa"/>
            <w:tcBorders>
              <w:left w:val="nil"/>
              <w:bottom w:val="single" w:sz="4" w:space="0" w:color="auto"/>
            </w:tcBorders>
            <w:vAlign w:val="bottom"/>
          </w:tcPr>
          <w:p w14:paraId="01A4E7F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Nepoznatno</w:t>
            </w:r>
          </w:p>
        </w:tc>
        <w:tc>
          <w:tcPr>
            <w:tcW w:w="810" w:type="dxa"/>
            <w:tcBorders>
              <w:bottom w:val="single" w:sz="4" w:space="0" w:color="auto"/>
            </w:tcBorders>
            <w:noWrap/>
            <w:vAlign w:val="bottom"/>
          </w:tcPr>
          <w:p w14:paraId="2E63C59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2016</w:t>
            </w:r>
          </w:p>
        </w:tc>
        <w:tc>
          <w:tcPr>
            <w:tcW w:w="1170" w:type="dxa"/>
            <w:tcBorders>
              <w:left w:val="nil"/>
              <w:bottom w:val="single" w:sz="4" w:space="0" w:color="auto"/>
            </w:tcBorders>
            <w:noWrap/>
            <w:vAlign w:val="bottom"/>
          </w:tcPr>
          <w:p w14:paraId="449F5FE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Zhou</w:t>
            </w:r>
          </w:p>
        </w:tc>
        <w:tc>
          <w:tcPr>
            <w:tcW w:w="810" w:type="dxa"/>
            <w:tcBorders>
              <w:bottom w:val="single" w:sz="4" w:space="0" w:color="auto"/>
            </w:tcBorders>
            <w:vAlign w:val="bottom"/>
          </w:tcPr>
          <w:p w14:paraId="312E516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JQ828875</w:t>
            </w:r>
          </w:p>
        </w:tc>
        <w:tc>
          <w:tcPr>
            <w:tcW w:w="990" w:type="dxa"/>
            <w:tcBorders>
              <w:left w:val="nil"/>
              <w:bottom w:val="single" w:sz="4" w:space="0" w:color="auto"/>
            </w:tcBorders>
            <w:vAlign w:val="bottom"/>
          </w:tcPr>
          <w:p w14:paraId="58F4EA8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KR013074</w:t>
            </w:r>
          </w:p>
        </w:tc>
        <w:tc>
          <w:tcPr>
            <w:tcW w:w="900" w:type="dxa"/>
            <w:tcBorders>
              <w:bottom w:val="single" w:sz="4" w:space="0" w:color="auto"/>
            </w:tcBorders>
            <w:vAlign w:val="bottom"/>
          </w:tcPr>
          <w:p w14:paraId="46D6134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bl>
    <w:p w14:paraId="523B8391" w14:textId="77777777" w:rsidR="003801E8" w:rsidRDefault="003801E8">
      <w:pPr>
        <w:spacing w:after="160" w:line="360" w:lineRule="auto"/>
        <w:jc w:val="both"/>
        <w:rPr>
          <w:rFonts w:ascii="Book Antiqua" w:hAnsi="Book Antiqua" w:cs="Times New Roman"/>
          <w:sz w:val="24"/>
          <w:szCs w:val="24"/>
          <w:lang w:val="en-US" w:eastAsia="sr-Latn-ME"/>
        </w:rPr>
      </w:pPr>
    </w:p>
    <w:p w14:paraId="50333448" w14:textId="77777777" w:rsidR="003801E8" w:rsidRDefault="003801E8">
      <w:pPr>
        <w:spacing w:after="160" w:line="360" w:lineRule="auto"/>
        <w:jc w:val="both"/>
        <w:rPr>
          <w:rFonts w:ascii="Book Antiqua" w:hAnsi="Book Antiqua" w:cs="Times New Roman"/>
          <w:b/>
          <w:bCs/>
          <w:sz w:val="24"/>
          <w:szCs w:val="24"/>
        </w:rPr>
      </w:pPr>
    </w:p>
    <w:p w14:paraId="5769897E" w14:textId="77777777" w:rsidR="003801E8" w:rsidRDefault="003801E8">
      <w:pPr>
        <w:spacing w:after="160" w:line="360" w:lineRule="auto"/>
        <w:jc w:val="both"/>
        <w:rPr>
          <w:rFonts w:ascii="Book Antiqua" w:hAnsi="Book Antiqua" w:cs="Times New Roman"/>
          <w:b/>
          <w:bCs/>
          <w:sz w:val="24"/>
          <w:szCs w:val="24"/>
        </w:rPr>
      </w:pPr>
    </w:p>
    <w:p w14:paraId="06CC90BA" w14:textId="77777777" w:rsidR="003801E8" w:rsidRDefault="003801E8">
      <w:pPr>
        <w:spacing w:after="160" w:line="360" w:lineRule="auto"/>
        <w:jc w:val="both"/>
        <w:rPr>
          <w:rFonts w:ascii="Book Antiqua" w:hAnsi="Book Antiqua" w:cs="Times New Roman"/>
          <w:b/>
          <w:bCs/>
          <w:sz w:val="24"/>
          <w:szCs w:val="24"/>
        </w:rPr>
      </w:pPr>
    </w:p>
    <w:p w14:paraId="70D8DCE6" w14:textId="77777777" w:rsidR="003801E8" w:rsidRDefault="003801E8">
      <w:pPr>
        <w:spacing w:after="160" w:line="360" w:lineRule="auto"/>
        <w:jc w:val="both"/>
        <w:rPr>
          <w:rFonts w:ascii="Book Antiqua" w:hAnsi="Book Antiqua" w:cs="Times New Roman"/>
          <w:b/>
          <w:bCs/>
          <w:sz w:val="24"/>
          <w:szCs w:val="24"/>
        </w:rPr>
      </w:pPr>
    </w:p>
    <w:p w14:paraId="4A9F5FA3" w14:textId="77777777" w:rsidR="003801E8" w:rsidRDefault="003801E8">
      <w:pPr>
        <w:spacing w:after="160" w:line="360" w:lineRule="auto"/>
        <w:jc w:val="both"/>
        <w:rPr>
          <w:rFonts w:ascii="Book Antiqua" w:hAnsi="Book Antiqua" w:cs="Times New Roman"/>
          <w:b/>
          <w:bCs/>
          <w:sz w:val="24"/>
          <w:szCs w:val="24"/>
        </w:rPr>
      </w:pPr>
    </w:p>
    <w:p w14:paraId="5F24C242" w14:textId="77777777" w:rsidR="003801E8" w:rsidRDefault="003801E8">
      <w:pPr>
        <w:spacing w:after="160" w:line="360" w:lineRule="auto"/>
        <w:jc w:val="both"/>
        <w:rPr>
          <w:rFonts w:ascii="Book Antiqua" w:hAnsi="Book Antiqua" w:cs="Times New Roman"/>
          <w:b/>
          <w:bCs/>
          <w:sz w:val="24"/>
          <w:szCs w:val="24"/>
        </w:rPr>
      </w:pPr>
    </w:p>
    <w:p w14:paraId="203D5A36" w14:textId="77777777" w:rsidR="003801E8" w:rsidRDefault="00E44AAE">
      <w:pPr>
        <w:spacing w:after="160" w:line="360" w:lineRule="auto"/>
        <w:jc w:val="both"/>
        <w:rPr>
          <w:rFonts w:ascii="Book Antiqua" w:hAnsi="Book Antiqua" w:cs="Times New Roman"/>
          <w:bCs/>
          <w:kern w:val="2"/>
          <w:sz w:val="22"/>
          <w:szCs w:val="22"/>
          <w:lang w:eastAsia="sr-Latn-ME"/>
        </w:rPr>
      </w:pPr>
      <w:r>
        <w:rPr>
          <w:rFonts w:ascii="Book Antiqua" w:hAnsi="Book Antiqua" w:cs="Times New Roman"/>
          <w:b/>
          <w:kern w:val="2"/>
          <w:sz w:val="22"/>
          <w:szCs w:val="22"/>
          <w:lang w:val="en-US" w:eastAsia="sr-Latn-ME"/>
        </w:rPr>
        <w:lastRenderedPageBreak/>
        <w:t>Tabela 9</w:t>
      </w:r>
      <w:r>
        <w:rPr>
          <w:rFonts w:ascii="Book Antiqua" w:hAnsi="Book Antiqua" w:cs="Times New Roman"/>
          <w:bCs/>
          <w:kern w:val="2"/>
          <w:sz w:val="22"/>
          <w:szCs w:val="22"/>
          <w:lang w:val="en-US" w:eastAsia="sr-Latn-ME"/>
        </w:rPr>
        <w:t xml:space="preserve">. </w:t>
      </w:r>
      <w:r>
        <w:rPr>
          <w:rFonts w:ascii="Book Antiqua" w:hAnsi="Book Antiqua" w:cs="Times New Roman"/>
          <w:bCs/>
          <w:kern w:val="2"/>
          <w:sz w:val="22"/>
          <w:szCs w:val="22"/>
          <w:lang w:eastAsia="sr-Latn-ME"/>
        </w:rPr>
        <w:t xml:space="preserve">Pristupni brojevi za ITS, RPB2 i TEF1a sekvence mikroorganizama </w:t>
      </w:r>
      <w:r>
        <w:rPr>
          <w:rFonts w:ascii="Book Antiqua" w:hAnsi="Book Antiqua" w:cs="Times New Roman"/>
          <w:bCs/>
          <w:i/>
          <w:iCs/>
          <w:kern w:val="2"/>
          <w:sz w:val="22"/>
          <w:szCs w:val="22"/>
          <w:lang w:eastAsia="sr-Latn-ME"/>
        </w:rPr>
        <w:t xml:space="preserve">T. citrinoviride  </w:t>
      </w:r>
      <w:r>
        <w:rPr>
          <w:rFonts w:ascii="Book Antiqua" w:hAnsi="Book Antiqua" w:cs="Times New Roman"/>
          <w:bCs/>
          <w:kern w:val="2"/>
          <w:sz w:val="22"/>
          <w:szCs w:val="22"/>
          <w:lang w:eastAsia="sr-Latn-ME"/>
        </w:rPr>
        <w:t>preuzete iz GenBank kao i za sekvence dobijene u ovom istraživanju. Boldirani NCBI brojevi sekvenci korišćenih u filogenetskim analizama</w:t>
      </w:r>
    </w:p>
    <w:tbl>
      <w:tblPr>
        <w:tblW w:w="9648" w:type="dxa"/>
        <w:tblLook w:val="04A0" w:firstRow="1" w:lastRow="0" w:firstColumn="1" w:lastColumn="0" w:noHBand="0" w:noVBand="1"/>
      </w:tblPr>
      <w:tblGrid>
        <w:gridCol w:w="1137"/>
        <w:gridCol w:w="812"/>
        <w:gridCol w:w="1195"/>
        <w:gridCol w:w="1237"/>
        <w:gridCol w:w="874"/>
        <w:gridCol w:w="1083"/>
        <w:gridCol w:w="1086"/>
        <w:gridCol w:w="1167"/>
        <w:gridCol w:w="1077"/>
      </w:tblGrid>
      <w:tr w:rsidR="003801E8" w14:paraId="7C11BEEF" w14:textId="77777777">
        <w:trPr>
          <w:trHeight w:val="576"/>
        </w:trPr>
        <w:tc>
          <w:tcPr>
            <w:tcW w:w="1137" w:type="dxa"/>
            <w:tcBorders>
              <w:top w:val="single" w:sz="4" w:space="0" w:color="auto"/>
              <w:bottom w:val="single" w:sz="4" w:space="0" w:color="auto"/>
            </w:tcBorders>
            <w:vAlign w:val="center"/>
          </w:tcPr>
          <w:p w14:paraId="6CBA833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Organizam</w:t>
            </w:r>
          </w:p>
        </w:tc>
        <w:tc>
          <w:tcPr>
            <w:tcW w:w="1198" w:type="dxa"/>
            <w:tcBorders>
              <w:top w:val="single" w:sz="4" w:space="0" w:color="auto"/>
              <w:left w:val="nil"/>
              <w:bottom w:val="single" w:sz="4" w:space="0" w:color="auto"/>
            </w:tcBorders>
            <w:vAlign w:val="center"/>
          </w:tcPr>
          <w:p w14:paraId="4A4988C9"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Izolat</w:t>
            </w:r>
          </w:p>
        </w:tc>
        <w:tc>
          <w:tcPr>
            <w:tcW w:w="809" w:type="dxa"/>
            <w:tcBorders>
              <w:top w:val="single" w:sz="4" w:space="0" w:color="auto"/>
              <w:bottom w:val="single" w:sz="4" w:space="0" w:color="auto"/>
            </w:tcBorders>
            <w:vAlign w:val="center"/>
          </w:tcPr>
          <w:p w14:paraId="021167C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 xml:space="preserve">Zemlja porijekla </w:t>
            </w:r>
          </w:p>
        </w:tc>
        <w:tc>
          <w:tcPr>
            <w:tcW w:w="1237" w:type="dxa"/>
            <w:tcBorders>
              <w:top w:val="single" w:sz="4" w:space="0" w:color="auto"/>
              <w:left w:val="nil"/>
              <w:bottom w:val="single" w:sz="4" w:space="0" w:color="auto"/>
            </w:tcBorders>
            <w:vAlign w:val="center"/>
          </w:tcPr>
          <w:p w14:paraId="70C61DB1"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Biljna vrsta (domaćin)</w:t>
            </w:r>
          </w:p>
        </w:tc>
        <w:tc>
          <w:tcPr>
            <w:tcW w:w="874" w:type="dxa"/>
            <w:tcBorders>
              <w:top w:val="single" w:sz="4" w:space="0" w:color="auto"/>
              <w:bottom w:val="single" w:sz="4" w:space="0" w:color="auto"/>
            </w:tcBorders>
            <w:noWrap/>
            <w:vAlign w:val="center"/>
          </w:tcPr>
          <w:p w14:paraId="7B6E138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Godina</w:t>
            </w:r>
          </w:p>
        </w:tc>
        <w:tc>
          <w:tcPr>
            <w:tcW w:w="1083" w:type="dxa"/>
            <w:tcBorders>
              <w:top w:val="single" w:sz="4" w:space="0" w:color="auto"/>
              <w:left w:val="nil"/>
              <w:bottom w:val="single" w:sz="4" w:space="0" w:color="auto"/>
            </w:tcBorders>
            <w:noWrap/>
            <w:vAlign w:val="center"/>
          </w:tcPr>
          <w:p w14:paraId="48F0E98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Autor (NCBI)</w:t>
            </w:r>
          </w:p>
        </w:tc>
        <w:tc>
          <w:tcPr>
            <w:tcW w:w="1077" w:type="dxa"/>
            <w:tcBorders>
              <w:top w:val="single" w:sz="4" w:space="0" w:color="auto"/>
              <w:bottom w:val="single" w:sz="4" w:space="0" w:color="auto"/>
            </w:tcBorders>
            <w:vAlign w:val="center"/>
          </w:tcPr>
          <w:p w14:paraId="5D3CC4A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(ITS)</w:t>
            </w:r>
          </w:p>
        </w:tc>
        <w:tc>
          <w:tcPr>
            <w:tcW w:w="1176" w:type="dxa"/>
            <w:tcBorders>
              <w:top w:val="single" w:sz="4" w:space="0" w:color="auto"/>
              <w:left w:val="nil"/>
              <w:bottom w:val="single" w:sz="4" w:space="0" w:color="auto"/>
            </w:tcBorders>
            <w:vAlign w:val="center"/>
          </w:tcPr>
          <w:p w14:paraId="7F50185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(TEF1a)</w:t>
            </w:r>
          </w:p>
        </w:tc>
        <w:tc>
          <w:tcPr>
            <w:tcW w:w="1057" w:type="dxa"/>
            <w:tcBorders>
              <w:top w:val="single" w:sz="4" w:space="0" w:color="auto"/>
              <w:bottom w:val="single" w:sz="4" w:space="0" w:color="auto"/>
            </w:tcBorders>
            <w:vAlign w:val="center"/>
          </w:tcPr>
          <w:p w14:paraId="3EC3E415"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(RBB2)</w:t>
            </w:r>
          </w:p>
        </w:tc>
      </w:tr>
      <w:tr w:rsidR="003801E8" w14:paraId="4A397E99" w14:textId="77777777">
        <w:trPr>
          <w:trHeight w:val="792"/>
        </w:trPr>
        <w:tc>
          <w:tcPr>
            <w:tcW w:w="1137" w:type="dxa"/>
            <w:tcBorders>
              <w:top w:val="single" w:sz="4" w:space="0" w:color="auto"/>
            </w:tcBorders>
            <w:vAlign w:val="center"/>
          </w:tcPr>
          <w:p w14:paraId="4FD6D7B3"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T. citrinoviride </w:t>
            </w:r>
          </w:p>
        </w:tc>
        <w:tc>
          <w:tcPr>
            <w:tcW w:w="1198" w:type="dxa"/>
            <w:tcBorders>
              <w:top w:val="single" w:sz="4" w:space="0" w:color="auto"/>
              <w:left w:val="nil"/>
            </w:tcBorders>
            <w:shd w:val="clear" w:color="000000" w:fill="FFFFFF"/>
            <w:vAlign w:val="center"/>
          </w:tcPr>
          <w:p w14:paraId="001DD80E"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T-CG </w:t>
            </w:r>
          </w:p>
        </w:tc>
        <w:tc>
          <w:tcPr>
            <w:tcW w:w="809" w:type="dxa"/>
            <w:tcBorders>
              <w:top w:val="single" w:sz="4" w:space="0" w:color="auto"/>
            </w:tcBorders>
            <w:vAlign w:val="center"/>
          </w:tcPr>
          <w:p w14:paraId="13F64564"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Montenegro </w:t>
            </w:r>
          </w:p>
        </w:tc>
        <w:tc>
          <w:tcPr>
            <w:tcW w:w="1237" w:type="dxa"/>
            <w:tcBorders>
              <w:top w:val="single" w:sz="4" w:space="0" w:color="auto"/>
              <w:left w:val="nil"/>
            </w:tcBorders>
            <w:vAlign w:val="center"/>
          </w:tcPr>
          <w:p w14:paraId="69D0B890"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V.vinifera </w:t>
            </w:r>
          </w:p>
        </w:tc>
        <w:tc>
          <w:tcPr>
            <w:tcW w:w="874" w:type="dxa"/>
            <w:tcBorders>
              <w:top w:val="single" w:sz="4" w:space="0" w:color="auto"/>
            </w:tcBorders>
            <w:noWrap/>
            <w:vAlign w:val="center"/>
          </w:tcPr>
          <w:p w14:paraId="07454D1B"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2023</w:t>
            </w:r>
          </w:p>
        </w:tc>
        <w:tc>
          <w:tcPr>
            <w:tcW w:w="1083" w:type="dxa"/>
            <w:tcBorders>
              <w:top w:val="single" w:sz="4" w:space="0" w:color="auto"/>
              <w:left w:val="nil"/>
            </w:tcBorders>
            <w:noWrap/>
            <w:vAlign w:val="center"/>
          </w:tcPr>
          <w:p w14:paraId="08ABB3DE"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Kandić</w:t>
            </w:r>
          </w:p>
        </w:tc>
        <w:tc>
          <w:tcPr>
            <w:tcW w:w="1077" w:type="dxa"/>
            <w:tcBorders>
              <w:top w:val="single" w:sz="4" w:space="0" w:color="auto"/>
            </w:tcBorders>
            <w:vAlign w:val="center"/>
          </w:tcPr>
          <w:p w14:paraId="3E2001D2"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PP950166</w:t>
            </w:r>
          </w:p>
        </w:tc>
        <w:tc>
          <w:tcPr>
            <w:tcW w:w="1176" w:type="dxa"/>
            <w:tcBorders>
              <w:top w:val="single" w:sz="4" w:space="0" w:color="auto"/>
              <w:left w:val="nil"/>
            </w:tcBorders>
            <w:vAlign w:val="center"/>
          </w:tcPr>
          <w:p w14:paraId="6CF2BBA4"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PX363672    </w:t>
            </w:r>
          </w:p>
        </w:tc>
        <w:tc>
          <w:tcPr>
            <w:tcW w:w="1057" w:type="dxa"/>
            <w:tcBorders>
              <w:top w:val="single" w:sz="4" w:space="0" w:color="auto"/>
            </w:tcBorders>
            <w:vAlign w:val="center"/>
          </w:tcPr>
          <w:p w14:paraId="3715611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PX624328</w:t>
            </w:r>
          </w:p>
        </w:tc>
      </w:tr>
      <w:tr w:rsidR="003801E8" w14:paraId="1B75CE47" w14:textId="77777777">
        <w:trPr>
          <w:trHeight w:val="792"/>
        </w:trPr>
        <w:tc>
          <w:tcPr>
            <w:tcW w:w="1137" w:type="dxa"/>
            <w:vAlign w:val="center"/>
          </w:tcPr>
          <w:p w14:paraId="1ABAA0FB"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T. citrinoviride </w:t>
            </w:r>
          </w:p>
        </w:tc>
        <w:tc>
          <w:tcPr>
            <w:tcW w:w="1198" w:type="dxa"/>
            <w:tcBorders>
              <w:left w:val="nil"/>
            </w:tcBorders>
            <w:shd w:val="clear" w:color="000000" w:fill="FFFFFF"/>
            <w:vAlign w:val="center"/>
          </w:tcPr>
          <w:p w14:paraId="04BE7828"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TRS750</w:t>
            </w:r>
          </w:p>
        </w:tc>
        <w:tc>
          <w:tcPr>
            <w:tcW w:w="809" w:type="dxa"/>
            <w:vAlign w:val="center"/>
          </w:tcPr>
          <w:p w14:paraId="1A144823"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Poljska</w:t>
            </w:r>
          </w:p>
        </w:tc>
        <w:tc>
          <w:tcPr>
            <w:tcW w:w="1237" w:type="dxa"/>
            <w:tcBorders>
              <w:left w:val="nil"/>
            </w:tcBorders>
            <w:vAlign w:val="center"/>
          </w:tcPr>
          <w:p w14:paraId="172023A2"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Nepoznato</w:t>
            </w:r>
          </w:p>
        </w:tc>
        <w:tc>
          <w:tcPr>
            <w:tcW w:w="874" w:type="dxa"/>
            <w:noWrap/>
            <w:vAlign w:val="center"/>
          </w:tcPr>
          <w:p w14:paraId="4703CB2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2014</w:t>
            </w:r>
          </w:p>
        </w:tc>
        <w:tc>
          <w:tcPr>
            <w:tcW w:w="1083" w:type="dxa"/>
            <w:tcBorders>
              <w:left w:val="nil"/>
            </w:tcBorders>
            <w:noWrap/>
            <w:vAlign w:val="center"/>
          </w:tcPr>
          <w:p w14:paraId="77966891"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Oskiera </w:t>
            </w:r>
          </w:p>
        </w:tc>
        <w:tc>
          <w:tcPr>
            <w:tcW w:w="1077" w:type="dxa"/>
            <w:vAlign w:val="center"/>
          </w:tcPr>
          <w:p w14:paraId="6036801B"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KP009360 </w:t>
            </w:r>
          </w:p>
        </w:tc>
        <w:tc>
          <w:tcPr>
            <w:tcW w:w="1176" w:type="dxa"/>
            <w:tcBorders>
              <w:left w:val="nil"/>
            </w:tcBorders>
            <w:vAlign w:val="center"/>
          </w:tcPr>
          <w:p w14:paraId="25DD6859"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KP008889</w:t>
            </w:r>
          </w:p>
        </w:tc>
        <w:tc>
          <w:tcPr>
            <w:tcW w:w="1057" w:type="dxa"/>
            <w:vAlign w:val="center"/>
          </w:tcPr>
          <w:p w14:paraId="39F8DE52"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KP009186</w:t>
            </w:r>
          </w:p>
        </w:tc>
      </w:tr>
      <w:tr w:rsidR="003801E8" w14:paraId="03C4A22A" w14:textId="77777777">
        <w:trPr>
          <w:trHeight w:val="792"/>
        </w:trPr>
        <w:tc>
          <w:tcPr>
            <w:tcW w:w="1137" w:type="dxa"/>
            <w:vAlign w:val="center"/>
          </w:tcPr>
          <w:p w14:paraId="11772F25"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T. citrinoviride </w:t>
            </w:r>
          </w:p>
        </w:tc>
        <w:tc>
          <w:tcPr>
            <w:tcW w:w="1198" w:type="dxa"/>
            <w:tcBorders>
              <w:left w:val="nil"/>
            </w:tcBorders>
            <w:shd w:val="clear" w:color="000000" w:fill="FFFFFF"/>
            <w:vAlign w:val="center"/>
          </w:tcPr>
          <w:p w14:paraId="24585E82"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TRS745</w:t>
            </w:r>
          </w:p>
        </w:tc>
        <w:tc>
          <w:tcPr>
            <w:tcW w:w="809" w:type="dxa"/>
            <w:vAlign w:val="center"/>
          </w:tcPr>
          <w:p w14:paraId="6D2E6050"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Poljska</w:t>
            </w:r>
          </w:p>
        </w:tc>
        <w:tc>
          <w:tcPr>
            <w:tcW w:w="1237" w:type="dxa"/>
            <w:tcBorders>
              <w:left w:val="nil"/>
            </w:tcBorders>
            <w:vAlign w:val="center"/>
          </w:tcPr>
          <w:p w14:paraId="2731DB05"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Nepoznato</w:t>
            </w:r>
          </w:p>
        </w:tc>
        <w:tc>
          <w:tcPr>
            <w:tcW w:w="874" w:type="dxa"/>
            <w:noWrap/>
            <w:vAlign w:val="center"/>
          </w:tcPr>
          <w:p w14:paraId="3EAC0F54"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2014</w:t>
            </w:r>
          </w:p>
        </w:tc>
        <w:tc>
          <w:tcPr>
            <w:tcW w:w="1083" w:type="dxa"/>
            <w:tcBorders>
              <w:left w:val="nil"/>
            </w:tcBorders>
            <w:noWrap/>
            <w:vAlign w:val="center"/>
          </w:tcPr>
          <w:p w14:paraId="69D4F26A"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Oskiera  </w:t>
            </w:r>
          </w:p>
        </w:tc>
        <w:tc>
          <w:tcPr>
            <w:tcW w:w="1077" w:type="dxa"/>
            <w:vAlign w:val="center"/>
          </w:tcPr>
          <w:p w14:paraId="2964B1BD"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KP009362 </w:t>
            </w:r>
          </w:p>
        </w:tc>
        <w:tc>
          <w:tcPr>
            <w:tcW w:w="1176" w:type="dxa"/>
            <w:tcBorders>
              <w:left w:val="nil"/>
            </w:tcBorders>
            <w:vAlign w:val="center"/>
          </w:tcPr>
          <w:p w14:paraId="17036259"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KP008894</w:t>
            </w:r>
          </w:p>
        </w:tc>
        <w:tc>
          <w:tcPr>
            <w:tcW w:w="1057" w:type="dxa"/>
            <w:vAlign w:val="center"/>
          </w:tcPr>
          <w:p w14:paraId="77E0BD21"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KP009188</w:t>
            </w:r>
          </w:p>
        </w:tc>
      </w:tr>
      <w:tr w:rsidR="003801E8" w14:paraId="77EE6AFC" w14:textId="77777777">
        <w:trPr>
          <w:trHeight w:val="792"/>
        </w:trPr>
        <w:tc>
          <w:tcPr>
            <w:tcW w:w="1137" w:type="dxa"/>
            <w:vAlign w:val="center"/>
          </w:tcPr>
          <w:p w14:paraId="298DCC72"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T. citrinoviride </w:t>
            </w:r>
          </w:p>
        </w:tc>
        <w:tc>
          <w:tcPr>
            <w:tcW w:w="1198" w:type="dxa"/>
            <w:tcBorders>
              <w:left w:val="nil"/>
            </w:tcBorders>
            <w:shd w:val="clear" w:color="000000" w:fill="FFFFFF"/>
            <w:vAlign w:val="center"/>
          </w:tcPr>
          <w:p w14:paraId="3FE90B2E"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ST107</w:t>
            </w:r>
          </w:p>
        </w:tc>
        <w:tc>
          <w:tcPr>
            <w:tcW w:w="809" w:type="dxa"/>
            <w:vAlign w:val="center"/>
          </w:tcPr>
          <w:p w14:paraId="6A5EAE6A"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Turska</w:t>
            </w:r>
          </w:p>
        </w:tc>
        <w:tc>
          <w:tcPr>
            <w:tcW w:w="1237" w:type="dxa"/>
            <w:tcBorders>
              <w:left w:val="nil"/>
            </w:tcBorders>
            <w:vAlign w:val="center"/>
          </w:tcPr>
          <w:p w14:paraId="4D55F605"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Fragaria</w:t>
            </w:r>
            <w:r>
              <w:rPr>
                <w:rFonts w:ascii="Book Antiqua" w:eastAsia="Times New Roman" w:hAnsi="Book Antiqua" w:cs="Times New Roman"/>
                <w:color w:val="000000"/>
                <w:sz w:val="18"/>
                <w:szCs w:val="18"/>
                <w:lang w:val="en-US"/>
              </w:rPr>
              <w:t xml:space="preserve"> sp.</w:t>
            </w:r>
          </w:p>
        </w:tc>
        <w:tc>
          <w:tcPr>
            <w:tcW w:w="874" w:type="dxa"/>
            <w:noWrap/>
            <w:vAlign w:val="center"/>
          </w:tcPr>
          <w:p w14:paraId="75CBEBAA"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2025</w:t>
            </w:r>
          </w:p>
        </w:tc>
        <w:tc>
          <w:tcPr>
            <w:tcW w:w="1083" w:type="dxa"/>
            <w:tcBorders>
              <w:left w:val="nil"/>
            </w:tcBorders>
            <w:noWrap/>
            <w:vAlign w:val="center"/>
          </w:tcPr>
          <w:p w14:paraId="2B1CCE66"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Erdurmus</w:t>
            </w:r>
          </w:p>
        </w:tc>
        <w:tc>
          <w:tcPr>
            <w:tcW w:w="1077" w:type="dxa"/>
            <w:vAlign w:val="center"/>
          </w:tcPr>
          <w:p w14:paraId="0B26D96D"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PV959469 </w:t>
            </w:r>
          </w:p>
        </w:tc>
        <w:tc>
          <w:tcPr>
            <w:tcW w:w="1176" w:type="dxa"/>
            <w:tcBorders>
              <w:left w:val="nil"/>
            </w:tcBorders>
            <w:vAlign w:val="center"/>
          </w:tcPr>
          <w:p w14:paraId="6C6FF12D"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PV891880</w:t>
            </w:r>
          </w:p>
        </w:tc>
        <w:tc>
          <w:tcPr>
            <w:tcW w:w="1057" w:type="dxa"/>
            <w:vAlign w:val="center"/>
          </w:tcPr>
          <w:p w14:paraId="1D844F99"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PX068644</w:t>
            </w:r>
          </w:p>
        </w:tc>
      </w:tr>
      <w:tr w:rsidR="003801E8" w14:paraId="447665DE" w14:textId="77777777">
        <w:trPr>
          <w:trHeight w:val="792"/>
        </w:trPr>
        <w:tc>
          <w:tcPr>
            <w:tcW w:w="1137" w:type="dxa"/>
            <w:vAlign w:val="center"/>
          </w:tcPr>
          <w:p w14:paraId="108B2D8D"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T. citrinoviride </w:t>
            </w:r>
          </w:p>
        </w:tc>
        <w:tc>
          <w:tcPr>
            <w:tcW w:w="1198" w:type="dxa"/>
            <w:tcBorders>
              <w:left w:val="nil"/>
            </w:tcBorders>
            <w:shd w:val="clear" w:color="000000" w:fill="FFFFFF"/>
            <w:vAlign w:val="center"/>
          </w:tcPr>
          <w:p w14:paraId="465F3232"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GJS 92-8</w:t>
            </w:r>
          </w:p>
        </w:tc>
        <w:tc>
          <w:tcPr>
            <w:tcW w:w="809" w:type="dxa"/>
            <w:vAlign w:val="center"/>
          </w:tcPr>
          <w:p w14:paraId="4D1575F0"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Francuska</w:t>
            </w:r>
          </w:p>
        </w:tc>
        <w:tc>
          <w:tcPr>
            <w:tcW w:w="1237" w:type="dxa"/>
            <w:tcBorders>
              <w:left w:val="nil"/>
            </w:tcBorders>
            <w:vAlign w:val="center"/>
          </w:tcPr>
          <w:p w14:paraId="4B5A66DB"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Fagus</w:t>
            </w:r>
            <w:r>
              <w:rPr>
                <w:rFonts w:ascii="Book Antiqua" w:eastAsia="Times New Roman" w:hAnsi="Book Antiqua" w:cs="Times New Roman"/>
                <w:color w:val="000000"/>
                <w:sz w:val="18"/>
                <w:szCs w:val="18"/>
                <w:lang w:val="en-US"/>
              </w:rPr>
              <w:t xml:space="preserve"> sp. </w:t>
            </w:r>
          </w:p>
        </w:tc>
        <w:tc>
          <w:tcPr>
            <w:tcW w:w="874" w:type="dxa"/>
            <w:noWrap/>
            <w:vAlign w:val="center"/>
          </w:tcPr>
          <w:p w14:paraId="6628C443"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2015</w:t>
            </w:r>
          </w:p>
        </w:tc>
        <w:tc>
          <w:tcPr>
            <w:tcW w:w="1083" w:type="dxa"/>
            <w:tcBorders>
              <w:left w:val="nil"/>
            </w:tcBorders>
            <w:noWrap/>
            <w:vAlign w:val="center"/>
          </w:tcPr>
          <w:p w14:paraId="44FE1CF9"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Bissett</w:t>
            </w:r>
          </w:p>
        </w:tc>
        <w:tc>
          <w:tcPr>
            <w:tcW w:w="1077" w:type="dxa"/>
            <w:vAlign w:val="center"/>
          </w:tcPr>
          <w:p w14:paraId="63AA661B"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KR812111 </w:t>
            </w:r>
          </w:p>
        </w:tc>
        <w:tc>
          <w:tcPr>
            <w:tcW w:w="1176" w:type="dxa"/>
            <w:tcBorders>
              <w:left w:val="nil"/>
            </w:tcBorders>
            <w:vAlign w:val="center"/>
          </w:tcPr>
          <w:p w14:paraId="1B1BF7FF"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JN175595</w:t>
            </w:r>
          </w:p>
        </w:tc>
        <w:tc>
          <w:tcPr>
            <w:tcW w:w="1057" w:type="dxa"/>
            <w:vAlign w:val="center"/>
          </w:tcPr>
          <w:p w14:paraId="1B05B17A"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JN175544</w:t>
            </w:r>
          </w:p>
        </w:tc>
      </w:tr>
      <w:tr w:rsidR="003801E8" w14:paraId="2F33B0E5" w14:textId="77777777">
        <w:trPr>
          <w:trHeight w:val="792"/>
        </w:trPr>
        <w:tc>
          <w:tcPr>
            <w:tcW w:w="1137" w:type="dxa"/>
            <w:vAlign w:val="center"/>
          </w:tcPr>
          <w:p w14:paraId="0D2ED99B"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T. citrinoviride </w:t>
            </w:r>
          </w:p>
        </w:tc>
        <w:tc>
          <w:tcPr>
            <w:tcW w:w="1198" w:type="dxa"/>
            <w:tcBorders>
              <w:left w:val="nil"/>
            </w:tcBorders>
            <w:shd w:val="clear" w:color="000000" w:fill="FFFFFF"/>
            <w:vAlign w:val="center"/>
          </w:tcPr>
          <w:p w14:paraId="595ECE9F"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ST113</w:t>
            </w:r>
          </w:p>
        </w:tc>
        <w:tc>
          <w:tcPr>
            <w:tcW w:w="809" w:type="dxa"/>
            <w:vAlign w:val="center"/>
          </w:tcPr>
          <w:p w14:paraId="25299643"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Turska</w:t>
            </w:r>
          </w:p>
        </w:tc>
        <w:tc>
          <w:tcPr>
            <w:tcW w:w="1237" w:type="dxa"/>
            <w:tcBorders>
              <w:left w:val="nil"/>
            </w:tcBorders>
            <w:vAlign w:val="center"/>
          </w:tcPr>
          <w:p w14:paraId="47763C6A"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Fragaria</w:t>
            </w:r>
            <w:r>
              <w:rPr>
                <w:rFonts w:ascii="Book Antiqua" w:eastAsia="Times New Roman" w:hAnsi="Book Antiqua" w:cs="Times New Roman"/>
                <w:color w:val="000000"/>
                <w:sz w:val="18"/>
                <w:szCs w:val="18"/>
                <w:lang w:val="en-US"/>
              </w:rPr>
              <w:t xml:space="preserve"> sp.</w:t>
            </w:r>
          </w:p>
        </w:tc>
        <w:tc>
          <w:tcPr>
            <w:tcW w:w="874" w:type="dxa"/>
            <w:noWrap/>
            <w:vAlign w:val="center"/>
          </w:tcPr>
          <w:p w14:paraId="1DF89191"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2025</w:t>
            </w:r>
          </w:p>
        </w:tc>
        <w:tc>
          <w:tcPr>
            <w:tcW w:w="1083" w:type="dxa"/>
            <w:tcBorders>
              <w:left w:val="nil"/>
            </w:tcBorders>
            <w:noWrap/>
            <w:vAlign w:val="center"/>
          </w:tcPr>
          <w:p w14:paraId="63F52018"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Erdurmus</w:t>
            </w:r>
          </w:p>
        </w:tc>
        <w:tc>
          <w:tcPr>
            <w:tcW w:w="1077" w:type="dxa"/>
            <w:vAlign w:val="center"/>
          </w:tcPr>
          <w:p w14:paraId="4DDD304E"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PV959470 </w:t>
            </w:r>
          </w:p>
        </w:tc>
        <w:tc>
          <w:tcPr>
            <w:tcW w:w="1176" w:type="dxa"/>
            <w:tcBorders>
              <w:left w:val="nil"/>
            </w:tcBorders>
            <w:vAlign w:val="center"/>
          </w:tcPr>
          <w:p w14:paraId="3992F648"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PV891881</w:t>
            </w:r>
          </w:p>
        </w:tc>
        <w:tc>
          <w:tcPr>
            <w:tcW w:w="1057" w:type="dxa"/>
            <w:vAlign w:val="center"/>
          </w:tcPr>
          <w:p w14:paraId="55FEE8BE"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PX068645</w:t>
            </w:r>
          </w:p>
        </w:tc>
      </w:tr>
      <w:tr w:rsidR="003801E8" w14:paraId="6E223B5D" w14:textId="77777777">
        <w:trPr>
          <w:trHeight w:val="792"/>
        </w:trPr>
        <w:tc>
          <w:tcPr>
            <w:tcW w:w="1137" w:type="dxa"/>
            <w:vAlign w:val="center"/>
          </w:tcPr>
          <w:p w14:paraId="6D15FBEF"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T. citrinoviride </w:t>
            </w:r>
          </w:p>
        </w:tc>
        <w:tc>
          <w:tcPr>
            <w:tcW w:w="1198" w:type="dxa"/>
            <w:tcBorders>
              <w:left w:val="nil"/>
            </w:tcBorders>
            <w:shd w:val="clear" w:color="000000" w:fill="FFFFFF"/>
            <w:vAlign w:val="center"/>
          </w:tcPr>
          <w:p w14:paraId="7F6EE93F"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7987</w:t>
            </w:r>
          </w:p>
        </w:tc>
        <w:tc>
          <w:tcPr>
            <w:tcW w:w="809" w:type="dxa"/>
            <w:vAlign w:val="center"/>
          </w:tcPr>
          <w:p w14:paraId="5CF7059A"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Kina</w:t>
            </w:r>
          </w:p>
        </w:tc>
        <w:tc>
          <w:tcPr>
            <w:tcW w:w="1237" w:type="dxa"/>
            <w:tcBorders>
              <w:left w:val="nil"/>
            </w:tcBorders>
            <w:vAlign w:val="center"/>
          </w:tcPr>
          <w:p w14:paraId="0B9EDE8F"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Nepoznato</w:t>
            </w:r>
          </w:p>
        </w:tc>
        <w:tc>
          <w:tcPr>
            <w:tcW w:w="874" w:type="dxa"/>
            <w:noWrap/>
            <w:vAlign w:val="center"/>
          </w:tcPr>
          <w:p w14:paraId="68CCBFDB"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2015</w:t>
            </w:r>
          </w:p>
        </w:tc>
        <w:tc>
          <w:tcPr>
            <w:tcW w:w="1083" w:type="dxa"/>
            <w:tcBorders>
              <w:left w:val="nil"/>
            </w:tcBorders>
            <w:noWrap/>
            <w:vAlign w:val="center"/>
          </w:tcPr>
          <w:p w14:paraId="11E91F56"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Zhu  </w:t>
            </w:r>
          </w:p>
        </w:tc>
        <w:tc>
          <w:tcPr>
            <w:tcW w:w="1077" w:type="dxa"/>
            <w:vAlign w:val="center"/>
          </w:tcPr>
          <w:p w14:paraId="3763D380"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KJ783299 </w:t>
            </w:r>
          </w:p>
        </w:tc>
        <w:tc>
          <w:tcPr>
            <w:tcW w:w="1176" w:type="dxa"/>
            <w:tcBorders>
              <w:left w:val="nil"/>
            </w:tcBorders>
            <w:vAlign w:val="center"/>
          </w:tcPr>
          <w:p w14:paraId="0BB5A441"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KJ634767</w:t>
            </w:r>
          </w:p>
        </w:tc>
        <w:tc>
          <w:tcPr>
            <w:tcW w:w="1057" w:type="dxa"/>
            <w:vAlign w:val="center"/>
          </w:tcPr>
          <w:p w14:paraId="526B016B"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KJ634734</w:t>
            </w:r>
          </w:p>
        </w:tc>
      </w:tr>
      <w:tr w:rsidR="003801E8" w14:paraId="7426B7C7" w14:textId="77777777">
        <w:trPr>
          <w:trHeight w:val="792"/>
        </w:trPr>
        <w:tc>
          <w:tcPr>
            <w:tcW w:w="1137" w:type="dxa"/>
            <w:vAlign w:val="center"/>
          </w:tcPr>
          <w:p w14:paraId="324C424B"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T. citrinoviride </w:t>
            </w:r>
          </w:p>
        </w:tc>
        <w:tc>
          <w:tcPr>
            <w:tcW w:w="1198" w:type="dxa"/>
            <w:tcBorders>
              <w:left w:val="nil"/>
            </w:tcBorders>
            <w:shd w:val="clear" w:color="000000" w:fill="FFFFFF"/>
            <w:vAlign w:val="center"/>
          </w:tcPr>
          <w:p w14:paraId="3297F31D"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HZA9</w:t>
            </w:r>
          </w:p>
        </w:tc>
        <w:tc>
          <w:tcPr>
            <w:tcW w:w="809" w:type="dxa"/>
            <w:vAlign w:val="center"/>
          </w:tcPr>
          <w:p w14:paraId="0A567E66"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Kina</w:t>
            </w:r>
          </w:p>
        </w:tc>
        <w:tc>
          <w:tcPr>
            <w:tcW w:w="1237" w:type="dxa"/>
            <w:tcBorders>
              <w:left w:val="nil"/>
            </w:tcBorders>
            <w:vAlign w:val="center"/>
          </w:tcPr>
          <w:p w14:paraId="333BC0E2"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Zemljište</w:t>
            </w:r>
          </w:p>
        </w:tc>
        <w:tc>
          <w:tcPr>
            <w:tcW w:w="874" w:type="dxa"/>
            <w:noWrap/>
            <w:vAlign w:val="center"/>
          </w:tcPr>
          <w:p w14:paraId="16636FE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2020</w:t>
            </w:r>
          </w:p>
        </w:tc>
        <w:tc>
          <w:tcPr>
            <w:tcW w:w="1083" w:type="dxa"/>
            <w:tcBorders>
              <w:left w:val="nil"/>
            </w:tcBorders>
            <w:noWrap/>
            <w:vAlign w:val="center"/>
          </w:tcPr>
          <w:p w14:paraId="7FC9980F"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Tomah </w:t>
            </w:r>
          </w:p>
        </w:tc>
        <w:tc>
          <w:tcPr>
            <w:tcW w:w="1077" w:type="dxa"/>
            <w:vAlign w:val="center"/>
          </w:tcPr>
          <w:p w14:paraId="73DB63CB"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MH624144 </w:t>
            </w:r>
          </w:p>
        </w:tc>
        <w:tc>
          <w:tcPr>
            <w:tcW w:w="1176" w:type="dxa"/>
            <w:tcBorders>
              <w:left w:val="nil"/>
            </w:tcBorders>
            <w:vAlign w:val="center"/>
          </w:tcPr>
          <w:p w14:paraId="429055C3"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MK850831</w:t>
            </w:r>
          </w:p>
        </w:tc>
        <w:tc>
          <w:tcPr>
            <w:tcW w:w="1057" w:type="dxa"/>
            <w:vAlign w:val="center"/>
          </w:tcPr>
          <w:p w14:paraId="3636ECC9"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MK962804</w:t>
            </w:r>
          </w:p>
        </w:tc>
      </w:tr>
      <w:tr w:rsidR="003801E8" w14:paraId="75FFC21B" w14:textId="77777777">
        <w:trPr>
          <w:trHeight w:val="792"/>
        </w:trPr>
        <w:tc>
          <w:tcPr>
            <w:tcW w:w="1137" w:type="dxa"/>
            <w:vAlign w:val="center"/>
          </w:tcPr>
          <w:p w14:paraId="0C65488E"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T. citrinoviride </w:t>
            </w:r>
          </w:p>
        </w:tc>
        <w:tc>
          <w:tcPr>
            <w:tcW w:w="1198" w:type="dxa"/>
            <w:tcBorders>
              <w:left w:val="nil"/>
            </w:tcBorders>
            <w:shd w:val="clear" w:color="000000" w:fill="FFFFFF"/>
            <w:vAlign w:val="center"/>
          </w:tcPr>
          <w:p w14:paraId="249D1B6C"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DAOM 139758</w:t>
            </w:r>
          </w:p>
        </w:tc>
        <w:tc>
          <w:tcPr>
            <w:tcW w:w="809" w:type="dxa"/>
            <w:vAlign w:val="center"/>
          </w:tcPr>
          <w:p w14:paraId="3A31BBAD"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Kanada</w:t>
            </w:r>
          </w:p>
        </w:tc>
        <w:tc>
          <w:tcPr>
            <w:tcW w:w="1237" w:type="dxa"/>
            <w:tcBorders>
              <w:left w:val="nil"/>
            </w:tcBorders>
            <w:vAlign w:val="center"/>
          </w:tcPr>
          <w:p w14:paraId="20F9B397"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B. alleghaniensis</w:t>
            </w:r>
          </w:p>
        </w:tc>
        <w:tc>
          <w:tcPr>
            <w:tcW w:w="874" w:type="dxa"/>
            <w:noWrap/>
            <w:vAlign w:val="center"/>
          </w:tcPr>
          <w:p w14:paraId="266B763B"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2007</w:t>
            </w:r>
          </w:p>
        </w:tc>
        <w:tc>
          <w:tcPr>
            <w:tcW w:w="1083" w:type="dxa"/>
            <w:tcBorders>
              <w:left w:val="nil"/>
            </w:tcBorders>
            <w:noWrap/>
            <w:vAlign w:val="center"/>
          </w:tcPr>
          <w:p w14:paraId="03A38F20"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Degenkolb  </w:t>
            </w:r>
          </w:p>
        </w:tc>
        <w:tc>
          <w:tcPr>
            <w:tcW w:w="1077" w:type="dxa"/>
            <w:vAlign w:val="center"/>
          </w:tcPr>
          <w:p w14:paraId="34B6825C"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EU330960 </w:t>
            </w:r>
          </w:p>
        </w:tc>
        <w:tc>
          <w:tcPr>
            <w:tcW w:w="1176" w:type="dxa"/>
            <w:tcBorders>
              <w:left w:val="nil"/>
            </w:tcBorders>
            <w:vAlign w:val="center"/>
          </w:tcPr>
          <w:p w14:paraId="58B3E50D"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EU338334</w:t>
            </w:r>
          </w:p>
        </w:tc>
        <w:tc>
          <w:tcPr>
            <w:tcW w:w="1057" w:type="dxa"/>
            <w:vAlign w:val="center"/>
          </w:tcPr>
          <w:p w14:paraId="08671791"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EU338338</w:t>
            </w:r>
          </w:p>
        </w:tc>
      </w:tr>
      <w:tr w:rsidR="003801E8" w14:paraId="33203938" w14:textId="77777777">
        <w:trPr>
          <w:trHeight w:val="792"/>
        </w:trPr>
        <w:tc>
          <w:tcPr>
            <w:tcW w:w="1137" w:type="dxa"/>
            <w:tcBorders>
              <w:bottom w:val="single" w:sz="4" w:space="0" w:color="auto"/>
            </w:tcBorders>
            <w:vAlign w:val="center"/>
          </w:tcPr>
          <w:p w14:paraId="6FC67AFE"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T. atroviride</w:t>
            </w:r>
          </w:p>
        </w:tc>
        <w:tc>
          <w:tcPr>
            <w:tcW w:w="1198" w:type="dxa"/>
            <w:tcBorders>
              <w:left w:val="nil"/>
              <w:bottom w:val="single" w:sz="4" w:space="0" w:color="auto"/>
            </w:tcBorders>
            <w:shd w:val="clear" w:color="000000" w:fill="FFFFFF"/>
            <w:vAlign w:val="center"/>
          </w:tcPr>
          <w:p w14:paraId="2C6965C6"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SC1</w:t>
            </w:r>
          </w:p>
        </w:tc>
        <w:tc>
          <w:tcPr>
            <w:tcW w:w="809" w:type="dxa"/>
            <w:tcBorders>
              <w:bottom w:val="single" w:sz="4" w:space="0" w:color="auto"/>
            </w:tcBorders>
            <w:vAlign w:val="center"/>
          </w:tcPr>
          <w:p w14:paraId="62722E60"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Češka</w:t>
            </w:r>
          </w:p>
        </w:tc>
        <w:tc>
          <w:tcPr>
            <w:tcW w:w="1237" w:type="dxa"/>
            <w:tcBorders>
              <w:left w:val="nil"/>
              <w:bottom w:val="single" w:sz="4" w:space="0" w:color="auto"/>
            </w:tcBorders>
            <w:vAlign w:val="center"/>
          </w:tcPr>
          <w:p w14:paraId="516A03B9"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Vintec®</w:t>
            </w:r>
          </w:p>
        </w:tc>
        <w:tc>
          <w:tcPr>
            <w:tcW w:w="874" w:type="dxa"/>
            <w:tcBorders>
              <w:bottom w:val="single" w:sz="4" w:space="0" w:color="auto"/>
            </w:tcBorders>
            <w:noWrap/>
            <w:vAlign w:val="center"/>
          </w:tcPr>
          <w:p w14:paraId="6B1DAACB"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2022</w:t>
            </w:r>
          </w:p>
        </w:tc>
        <w:tc>
          <w:tcPr>
            <w:tcW w:w="1083" w:type="dxa"/>
            <w:tcBorders>
              <w:left w:val="nil"/>
              <w:bottom w:val="single" w:sz="4" w:space="0" w:color="auto"/>
            </w:tcBorders>
            <w:noWrap/>
            <w:vAlign w:val="center"/>
          </w:tcPr>
          <w:p w14:paraId="6C2E1EBC"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Spetik</w:t>
            </w:r>
          </w:p>
        </w:tc>
        <w:tc>
          <w:tcPr>
            <w:tcW w:w="1077" w:type="dxa"/>
            <w:tcBorders>
              <w:bottom w:val="single" w:sz="4" w:space="0" w:color="auto"/>
            </w:tcBorders>
            <w:vAlign w:val="center"/>
          </w:tcPr>
          <w:p w14:paraId="405E0F34"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OP618118 </w:t>
            </w:r>
          </w:p>
        </w:tc>
        <w:tc>
          <w:tcPr>
            <w:tcW w:w="1176" w:type="dxa"/>
            <w:tcBorders>
              <w:left w:val="nil"/>
              <w:bottom w:val="single" w:sz="4" w:space="0" w:color="auto"/>
            </w:tcBorders>
            <w:vAlign w:val="center"/>
          </w:tcPr>
          <w:p w14:paraId="737A0FEF" w14:textId="77777777" w:rsidR="003801E8" w:rsidRDefault="00E44AAE">
            <w:pPr>
              <w:spacing w:after="0" w:line="240" w:lineRule="auto"/>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OR333860</w:t>
            </w:r>
          </w:p>
        </w:tc>
        <w:tc>
          <w:tcPr>
            <w:tcW w:w="1057" w:type="dxa"/>
            <w:tcBorders>
              <w:bottom w:val="single" w:sz="4" w:space="0" w:color="auto"/>
            </w:tcBorders>
            <w:vAlign w:val="center"/>
          </w:tcPr>
          <w:p w14:paraId="2CC2400F"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OR333859</w:t>
            </w:r>
          </w:p>
        </w:tc>
      </w:tr>
    </w:tbl>
    <w:p w14:paraId="763FF4E7" w14:textId="77777777" w:rsidR="003801E8" w:rsidRDefault="003801E8">
      <w:pPr>
        <w:spacing w:after="160" w:line="360" w:lineRule="auto"/>
        <w:jc w:val="both"/>
        <w:rPr>
          <w:rFonts w:ascii="Book Antiqua" w:hAnsi="Book Antiqua" w:cs="Times New Roman"/>
          <w:b/>
          <w:bCs/>
          <w:sz w:val="24"/>
          <w:szCs w:val="24"/>
        </w:rPr>
      </w:pPr>
    </w:p>
    <w:p w14:paraId="0EA340C6" w14:textId="77777777" w:rsidR="003801E8" w:rsidRDefault="003801E8">
      <w:pPr>
        <w:spacing w:after="160" w:line="360" w:lineRule="auto"/>
        <w:jc w:val="both"/>
        <w:rPr>
          <w:rFonts w:ascii="Book Antiqua" w:hAnsi="Book Antiqua" w:cs="Times New Roman"/>
          <w:b/>
          <w:bCs/>
          <w:sz w:val="24"/>
          <w:szCs w:val="24"/>
        </w:rPr>
      </w:pPr>
    </w:p>
    <w:p w14:paraId="27F8B357" w14:textId="77777777" w:rsidR="003801E8" w:rsidRDefault="003801E8">
      <w:pPr>
        <w:spacing w:after="160" w:line="360" w:lineRule="auto"/>
        <w:jc w:val="both"/>
        <w:rPr>
          <w:rFonts w:ascii="Book Antiqua" w:hAnsi="Book Antiqua" w:cs="Times New Roman"/>
          <w:b/>
          <w:bCs/>
          <w:sz w:val="24"/>
          <w:szCs w:val="24"/>
        </w:rPr>
      </w:pPr>
    </w:p>
    <w:p w14:paraId="0B04C80E" w14:textId="77777777" w:rsidR="003801E8" w:rsidRDefault="003801E8">
      <w:pPr>
        <w:spacing w:after="160" w:line="360" w:lineRule="auto"/>
        <w:jc w:val="both"/>
        <w:rPr>
          <w:rFonts w:ascii="Book Antiqua" w:hAnsi="Book Antiqua" w:cs="Times New Roman"/>
          <w:b/>
          <w:bCs/>
          <w:sz w:val="24"/>
          <w:szCs w:val="24"/>
        </w:rPr>
      </w:pPr>
    </w:p>
    <w:p w14:paraId="517B8472" w14:textId="77777777" w:rsidR="003801E8" w:rsidRDefault="003801E8">
      <w:pPr>
        <w:spacing w:after="160" w:line="360" w:lineRule="auto"/>
        <w:jc w:val="both"/>
        <w:rPr>
          <w:rFonts w:ascii="Book Antiqua" w:hAnsi="Book Antiqua" w:cs="Times New Roman"/>
          <w:b/>
          <w:bCs/>
          <w:sz w:val="24"/>
          <w:szCs w:val="24"/>
        </w:rPr>
      </w:pPr>
    </w:p>
    <w:p w14:paraId="0A94EE92" w14:textId="77777777" w:rsidR="003801E8" w:rsidRDefault="00E44AAE">
      <w:pPr>
        <w:spacing w:after="160" w:line="360" w:lineRule="auto"/>
        <w:jc w:val="both"/>
        <w:rPr>
          <w:rFonts w:ascii="Book Antiqua" w:hAnsi="Book Antiqua" w:cs="Times New Roman"/>
          <w:bCs/>
          <w:kern w:val="2"/>
          <w:sz w:val="22"/>
          <w:szCs w:val="22"/>
          <w:lang w:eastAsia="sr-Latn-ME"/>
        </w:rPr>
      </w:pPr>
      <w:r>
        <w:rPr>
          <w:rFonts w:ascii="Book Antiqua" w:hAnsi="Book Antiqua" w:cs="Times New Roman"/>
          <w:b/>
          <w:kern w:val="2"/>
          <w:sz w:val="22"/>
          <w:szCs w:val="22"/>
          <w:lang w:val="en-US" w:eastAsia="sr-Latn-ME"/>
        </w:rPr>
        <w:lastRenderedPageBreak/>
        <w:t>Tabela 10</w:t>
      </w:r>
      <w:r>
        <w:rPr>
          <w:rFonts w:ascii="Book Antiqua" w:hAnsi="Book Antiqua" w:cs="Times New Roman"/>
          <w:bCs/>
          <w:kern w:val="2"/>
          <w:sz w:val="22"/>
          <w:szCs w:val="22"/>
          <w:lang w:val="en-US" w:eastAsia="sr-Latn-ME"/>
        </w:rPr>
        <w:t xml:space="preserve">. </w:t>
      </w:r>
      <w:r>
        <w:rPr>
          <w:rFonts w:ascii="Book Antiqua" w:hAnsi="Book Antiqua" w:cs="Times New Roman"/>
          <w:bCs/>
          <w:kern w:val="2"/>
          <w:sz w:val="22"/>
          <w:szCs w:val="22"/>
          <w:lang w:eastAsia="sr-Latn-ME"/>
        </w:rPr>
        <w:t>Pristupni brojevi za ITS, RPB2, TUB2, LSU i TEF1a sekvence mikroorganizama iz roda Botryosphaeria preuzete iz GenBank kao i za sekvence dobijene u ovom istraživanju. Boldirani NCBI brojevi sekvenci korišćenih u filogenetskim analizama</w:t>
      </w:r>
    </w:p>
    <w:tbl>
      <w:tblPr>
        <w:tblW w:w="9895" w:type="dxa"/>
        <w:tblLayout w:type="fixed"/>
        <w:tblLook w:val="04A0" w:firstRow="1" w:lastRow="0" w:firstColumn="1" w:lastColumn="0" w:noHBand="0" w:noVBand="1"/>
      </w:tblPr>
      <w:tblGrid>
        <w:gridCol w:w="895"/>
        <w:gridCol w:w="990"/>
        <w:gridCol w:w="810"/>
        <w:gridCol w:w="1260"/>
        <w:gridCol w:w="720"/>
        <w:gridCol w:w="990"/>
        <w:gridCol w:w="900"/>
        <w:gridCol w:w="900"/>
        <w:gridCol w:w="810"/>
        <w:gridCol w:w="810"/>
        <w:gridCol w:w="810"/>
      </w:tblGrid>
      <w:tr w:rsidR="003801E8" w14:paraId="267CF539" w14:textId="77777777">
        <w:trPr>
          <w:trHeight w:val="576"/>
        </w:trPr>
        <w:tc>
          <w:tcPr>
            <w:tcW w:w="895" w:type="dxa"/>
            <w:tcBorders>
              <w:top w:val="single" w:sz="4" w:space="0" w:color="auto"/>
              <w:bottom w:val="single" w:sz="4" w:space="0" w:color="auto"/>
            </w:tcBorders>
            <w:noWrap/>
            <w:vAlign w:val="center"/>
          </w:tcPr>
          <w:p w14:paraId="0E9112C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Organizam</w:t>
            </w:r>
          </w:p>
        </w:tc>
        <w:tc>
          <w:tcPr>
            <w:tcW w:w="990" w:type="dxa"/>
            <w:tcBorders>
              <w:top w:val="single" w:sz="4" w:space="0" w:color="auto"/>
              <w:left w:val="nil"/>
              <w:bottom w:val="single" w:sz="4" w:space="0" w:color="auto"/>
            </w:tcBorders>
            <w:noWrap/>
            <w:vAlign w:val="center"/>
          </w:tcPr>
          <w:p w14:paraId="6E896D6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Izolat</w:t>
            </w:r>
          </w:p>
        </w:tc>
        <w:tc>
          <w:tcPr>
            <w:tcW w:w="810" w:type="dxa"/>
            <w:tcBorders>
              <w:top w:val="single" w:sz="4" w:space="0" w:color="auto"/>
              <w:bottom w:val="single" w:sz="4" w:space="0" w:color="auto"/>
            </w:tcBorders>
            <w:vAlign w:val="center"/>
          </w:tcPr>
          <w:p w14:paraId="2936C27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 xml:space="preserve">Zemlja porijekla </w:t>
            </w:r>
          </w:p>
        </w:tc>
        <w:tc>
          <w:tcPr>
            <w:tcW w:w="1260" w:type="dxa"/>
            <w:tcBorders>
              <w:top w:val="single" w:sz="4" w:space="0" w:color="auto"/>
              <w:left w:val="nil"/>
              <w:bottom w:val="single" w:sz="4" w:space="0" w:color="auto"/>
            </w:tcBorders>
            <w:vAlign w:val="center"/>
          </w:tcPr>
          <w:p w14:paraId="34D0068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Biljna vrsta (domaćin)</w:t>
            </w:r>
          </w:p>
        </w:tc>
        <w:tc>
          <w:tcPr>
            <w:tcW w:w="720" w:type="dxa"/>
            <w:tcBorders>
              <w:top w:val="single" w:sz="4" w:space="0" w:color="auto"/>
              <w:bottom w:val="single" w:sz="4" w:space="0" w:color="auto"/>
            </w:tcBorders>
            <w:vAlign w:val="center"/>
          </w:tcPr>
          <w:p w14:paraId="2B986AE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Godina</w:t>
            </w:r>
          </w:p>
        </w:tc>
        <w:tc>
          <w:tcPr>
            <w:tcW w:w="990" w:type="dxa"/>
            <w:tcBorders>
              <w:top w:val="single" w:sz="4" w:space="0" w:color="auto"/>
              <w:left w:val="nil"/>
              <w:bottom w:val="single" w:sz="4" w:space="0" w:color="auto"/>
            </w:tcBorders>
            <w:vAlign w:val="center"/>
          </w:tcPr>
          <w:p w14:paraId="114ACAC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Autor (NCBI)</w:t>
            </w:r>
          </w:p>
        </w:tc>
        <w:tc>
          <w:tcPr>
            <w:tcW w:w="900" w:type="dxa"/>
            <w:tcBorders>
              <w:top w:val="single" w:sz="4" w:space="0" w:color="auto"/>
              <w:bottom w:val="single" w:sz="4" w:space="0" w:color="auto"/>
            </w:tcBorders>
            <w:vAlign w:val="center"/>
          </w:tcPr>
          <w:p w14:paraId="7D53305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(ITS)</w:t>
            </w:r>
          </w:p>
        </w:tc>
        <w:tc>
          <w:tcPr>
            <w:tcW w:w="900" w:type="dxa"/>
            <w:tcBorders>
              <w:top w:val="single" w:sz="4" w:space="0" w:color="auto"/>
              <w:left w:val="nil"/>
              <w:bottom w:val="single" w:sz="4" w:space="0" w:color="auto"/>
            </w:tcBorders>
            <w:vAlign w:val="center"/>
          </w:tcPr>
          <w:p w14:paraId="7B71EB2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(TEF1a)</w:t>
            </w:r>
          </w:p>
        </w:tc>
        <w:tc>
          <w:tcPr>
            <w:tcW w:w="810" w:type="dxa"/>
            <w:tcBorders>
              <w:top w:val="single" w:sz="4" w:space="0" w:color="auto"/>
              <w:bottom w:val="single" w:sz="4" w:space="0" w:color="auto"/>
            </w:tcBorders>
            <w:vAlign w:val="center"/>
          </w:tcPr>
          <w:p w14:paraId="5C56C22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(TUB2)</w:t>
            </w:r>
          </w:p>
        </w:tc>
        <w:tc>
          <w:tcPr>
            <w:tcW w:w="810" w:type="dxa"/>
            <w:tcBorders>
              <w:top w:val="single" w:sz="4" w:space="0" w:color="auto"/>
              <w:left w:val="nil"/>
              <w:bottom w:val="single" w:sz="4" w:space="0" w:color="auto"/>
            </w:tcBorders>
            <w:vAlign w:val="center"/>
          </w:tcPr>
          <w:p w14:paraId="0764538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(LSU)</w:t>
            </w:r>
          </w:p>
        </w:tc>
        <w:tc>
          <w:tcPr>
            <w:tcW w:w="810" w:type="dxa"/>
            <w:tcBorders>
              <w:top w:val="single" w:sz="4" w:space="0" w:color="auto"/>
              <w:bottom w:val="single" w:sz="4" w:space="0" w:color="auto"/>
            </w:tcBorders>
            <w:vAlign w:val="center"/>
          </w:tcPr>
          <w:p w14:paraId="2EE51C5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(RPB2)</w:t>
            </w:r>
          </w:p>
        </w:tc>
      </w:tr>
      <w:tr w:rsidR="003801E8" w14:paraId="47CAB201" w14:textId="77777777">
        <w:trPr>
          <w:trHeight w:val="528"/>
        </w:trPr>
        <w:tc>
          <w:tcPr>
            <w:tcW w:w="895" w:type="dxa"/>
            <w:tcBorders>
              <w:top w:val="single" w:sz="4" w:space="0" w:color="auto"/>
            </w:tcBorders>
            <w:vAlign w:val="center"/>
          </w:tcPr>
          <w:p w14:paraId="22D8475A"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N. parvum </w:t>
            </w:r>
          </w:p>
        </w:tc>
        <w:tc>
          <w:tcPr>
            <w:tcW w:w="990" w:type="dxa"/>
            <w:tcBorders>
              <w:top w:val="single" w:sz="4" w:space="0" w:color="auto"/>
              <w:left w:val="nil"/>
            </w:tcBorders>
            <w:shd w:val="clear" w:color="000000" w:fill="FFFFFF"/>
            <w:noWrap/>
            <w:vAlign w:val="center"/>
          </w:tcPr>
          <w:p w14:paraId="5E3611A6"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B-CG </w:t>
            </w:r>
          </w:p>
        </w:tc>
        <w:tc>
          <w:tcPr>
            <w:tcW w:w="810" w:type="dxa"/>
            <w:tcBorders>
              <w:top w:val="single" w:sz="4" w:space="0" w:color="auto"/>
            </w:tcBorders>
            <w:vAlign w:val="center"/>
          </w:tcPr>
          <w:p w14:paraId="5B4FF1DB"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Crna Gora</w:t>
            </w:r>
          </w:p>
        </w:tc>
        <w:tc>
          <w:tcPr>
            <w:tcW w:w="1260" w:type="dxa"/>
            <w:tcBorders>
              <w:top w:val="single" w:sz="4" w:space="0" w:color="auto"/>
              <w:left w:val="nil"/>
            </w:tcBorders>
            <w:vAlign w:val="center"/>
          </w:tcPr>
          <w:p w14:paraId="24FE559F"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V. vinifera</w:t>
            </w:r>
          </w:p>
        </w:tc>
        <w:tc>
          <w:tcPr>
            <w:tcW w:w="720" w:type="dxa"/>
            <w:tcBorders>
              <w:top w:val="single" w:sz="4" w:space="0" w:color="auto"/>
            </w:tcBorders>
            <w:vAlign w:val="center"/>
          </w:tcPr>
          <w:p w14:paraId="4C27804A"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2023</w:t>
            </w:r>
          </w:p>
        </w:tc>
        <w:tc>
          <w:tcPr>
            <w:tcW w:w="990" w:type="dxa"/>
            <w:tcBorders>
              <w:top w:val="single" w:sz="4" w:space="0" w:color="auto"/>
              <w:left w:val="nil"/>
            </w:tcBorders>
            <w:vAlign w:val="center"/>
          </w:tcPr>
          <w:p w14:paraId="22717452"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Kandić</w:t>
            </w:r>
          </w:p>
        </w:tc>
        <w:tc>
          <w:tcPr>
            <w:tcW w:w="900" w:type="dxa"/>
            <w:tcBorders>
              <w:top w:val="single" w:sz="4" w:space="0" w:color="auto"/>
            </w:tcBorders>
            <w:vAlign w:val="center"/>
          </w:tcPr>
          <w:p w14:paraId="758834AB"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PP859290</w:t>
            </w:r>
          </w:p>
        </w:tc>
        <w:tc>
          <w:tcPr>
            <w:tcW w:w="900" w:type="dxa"/>
            <w:tcBorders>
              <w:top w:val="single" w:sz="4" w:space="0" w:color="auto"/>
              <w:left w:val="nil"/>
            </w:tcBorders>
            <w:vAlign w:val="center"/>
          </w:tcPr>
          <w:p w14:paraId="05597DE2"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OZ371789</w:t>
            </w:r>
          </w:p>
        </w:tc>
        <w:tc>
          <w:tcPr>
            <w:tcW w:w="810" w:type="dxa"/>
            <w:tcBorders>
              <w:top w:val="single" w:sz="4" w:space="0" w:color="auto"/>
            </w:tcBorders>
            <w:vAlign w:val="center"/>
          </w:tcPr>
          <w:p w14:paraId="553F0105"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PX589646</w:t>
            </w:r>
          </w:p>
        </w:tc>
        <w:tc>
          <w:tcPr>
            <w:tcW w:w="810" w:type="dxa"/>
            <w:tcBorders>
              <w:top w:val="single" w:sz="4" w:space="0" w:color="auto"/>
              <w:left w:val="nil"/>
            </w:tcBorders>
            <w:vAlign w:val="center"/>
          </w:tcPr>
          <w:p w14:paraId="6D17065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PX572419</w:t>
            </w:r>
          </w:p>
        </w:tc>
        <w:tc>
          <w:tcPr>
            <w:tcW w:w="810" w:type="dxa"/>
            <w:tcBorders>
              <w:top w:val="single" w:sz="4" w:space="0" w:color="auto"/>
            </w:tcBorders>
            <w:vAlign w:val="center"/>
          </w:tcPr>
          <w:p w14:paraId="275A21A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PX624324</w:t>
            </w:r>
          </w:p>
        </w:tc>
      </w:tr>
      <w:tr w:rsidR="003801E8" w14:paraId="77C6FF22" w14:textId="77777777">
        <w:trPr>
          <w:trHeight w:val="528"/>
        </w:trPr>
        <w:tc>
          <w:tcPr>
            <w:tcW w:w="895" w:type="dxa"/>
            <w:vAlign w:val="center"/>
          </w:tcPr>
          <w:p w14:paraId="461BA721"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N. parvum </w:t>
            </w:r>
          </w:p>
        </w:tc>
        <w:tc>
          <w:tcPr>
            <w:tcW w:w="990" w:type="dxa"/>
            <w:tcBorders>
              <w:left w:val="nil"/>
            </w:tcBorders>
            <w:shd w:val="clear" w:color="000000" w:fill="FFFFFF"/>
            <w:noWrap/>
            <w:vAlign w:val="center"/>
          </w:tcPr>
          <w:p w14:paraId="2DE783DE"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CMW38135</w:t>
            </w:r>
          </w:p>
        </w:tc>
        <w:tc>
          <w:tcPr>
            <w:tcW w:w="810" w:type="dxa"/>
            <w:vAlign w:val="center"/>
          </w:tcPr>
          <w:p w14:paraId="25BA9E30"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Južna Afrika</w:t>
            </w:r>
          </w:p>
        </w:tc>
        <w:tc>
          <w:tcPr>
            <w:tcW w:w="1260" w:type="dxa"/>
            <w:tcBorders>
              <w:left w:val="nil"/>
            </w:tcBorders>
            <w:vAlign w:val="center"/>
          </w:tcPr>
          <w:p w14:paraId="0353564E"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A. karro</w:t>
            </w:r>
          </w:p>
        </w:tc>
        <w:tc>
          <w:tcPr>
            <w:tcW w:w="720" w:type="dxa"/>
            <w:vAlign w:val="center"/>
          </w:tcPr>
          <w:p w14:paraId="2F22B106"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2013</w:t>
            </w:r>
          </w:p>
        </w:tc>
        <w:tc>
          <w:tcPr>
            <w:tcW w:w="990" w:type="dxa"/>
            <w:tcBorders>
              <w:left w:val="nil"/>
            </w:tcBorders>
            <w:vAlign w:val="center"/>
          </w:tcPr>
          <w:p w14:paraId="60EDFFFB"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Jami </w:t>
            </w:r>
          </w:p>
        </w:tc>
        <w:tc>
          <w:tcPr>
            <w:tcW w:w="900" w:type="dxa"/>
            <w:vAlign w:val="center"/>
          </w:tcPr>
          <w:p w14:paraId="258237FF"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KC769920 </w:t>
            </w:r>
          </w:p>
        </w:tc>
        <w:tc>
          <w:tcPr>
            <w:tcW w:w="900" w:type="dxa"/>
            <w:tcBorders>
              <w:left w:val="nil"/>
            </w:tcBorders>
            <w:vAlign w:val="center"/>
          </w:tcPr>
          <w:p w14:paraId="0FAAF62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KC769831</w:t>
            </w:r>
          </w:p>
        </w:tc>
        <w:tc>
          <w:tcPr>
            <w:tcW w:w="810" w:type="dxa"/>
            <w:vAlign w:val="center"/>
          </w:tcPr>
          <w:p w14:paraId="2CB0DDDA"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KC769874</w:t>
            </w:r>
          </w:p>
        </w:tc>
        <w:tc>
          <w:tcPr>
            <w:tcW w:w="810" w:type="dxa"/>
            <w:tcBorders>
              <w:left w:val="nil"/>
            </w:tcBorders>
            <w:vAlign w:val="center"/>
          </w:tcPr>
          <w:p w14:paraId="183BBED4"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KC769975</w:t>
            </w:r>
          </w:p>
        </w:tc>
        <w:tc>
          <w:tcPr>
            <w:tcW w:w="810" w:type="dxa"/>
            <w:vAlign w:val="center"/>
          </w:tcPr>
          <w:p w14:paraId="47147B32"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21291190" w14:textId="77777777">
        <w:trPr>
          <w:trHeight w:val="528"/>
        </w:trPr>
        <w:tc>
          <w:tcPr>
            <w:tcW w:w="895" w:type="dxa"/>
            <w:vAlign w:val="center"/>
          </w:tcPr>
          <w:p w14:paraId="2836B09E"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N. parvum </w:t>
            </w:r>
          </w:p>
        </w:tc>
        <w:tc>
          <w:tcPr>
            <w:tcW w:w="990" w:type="dxa"/>
            <w:tcBorders>
              <w:left w:val="nil"/>
            </w:tcBorders>
            <w:shd w:val="clear" w:color="000000" w:fill="FFFFFF"/>
            <w:noWrap/>
            <w:vAlign w:val="center"/>
          </w:tcPr>
          <w:p w14:paraId="55225B37"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PER04</w:t>
            </w:r>
          </w:p>
        </w:tc>
        <w:tc>
          <w:tcPr>
            <w:tcW w:w="810" w:type="dxa"/>
            <w:vAlign w:val="center"/>
          </w:tcPr>
          <w:p w14:paraId="22122134"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Francuska</w:t>
            </w:r>
          </w:p>
        </w:tc>
        <w:tc>
          <w:tcPr>
            <w:tcW w:w="1260" w:type="dxa"/>
            <w:tcBorders>
              <w:left w:val="nil"/>
            </w:tcBorders>
            <w:vAlign w:val="center"/>
          </w:tcPr>
          <w:p w14:paraId="2C9081A9"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V. vinifera</w:t>
            </w:r>
          </w:p>
        </w:tc>
        <w:tc>
          <w:tcPr>
            <w:tcW w:w="720" w:type="dxa"/>
            <w:vAlign w:val="center"/>
          </w:tcPr>
          <w:p w14:paraId="3ECB0BF5"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2015</w:t>
            </w:r>
          </w:p>
        </w:tc>
        <w:tc>
          <w:tcPr>
            <w:tcW w:w="990" w:type="dxa"/>
            <w:tcBorders>
              <w:left w:val="nil"/>
            </w:tcBorders>
            <w:vAlign w:val="center"/>
          </w:tcPr>
          <w:p w14:paraId="0E968E7F"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Comont </w:t>
            </w:r>
          </w:p>
        </w:tc>
        <w:tc>
          <w:tcPr>
            <w:tcW w:w="900" w:type="dxa"/>
            <w:vAlign w:val="center"/>
          </w:tcPr>
          <w:p w14:paraId="40E56578"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KT935317 </w:t>
            </w:r>
          </w:p>
        </w:tc>
        <w:tc>
          <w:tcPr>
            <w:tcW w:w="900" w:type="dxa"/>
            <w:tcBorders>
              <w:left w:val="nil"/>
            </w:tcBorders>
            <w:vAlign w:val="center"/>
          </w:tcPr>
          <w:p w14:paraId="3B72837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PQ628088</w:t>
            </w:r>
          </w:p>
        </w:tc>
        <w:tc>
          <w:tcPr>
            <w:tcW w:w="810" w:type="dxa"/>
            <w:vAlign w:val="center"/>
          </w:tcPr>
          <w:p w14:paraId="3329272C"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KT935321</w:t>
            </w:r>
          </w:p>
        </w:tc>
        <w:tc>
          <w:tcPr>
            <w:tcW w:w="810" w:type="dxa"/>
            <w:tcBorders>
              <w:left w:val="nil"/>
            </w:tcBorders>
            <w:vAlign w:val="center"/>
          </w:tcPr>
          <w:p w14:paraId="4CD08166"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KT935314</w:t>
            </w:r>
          </w:p>
        </w:tc>
        <w:tc>
          <w:tcPr>
            <w:tcW w:w="810" w:type="dxa"/>
            <w:vAlign w:val="center"/>
          </w:tcPr>
          <w:p w14:paraId="76010BA8"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62CDECAA" w14:textId="77777777">
        <w:trPr>
          <w:trHeight w:val="528"/>
        </w:trPr>
        <w:tc>
          <w:tcPr>
            <w:tcW w:w="895" w:type="dxa"/>
            <w:vAlign w:val="center"/>
          </w:tcPr>
          <w:p w14:paraId="3F937996"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N. parvum </w:t>
            </w:r>
          </w:p>
        </w:tc>
        <w:tc>
          <w:tcPr>
            <w:tcW w:w="990" w:type="dxa"/>
            <w:tcBorders>
              <w:left w:val="nil"/>
            </w:tcBorders>
            <w:shd w:val="clear" w:color="000000" w:fill="FFFFFF"/>
            <w:noWrap/>
            <w:vAlign w:val="center"/>
          </w:tcPr>
          <w:p w14:paraId="17AC32C8"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MN001</w:t>
            </w:r>
          </w:p>
        </w:tc>
        <w:tc>
          <w:tcPr>
            <w:tcW w:w="810" w:type="dxa"/>
            <w:vAlign w:val="center"/>
          </w:tcPr>
          <w:p w14:paraId="4424DA7A"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Crna Gora</w:t>
            </w:r>
          </w:p>
        </w:tc>
        <w:tc>
          <w:tcPr>
            <w:tcW w:w="1260" w:type="dxa"/>
            <w:tcBorders>
              <w:left w:val="nil"/>
            </w:tcBorders>
            <w:vAlign w:val="center"/>
          </w:tcPr>
          <w:p w14:paraId="54DE6086"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V. vinifera</w:t>
            </w:r>
          </w:p>
        </w:tc>
        <w:tc>
          <w:tcPr>
            <w:tcW w:w="720" w:type="dxa"/>
            <w:vAlign w:val="center"/>
          </w:tcPr>
          <w:p w14:paraId="7229C53A"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2023</w:t>
            </w:r>
          </w:p>
        </w:tc>
        <w:tc>
          <w:tcPr>
            <w:tcW w:w="990" w:type="dxa"/>
            <w:tcBorders>
              <w:left w:val="nil"/>
            </w:tcBorders>
            <w:vAlign w:val="center"/>
          </w:tcPr>
          <w:p w14:paraId="47802606"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Kandić</w:t>
            </w:r>
          </w:p>
        </w:tc>
        <w:tc>
          <w:tcPr>
            <w:tcW w:w="900" w:type="dxa"/>
            <w:vAlign w:val="center"/>
          </w:tcPr>
          <w:p w14:paraId="1A3F9A03"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PX696940</w:t>
            </w:r>
          </w:p>
        </w:tc>
        <w:tc>
          <w:tcPr>
            <w:tcW w:w="900" w:type="dxa"/>
            <w:tcBorders>
              <w:left w:val="nil"/>
            </w:tcBorders>
            <w:vAlign w:val="center"/>
          </w:tcPr>
          <w:p w14:paraId="150412CD"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PX778012</w:t>
            </w:r>
          </w:p>
        </w:tc>
        <w:tc>
          <w:tcPr>
            <w:tcW w:w="810" w:type="dxa"/>
            <w:vAlign w:val="center"/>
          </w:tcPr>
          <w:p w14:paraId="5851EE4E"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PX778008</w:t>
            </w:r>
          </w:p>
        </w:tc>
        <w:tc>
          <w:tcPr>
            <w:tcW w:w="810" w:type="dxa"/>
            <w:tcBorders>
              <w:left w:val="nil"/>
            </w:tcBorders>
            <w:vAlign w:val="center"/>
          </w:tcPr>
          <w:p w14:paraId="5A300A24"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PX696939</w:t>
            </w:r>
          </w:p>
        </w:tc>
        <w:tc>
          <w:tcPr>
            <w:tcW w:w="810" w:type="dxa"/>
            <w:vAlign w:val="center"/>
          </w:tcPr>
          <w:p w14:paraId="0001DED3"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PX778004</w:t>
            </w:r>
          </w:p>
        </w:tc>
      </w:tr>
      <w:tr w:rsidR="003801E8" w14:paraId="308BE2E6" w14:textId="77777777">
        <w:trPr>
          <w:trHeight w:val="528"/>
        </w:trPr>
        <w:tc>
          <w:tcPr>
            <w:tcW w:w="895" w:type="dxa"/>
            <w:vAlign w:val="center"/>
          </w:tcPr>
          <w:p w14:paraId="10FD0F74"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N. parvum </w:t>
            </w:r>
          </w:p>
        </w:tc>
        <w:tc>
          <w:tcPr>
            <w:tcW w:w="990" w:type="dxa"/>
            <w:tcBorders>
              <w:left w:val="nil"/>
            </w:tcBorders>
            <w:shd w:val="clear" w:color="000000" w:fill="FFFFFF"/>
            <w:noWrap/>
            <w:vAlign w:val="center"/>
          </w:tcPr>
          <w:p w14:paraId="57468060"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7a</w:t>
            </w:r>
          </w:p>
        </w:tc>
        <w:tc>
          <w:tcPr>
            <w:tcW w:w="810" w:type="dxa"/>
            <w:vAlign w:val="center"/>
          </w:tcPr>
          <w:p w14:paraId="46B7B54C"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Portoriko </w:t>
            </w:r>
          </w:p>
        </w:tc>
        <w:tc>
          <w:tcPr>
            <w:tcW w:w="1260" w:type="dxa"/>
            <w:tcBorders>
              <w:left w:val="nil"/>
            </w:tcBorders>
            <w:vAlign w:val="center"/>
          </w:tcPr>
          <w:p w14:paraId="10B2F6F5"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M. indica</w:t>
            </w:r>
          </w:p>
        </w:tc>
        <w:tc>
          <w:tcPr>
            <w:tcW w:w="720" w:type="dxa"/>
            <w:vAlign w:val="center"/>
          </w:tcPr>
          <w:p w14:paraId="3CB8E062"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2021</w:t>
            </w:r>
          </w:p>
        </w:tc>
        <w:tc>
          <w:tcPr>
            <w:tcW w:w="990" w:type="dxa"/>
            <w:tcBorders>
              <w:left w:val="nil"/>
            </w:tcBorders>
            <w:vAlign w:val="center"/>
          </w:tcPr>
          <w:p w14:paraId="1B84DF1A"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Quimbita-Reyeset </w:t>
            </w:r>
          </w:p>
        </w:tc>
        <w:tc>
          <w:tcPr>
            <w:tcW w:w="900" w:type="dxa"/>
            <w:vAlign w:val="center"/>
          </w:tcPr>
          <w:p w14:paraId="536FB792"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OL376283</w:t>
            </w:r>
          </w:p>
        </w:tc>
        <w:tc>
          <w:tcPr>
            <w:tcW w:w="900" w:type="dxa"/>
            <w:tcBorders>
              <w:left w:val="nil"/>
            </w:tcBorders>
            <w:vAlign w:val="center"/>
          </w:tcPr>
          <w:p w14:paraId="7FE22EAE"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OL455960</w:t>
            </w:r>
          </w:p>
        </w:tc>
        <w:tc>
          <w:tcPr>
            <w:tcW w:w="810" w:type="dxa"/>
            <w:vAlign w:val="center"/>
          </w:tcPr>
          <w:p w14:paraId="2325D6D4"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OL455946</w:t>
            </w:r>
          </w:p>
        </w:tc>
        <w:tc>
          <w:tcPr>
            <w:tcW w:w="810" w:type="dxa"/>
            <w:tcBorders>
              <w:left w:val="nil"/>
            </w:tcBorders>
            <w:vAlign w:val="center"/>
          </w:tcPr>
          <w:p w14:paraId="7DAF422D"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OL376300</w:t>
            </w:r>
          </w:p>
        </w:tc>
        <w:tc>
          <w:tcPr>
            <w:tcW w:w="810" w:type="dxa"/>
            <w:vAlign w:val="center"/>
          </w:tcPr>
          <w:p w14:paraId="478ABD45"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46A402C4" w14:textId="77777777">
        <w:trPr>
          <w:trHeight w:val="528"/>
        </w:trPr>
        <w:tc>
          <w:tcPr>
            <w:tcW w:w="895" w:type="dxa"/>
            <w:vAlign w:val="center"/>
          </w:tcPr>
          <w:p w14:paraId="018C5B70"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D. mutila </w:t>
            </w:r>
          </w:p>
        </w:tc>
        <w:tc>
          <w:tcPr>
            <w:tcW w:w="990" w:type="dxa"/>
            <w:tcBorders>
              <w:left w:val="nil"/>
            </w:tcBorders>
            <w:shd w:val="clear" w:color="000000" w:fill="FFFFFF"/>
            <w:noWrap/>
            <w:vAlign w:val="center"/>
          </w:tcPr>
          <w:p w14:paraId="009C8EEA"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EFA 467</w:t>
            </w:r>
          </w:p>
        </w:tc>
        <w:tc>
          <w:tcPr>
            <w:tcW w:w="810" w:type="dxa"/>
            <w:vAlign w:val="center"/>
          </w:tcPr>
          <w:p w14:paraId="11235578"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Španija</w:t>
            </w:r>
          </w:p>
        </w:tc>
        <w:tc>
          <w:tcPr>
            <w:tcW w:w="1260" w:type="dxa"/>
            <w:tcBorders>
              <w:left w:val="nil"/>
            </w:tcBorders>
            <w:vAlign w:val="center"/>
          </w:tcPr>
          <w:p w14:paraId="13928CE3"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V. vinifera</w:t>
            </w:r>
          </w:p>
        </w:tc>
        <w:tc>
          <w:tcPr>
            <w:tcW w:w="720" w:type="dxa"/>
            <w:vAlign w:val="center"/>
          </w:tcPr>
          <w:p w14:paraId="783392B3"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2017</w:t>
            </w:r>
          </w:p>
        </w:tc>
        <w:tc>
          <w:tcPr>
            <w:tcW w:w="990" w:type="dxa"/>
            <w:tcBorders>
              <w:left w:val="nil"/>
            </w:tcBorders>
            <w:vAlign w:val="center"/>
          </w:tcPr>
          <w:p w14:paraId="6D8FE85B"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 Costas Imbernon </w:t>
            </w:r>
          </w:p>
        </w:tc>
        <w:tc>
          <w:tcPr>
            <w:tcW w:w="900" w:type="dxa"/>
            <w:vAlign w:val="center"/>
          </w:tcPr>
          <w:p w14:paraId="44D1CEF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xml:space="preserve">MG547968 </w:t>
            </w:r>
          </w:p>
        </w:tc>
        <w:tc>
          <w:tcPr>
            <w:tcW w:w="900" w:type="dxa"/>
            <w:tcBorders>
              <w:left w:val="nil"/>
            </w:tcBorders>
            <w:vAlign w:val="center"/>
          </w:tcPr>
          <w:p w14:paraId="3FFCABF9"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MH118927</w:t>
            </w:r>
          </w:p>
        </w:tc>
        <w:tc>
          <w:tcPr>
            <w:tcW w:w="810" w:type="dxa"/>
            <w:vAlign w:val="center"/>
          </w:tcPr>
          <w:p w14:paraId="5B5E40AE"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MH118936</w:t>
            </w:r>
          </w:p>
        </w:tc>
        <w:tc>
          <w:tcPr>
            <w:tcW w:w="810" w:type="dxa"/>
            <w:tcBorders>
              <w:left w:val="nil"/>
            </w:tcBorders>
            <w:vAlign w:val="center"/>
          </w:tcPr>
          <w:p w14:paraId="49E42927"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MH071398</w:t>
            </w:r>
          </w:p>
        </w:tc>
        <w:tc>
          <w:tcPr>
            <w:tcW w:w="810" w:type="dxa"/>
            <w:vAlign w:val="center"/>
          </w:tcPr>
          <w:p w14:paraId="510BA41E"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MH118945</w:t>
            </w:r>
          </w:p>
        </w:tc>
      </w:tr>
      <w:tr w:rsidR="003801E8" w14:paraId="62860496" w14:textId="77777777">
        <w:trPr>
          <w:trHeight w:val="528"/>
        </w:trPr>
        <w:tc>
          <w:tcPr>
            <w:tcW w:w="895" w:type="dxa"/>
            <w:vAlign w:val="center"/>
          </w:tcPr>
          <w:p w14:paraId="1D0AFA50"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D. mutila </w:t>
            </w:r>
          </w:p>
        </w:tc>
        <w:tc>
          <w:tcPr>
            <w:tcW w:w="990" w:type="dxa"/>
            <w:tcBorders>
              <w:left w:val="nil"/>
            </w:tcBorders>
            <w:shd w:val="clear" w:color="000000" w:fill="FFFFFF"/>
            <w:noWrap/>
            <w:vAlign w:val="center"/>
          </w:tcPr>
          <w:p w14:paraId="49319220"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MN001</w:t>
            </w:r>
          </w:p>
        </w:tc>
        <w:tc>
          <w:tcPr>
            <w:tcW w:w="810" w:type="dxa"/>
            <w:vAlign w:val="center"/>
          </w:tcPr>
          <w:p w14:paraId="0DBF9EE9"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Crna Gora</w:t>
            </w:r>
          </w:p>
        </w:tc>
        <w:tc>
          <w:tcPr>
            <w:tcW w:w="1260" w:type="dxa"/>
            <w:tcBorders>
              <w:left w:val="nil"/>
            </w:tcBorders>
            <w:vAlign w:val="center"/>
          </w:tcPr>
          <w:p w14:paraId="0B3FF67D"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V. vinifera</w:t>
            </w:r>
          </w:p>
        </w:tc>
        <w:tc>
          <w:tcPr>
            <w:tcW w:w="720" w:type="dxa"/>
            <w:vAlign w:val="center"/>
          </w:tcPr>
          <w:p w14:paraId="2FDFC279"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2023</w:t>
            </w:r>
          </w:p>
        </w:tc>
        <w:tc>
          <w:tcPr>
            <w:tcW w:w="990" w:type="dxa"/>
            <w:tcBorders>
              <w:left w:val="nil"/>
            </w:tcBorders>
            <w:vAlign w:val="center"/>
          </w:tcPr>
          <w:p w14:paraId="3634641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Kandić</w:t>
            </w:r>
          </w:p>
        </w:tc>
        <w:tc>
          <w:tcPr>
            <w:tcW w:w="900" w:type="dxa"/>
            <w:vAlign w:val="center"/>
          </w:tcPr>
          <w:p w14:paraId="12F1834E"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PX695627</w:t>
            </w:r>
          </w:p>
        </w:tc>
        <w:tc>
          <w:tcPr>
            <w:tcW w:w="900" w:type="dxa"/>
            <w:tcBorders>
              <w:left w:val="nil"/>
            </w:tcBorders>
            <w:vAlign w:val="center"/>
          </w:tcPr>
          <w:p w14:paraId="564707D9"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PX778010</w:t>
            </w:r>
          </w:p>
        </w:tc>
        <w:tc>
          <w:tcPr>
            <w:tcW w:w="810" w:type="dxa"/>
            <w:vAlign w:val="center"/>
          </w:tcPr>
          <w:p w14:paraId="7E04F8BA"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PX778006</w:t>
            </w:r>
          </w:p>
        </w:tc>
        <w:tc>
          <w:tcPr>
            <w:tcW w:w="810" w:type="dxa"/>
            <w:tcBorders>
              <w:left w:val="nil"/>
            </w:tcBorders>
            <w:vAlign w:val="center"/>
          </w:tcPr>
          <w:p w14:paraId="1FC7032A"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PX695626</w:t>
            </w:r>
          </w:p>
        </w:tc>
        <w:tc>
          <w:tcPr>
            <w:tcW w:w="810" w:type="dxa"/>
            <w:vAlign w:val="center"/>
          </w:tcPr>
          <w:p w14:paraId="30D12505"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PX778002</w:t>
            </w:r>
          </w:p>
        </w:tc>
      </w:tr>
      <w:tr w:rsidR="003801E8" w14:paraId="46B489BB" w14:textId="77777777">
        <w:trPr>
          <w:trHeight w:val="792"/>
        </w:trPr>
        <w:tc>
          <w:tcPr>
            <w:tcW w:w="895" w:type="dxa"/>
            <w:vAlign w:val="center"/>
          </w:tcPr>
          <w:p w14:paraId="4A6ACB2E"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L. theobromae</w:t>
            </w:r>
          </w:p>
        </w:tc>
        <w:tc>
          <w:tcPr>
            <w:tcW w:w="990" w:type="dxa"/>
            <w:tcBorders>
              <w:left w:val="nil"/>
            </w:tcBorders>
            <w:vAlign w:val="center"/>
          </w:tcPr>
          <w:p w14:paraId="7E0171A2" w14:textId="77777777" w:rsidR="003801E8" w:rsidRDefault="00E44AAE">
            <w:pPr>
              <w:spacing w:after="0" w:line="240" w:lineRule="auto"/>
              <w:rPr>
                <w:rFonts w:ascii="Book Antiqua" w:eastAsia="Times New Roman" w:hAnsi="Book Antiqua" w:cs="Times New Roman"/>
                <w:color w:val="222222"/>
                <w:sz w:val="18"/>
                <w:szCs w:val="18"/>
                <w:lang w:val="en-US"/>
              </w:rPr>
            </w:pPr>
            <w:r>
              <w:rPr>
                <w:rFonts w:ascii="Book Antiqua" w:eastAsia="Times New Roman" w:hAnsi="Book Antiqua" w:cs="Times New Roman"/>
                <w:color w:val="222222"/>
                <w:sz w:val="18"/>
                <w:szCs w:val="18"/>
                <w:lang w:val="en-US"/>
              </w:rPr>
              <w:t>SICAUCC-22-146</w:t>
            </w:r>
          </w:p>
        </w:tc>
        <w:tc>
          <w:tcPr>
            <w:tcW w:w="810" w:type="dxa"/>
            <w:vAlign w:val="center"/>
          </w:tcPr>
          <w:p w14:paraId="18715076"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Kina</w:t>
            </w:r>
          </w:p>
        </w:tc>
        <w:tc>
          <w:tcPr>
            <w:tcW w:w="1260" w:type="dxa"/>
            <w:tcBorders>
              <w:left w:val="nil"/>
            </w:tcBorders>
            <w:vAlign w:val="center"/>
          </w:tcPr>
          <w:p w14:paraId="4E28750A"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Unkown</w:t>
            </w:r>
          </w:p>
        </w:tc>
        <w:tc>
          <w:tcPr>
            <w:tcW w:w="720" w:type="dxa"/>
            <w:vAlign w:val="center"/>
          </w:tcPr>
          <w:p w14:paraId="011EE6F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2022</w:t>
            </w:r>
          </w:p>
        </w:tc>
        <w:tc>
          <w:tcPr>
            <w:tcW w:w="990" w:type="dxa"/>
            <w:tcBorders>
              <w:left w:val="nil"/>
            </w:tcBorders>
            <w:vAlign w:val="center"/>
          </w:tcPr>
          <w:p w14:paraId="19903009"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Wang</w:t>
            </w:r>
          </w:p>
        </w:tc>
        <w:tc>
          <w:tcPr>
            <w:tcW w:w="900" w:type="dxa"/>
            <w:vAlign w:val="center"/>
          </w:tcPr>
          <w:p w14:paraId="4B8F7E9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hAnsi="Book Antiqua" w:cs="Calibri"/>
                <w:b/>
                <w:bCs/>
                <w:color w:val="000000"/>
                <w:sz w:val="18"/>
                <w:szCs w:val="18"/>
              </w:rPr>
              <w:t>OP963845</w:t>
            </w:r>
          </w:p>
        </w:tc>
        <w:tc>
          <w:tcPr>
            <w:tcW w:w="900" w:type="dxa"/>
            <w:tcBorders>
              <w:left w:val="nil"/>
            </w:tcBorders>
            <w:vAlign w:val="center"/>
          </w:tcPr>
          <w:p w14:paraId="5AF9655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hAnsi="Book Antiqua" w:cs="Calibri"/>
                <w:b/>
                <w:bCs/>
                <w:color w:val="000000"/>
                <w:sz w:val="18"/>
                <w:szCs w:val="18"/>
              </w:rPr>
              <w:t>OQ281383</w:t>
            </w:r>
          </w:p>
        </w:tc>
        <w:tc>
          <w:tcPr>
            <w:tcW w:w="810" w:type="dxa"/>
            <w:vAlign w:val="center"/>
          </w:tcPr>
          <w:p w14:paraId="2CB1154B"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hAnsi="Book Antiqua"/>
                <w:b/>
                <w:bCs/>
                <w:color w:val="000000"/>
                <w:sz w:val="18"/>
                <w:szCs w:val="18"/>
              </w:rPr>
              <w:t>OQ281420</w:t>
            </w:r>
          </w:p>
        </w:tc>
        <w:tc>
          <w:tcPr>
            <w:tcW w:w="810" w:type="dxa"/>
            <w:tcBorders>
              <w:left w:val="nil"/>
            </w:tcBorders>
            <w:vAlign w:val="center"/>
          </w:tcPr>
          <w:p w14:paraId="208AA68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hAnsi="Book Antiqua" w:cs="Calibri"/>
                <w:b/>
                <w:bCs/>
                <w:color w:val="000000"/>
                <w:sz w:val="18"/>
                <w:szCs w:val="18"/>
              </w:rPr>
              <w:t>OP964584</w:t>
            </w:r>
          </w:p>
        </w:tc>
        <w:tc>
          <w:tcPr>
            <w:tcW w:w="810" w:type="dxa"/>
            <w:vAlign w:val="center"/>
          </w:tcPr>
          <w:p w14:paraId="022453EE"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hAnsi="Book Antiqua" w:cs="Calibri"/>
                <w:color w:val="000000"/>
                <w:sz w:val="18"/>
                <w:szCs w:val="18"/>
              </w:rPr>
              <w:t>OP963845</w:t>
            </w:r>
          </w:p>
        </w:tc>
      </w:tr>
      <w:tr w:rsidR="003801E8" w14:paraId="115838F4" w14:textId="77777777">
        <w:trPr>
          <w:trHeight w:val="576"/>
        </w:trPr>
        <w:tc>
          <w:tcPr>
            <w:tcW w:w="895" w:type="dxa"/>
            <w:vAlign w:val="center"/>
          </w:tcPr>
          <w:p w14:paraId="1714B496"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D. mutila </w:t>
            </w:r>
          </w:p>
        </w:tc>
        <w:tc>
          <w:tcPr>
            <w:tcW w:w="990" w:type="dxa"/>
            <w:tcBorders>
              <w:left w:val="nil"/>
            </w:tcBorders>
            <w:shd w:val="clear" w:color="000000" w:fill="FFFFFF"/>
            <w:noWrap/>
            <w:vAlign w:val="center"/>
          </w:tcPr>
          <w:p w14:paraId="1060AD52"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CBS 112553</w:t>
            </w:r>
          </w:p>
        </w:tc>
        <w:tc>
          <w:tcPr>
            <w:tcW w:w="810" w:type="dxa"/>
            <w:vAlign w:val="center"/>
          </w:tcPr>
          <w:p w14:paraId="67E5D98F"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Portugal</w:t>
            </w:r>
          </w:p>
        </w:tc>
        <w:tc>
          <w:tcPr>
            <w:tcW w:w="1260" w:type="dxa"/>
            <w:tcBorders>
              <w:left w:val="nil"/>
            </w:tcBorders>
            <w:vAlign w:val="center"/>
          </w:tcPr>
          <w:p w14:paraId="77D83AAE"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V. vinifera</w:t>
            </w:r>
          </w:p>
        </w:tc>
        <w:tc>
          <w:tcPr>
            <w:tcW w:w="720" w:type="dxa"/>
            <w:vAlign w:val="center"/>
          </w:tcPr>
          <w:p w14:paraId="3D502F74"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2005</w:t>
            </w:r>
          </w:p>
        </w:tc>
        <w:tc>
          <w:tcPr>
            <w:tcW w:w="990" w:type="dxa"/>
            <w:tcBorders>
              <w:left w:val="nil"/>
            </w:tcBorders>
            <w:vAlign w:val="center"/>
          </w:tcPr>
          <w:p w14:paraId="483953E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Alves </w:t>
            </w:r>
          </w:p>
        </w:tc>
        <w:tc>
          <w:tcPr>
            <w:tcW w:w="900" w:type="dxa"/>
            <w:vAlign w:val="center"/>
          </w:tcPr>
          <w:p w14:paraId="5A557C52"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AY259093</w:t>
            </w:r>
          </w:p>
        </w:tc>
        <w:tc>
          <w:tcPr>
            <w:tcW w:w="900" w:type="dxa"/>
            <w:tcBorders>
              <w:left w:val="nil"/>
            </w:tcBorders>
            <w:vAlign w:val="center"/>
          </w:tcPr>
          <w:p w14:paraId="1C8F2BBC"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AY573219</w:t>
            </w:r>
          </w:p>
        </w:tc>
        <w:tc>
          <w:tcPr>
            <w:tcW w:w="810" w:type="dxa"/>
            <w:vAlign w:val="center"/>
          </w:tcPr>
          <w:p w14:paraId="3B8D8BE3"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DQ458850</w:t>
            </w:r>
          </w:p>
        </w:tc>
        <w:tc>
          <w:tcPr>
            <w:tcW w:w="810" w:type="dxa"/>
            <w:tcBorders>
              <w:left w:val="nil"/>
            </w:tcBorders>
            <w:vAlign w:val="bottom"/>
          </w:tcPr>
          <w:p w14:paraId="403C4CF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AY928049</w:t>
            </w:r>
          </w:p>
        </w:tc>
        <w:tc>
          <w:tcPr>
            <w:tcW w:w="810" w:type="dxa"/>
            <w:vAlign w:val="center"/>
          </w:tcPr>
          <w:p w14:paraId="6461A733"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6DD0C9E4" w14:textId="77777777">
        <w:trPr>
          <w:trHeight w:val="528"/>
        </w:trPr>
        <w:tc>
          <w:tcPr>
            <w:tcW w:w="895" w:type="dxa"/>
            <w:vAlign w:val="center"/>
          </w:tcPr>
          <w:p w14:paraId="008DB1ED"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D. seriata </w:t>
            </w:r>
          </w:p>
        </w:tc>
        <w:tc>
          <w:tcPr>
            <w:tcW w:w="990" w:type="dxa"/>
            <w:tcBorders>
              <w:left w:val="nil"/>
            </w:tcBorders>
            <w:shd w:val="clear" w:color="000000" w:fill="FFFFFF"/>
            <w:noWrap/>
            <w:vAlign w:val="center"/>
          </w:tcPr>
          <w:p w14:paraId="56EF76EF"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MN001</w:t>
            </w:r>
          </w:p>
        </w:tc>
        <w:tc>
          <w:tcPr>
            <w:tcW w:w="810" w:type="dxa"/>
            <w:vAlign w:val="center"/>
          </w:tcPr>
          <w:p w14:paraId="3BB2A49D"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Crna Gora</w:t>
            </w:r>
          </w:p>
        </w:tc>
        <w:tc>
          <w:tcPr>
            <w:tcW w:w="1260" w:type="dxa"/>
            <w:tcBorders>
              <w:left w:val="nil"/>
            </w:tcBorders>
            <w:vAlign w:val="center"/>
          </w:tcPr>
          <w:p w14:paraId="4F61EEA8"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V. vinifera</w:t>
            </w:r>
          </w:p>
        </w:tc>
        <w:tc>
          <w:tcPr>
            <w:tcW w:w="720" w:type="dxa"/>
            <w:vAlign w:val="center"/>
          </w:tcPr>
          <w:p w14:paraId="7B0D71C7"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2023</w:t>
            </w:r>
          </w:p>
        </w:tc>
        <w:tc>
          <w:tcPr>
            <w:tcW w:w="990" w:type="dxa"/>
            <w:tcBorders>
              <w:left w:val="nil"/>
            </w:tcBorders>
            <w:vAlign w:val="center"/>
          </w:tcPr>
          <w:p w14:paraId="4DD2DBD3"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Kandić</w:t>
            </w:r>
          </w:p>
        </w:tc>
        <w:tc>
          <w:tcPr>
            <w:tcW w:w="900" w:type="dxa"/>
            <w:vAlign w:val="center"/>
          </w:tcPr>
          <w:p w14:paraId="2D48034C"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PX695674</w:t>
            </w:r>
          </w:p>
        </w:tc>
        <w:tc>
          <w:tcPr>
            <w:tcW w:w="900" w:type="dxa"/>
            <w:tcBorders>
              <w:left w:val="nil"/>
            </w:tcBorders>
            <w:vAlign w:val="center"/>
          </w:tcPr>
          <w:p w14:paraId="3EB345B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PX778011</w:t>
            </w:r>
          </w:p>
        </w:tc>
        <w:tc>
          <w:tcPr>
            <w:tcW w:w="810" w:type="dxa"/>
            <w:vAlign w:val="center"/>
          </w:tcPr>
          <w:p w14:paraId="7E854AEC"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PX778007</w:t>
            </w:r>
          </w:p>
        </w:tc>
        <w:tc>
          <w:tcPr>
            <w:tcW w:w="810" w:type="dxa"/>
            <w:tcBorders>
              <w:left w:val="nil"/>
            </w:tcBorders>
            <w:vAlign w:val="center"/>
          </w:tcPr>
          <w:p w14:paraId="5A9845B4"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PX695673</w:t>
            </w:r>
          </w:p>
        </w:tc>
        <w:tc>
          <w:tcPr>
            <w:tcW w:w="810" w:type="dxa"/>
            <w:vAlign w:val="center"/>
          </w:tcPr>
          <w:p w14:paraId="1EB701E7"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PX778003</w:t>
            </w:r>
          </w:p>
        </w:tc>
      </w:tr>
      <w:tr w:rsidR="003801E8" w14:paraId="5FB4EE84" w14:textId="77777777">
        <w:trPr>
          <w:trHeight w:val="528"/>
        </w:trPr>
        <w:tc>
          <w:tcPr>
            <w:tcW w:w="895" w:type="dxa"/>
            <w:vAlign w:val="center"/>
          </w:tcPr>
          <w:p w14:paraId="7DDE1AE6"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D. seriata </w:t>
            </w:r>
          </w:p>
        </w:tc>
        <w:tc>
          <w:tcPr>
            <w:tcW w:w="990" w:type="dxa"/>
            <w:tcBorders>
              <w:left w:val="nil"/>
            </w:tcBorders>
            <w:shd w:val="clear" w:color="000000" w:fill="FFFFFF"/>
            <w:noWrap/>
            <w:vAlign w:val="center"/>
          </w:tcPr>
          <w:p w14:paraId="4CBAD91F"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CMW39378</w:t>
            </w:r>
          </w:p>
        </w:tc>
        <w:tc>
          <w:tcPr>
            <w:tcW w:w="810" w:type="dxa"/>
            <w:vAlign w:val="center"/>
          </w:tcPr>
          <w:p w14:paraId="372865EF"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Srbija</w:t>
            </w:r>
          </w:p>
        </w:tc>
        <w:tc>
          <w:tcPr>
            <w:tcW w:w="1260" w:type="dxa"/>
            <w:tcBorders>
              <w:left w:val="nil"/>
            </w:tcBorders>
            <w:vAlign w:val="center"/>
          </w:tcPr>
          <w:p w14:paraId="23DB5C57"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C. atlantica</w:t>
            </w:r>
          </w:p>
        </w:tc>
        <w:tc>
          <w:tcPr>
            <w:tcW w:w="720" w:type="dxa"/>
            <w:vAlign w:val="center"/>
          </w:tcPr>
          <w:p w14:paraId="31723944"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2016</w:t>
            </w:r>
          </w:p>
        </w:tc>
        <w:tc>
          <w:tcPr>
            <w:tcW w:w="990" w:type="dxa"/>
            <w:tcBorders>
              <w:left w:val="nil"/>
            </w:tcBorders>
            <w:vAlign w:val="center"/>
          </w:tcPr>
          <w:p w14:paraId="060BC05F"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Zlatković </w:t>
            </w:r>
          </w:p>
        </w:tc>
        <w:tc>
          <w:tcPr>
            <w:tcW w:w="900" w:type="dxa"/>
            <w:vAlign w:val="center"/>
          </w:tcPr>
          <w:p w14:paraId="0BDFA7C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KF574994</w:t>
            </w:r>
          </w:p>
        </w:tc>
        <w:tc>
          <w:tcPr>
            <w:tcW w:w="900" w:type="dxa"/>
            <w:tcBorders>
              <w:left w:val="nil"/>
            </w:tcBorders>
            <w:vAlign w:val="center"/>
          </w:tcPr>
          <w:p w14:paraId="1E331CCF"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KF575031</w:t>
            </w:r>
          </w:p>
        </w:tc>
        <w:tc>
          <w:tcPr>
            <w:tcW w:w="810" w:type="dxa"/>
            <w:vAlign w:val="center"/>
          </w:tcPr>
          <w:p w14:paraId="29E5038C"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KF575090</w:t>
            </w:r>
          </w:p>
        </w:tc>
        <w:tc>
          <w:tcPr>
            <w:tcW w:w="810" w:type="dxa"/>
            <w:tcBorders>
              <w:left w:val="nil"/>
            </w:tcBorders>
            <w:vAlign w:val="center"/>
          </w:tcPr>
          <w:p w14:paraId="51C5DD3D"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KF575061</w:t>
            </w:r>
          </w:p>
        </w:tc>
        <w:tc>
          <w:tcPr>
            <w:tcW w:w="810" w:type="dxa"/>
            <w:vAlign w:val="center"/>
          </w:tcPr>
          <w:p w14:paraId="2EC53CA9"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6FC2C8AC" w14:textId="77777777">
        <w:trPr>
          <w:trHeight w:val="528"/>
        </w:trPr>
        <w:tc>
          <w:tcPr>
            <w:tcW w:w="895" w:type="dxa"/>
            <w:vAlign w:val="center"/>
          </w:tcPr>
          <w:p w14:paraId="3B2F36F7"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D. seriata </w:t>
            </w:r>
          </w:p>
        </w:tc>
        <w:tc>
          <w:tcPr>
            <w:tcW w:w="990" w:type="dxa"/>
            <w:tcBorders>
              <w:left w:val="nil"/>
            </w:tcBorders>
            <w:shd w:val="clear" w:color="000000" w:fill="FFFFFF"/>
            <w:noWrap/>
            <w:vAlign w:val="center"/>
          </w:tcPr>
          <w:p w14:paraId="1D5C629F"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Mz-F44</w:t>
            </w:r>
          </w:p>
        </w:tc>
        <w:tc>
          <w:tcPr>
            <w:tcW w:w="810" w:type="dxa"/>
            <w:vAlign w:val="center"/>
          </w:tcPr>
          <w:p w14:paraId="7C402CC6"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Čile</w:t>
            </w:r>
          </w:p>
        </w:tc>
        <w:tc>
          <w:tcPr>
            <w:tcW w:w="1260" w:type="dxa"/>
            <w:tcBorders>
              <w:left w:val="nil"/>
            </w:tcBorders>
            <w:vAlign w:val="center"/>
          </w:tcPr>
          <w:p w14:paraId="45029EEA"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M. domestica</w:t>
            </w:r>
          </w:p>
        </w:tc>
        <w:tc>
          <w:tcPr>
            <w:tcW w:w="720" w:type="dxa"/>
            <w:vAlign w:val="center"/>
          </w:tcPr>
          <w:p w14:paraId="109761EF"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2017</w:t>
            </w:r>
          </w:p>
        </w:tc>
        <w:tc>
          <w:tcPr>
            <w:tcW w:w="990" w:type="dxa"/>
            <w:tcBorders>
              <w:left w:val="nil"/>
            </w:tcBorders>
            <w:vAlign w:val="center"/>
          </w:tcPr>
          <w:p w14:paraId="1A94C905"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Ferrada &amp; Dias</w:t>
            </w:r>
          </w:p>
        </w:tc>
        <w:tc>
          <w:tcPr>
            <w:tcW w:w="900" w:type="dxa"/>
            <w:vAlign w:val="center"/>
          </w:tcPr>
          <w:p w14:paraId="58F08B53"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KU942439</w:t>
            </w:r>
          </w:p>
        </w:tc>
        <w:tc>
          <w:tcPr>
            <w:tcW w:w="900" w:type="dxa"/>
            <w:tcBorders>
              <w:left w:val="nil"/>
            </w:tcBorders>
            <w:vAlign w:val="center"/>
          </w:tcPr>
          <w:p w14:paraId="1F1DC612"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KU951897</w:t>
            </w:r>
          </w:p>
        </w:tc>
        <w:tc>
          <w:tcPr>
            <w:tcW w:w="810" w:type="dxa"/>
            <w:vAlign w:val="center"/>
          </w:tcPr>
          <w:p w14:paraId="54446EFD"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KU976452</w:t>
            </w:r>
          </w:p>
        </w:tc>
        <w:tc>
          <w:tcPr>
            <w:tcW w:w="810" w:type="dxa"/>
            <w:tcBorders>
              <w:left w:val="nil"/>
            </w:tcBorders>
            <w:vAlign w:val="center"/>
          </w:tcPr>
          <w:p w14:paraId="6062C091"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MG720318</w:t>
            </w:r>
          </w:p>
        </w:tc>
        <w:tc>
          <w:tcPr>
            <w:tcW w:w="810" w:type="dxa"/>
            <w:vAlign w:val="center"/>
          </w:tcPr>
          <w:p w14:paraId="478260A7"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2680EA89" w14:textId="77777777">
        <w:trPr>
          <w:trHeight w:val="528"/>
        </w:trPr>
        <w:tc>
          <w:tcPr>
            <w:tcW w:w="895" w:type="dxa"/>
            <w:vAlign w:val="center"/>
          </w:tcPr>
          <w:p w14:paraId="1E995ECE"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D. seriata </w:t>
            </w:r>
          </w:p>
        </w:tc>
        <w:tc>
          <w:tcPr>
            <w:tcW w:w="990" w:type="dxa"/>
            <w:tcBorders>
              <w:left w:val="nil"/>
            </w:tcBorders>
            <w:shd w:val="clear" w:color="000000" w:fill="FFFFFF"/>
            <w:noWrap/>
            <w:vAlign w:val="center"/>
          </w:tcPr>
          <w:p w14:paraId="7CD6C319"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Mz-F13 </w:t>
            </w:r>
          </w:p>
        </w:tc>
        <w:tc>
          <w:tcPr>
            <w:tcW w:w="810" w:type="dxa"/>
            <w:vAlign w:val="center"/>
          </w:tcPr>
          <w:p w14:paraId="5607941C"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Čile</w:t>
            </w:r>
          </w:p>
        </w:tc>
        <w:tc>
          <w:tcPr>
            <w:tcW w:w="1260" w:type="dxa"/>
            <w:tcBorders>
              <w:left w:val="nil"/>
            </w:tcBorders>
            <w:vAlign w:val="center"/>
          </w:tcPr>
          <w:p w14:paraId="7BC9E417"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M. domestica</w:t>
            </w:r>
          </w:p>
        </w:tc>
        <w:tc>
          <w:tcPr>
            <w:tcW w:w="720" w:type="dxa"/>
            <w:vAlign w:val="center"/>
          </w:tcPr>
          <w:p w14:paraId="0B40321B"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2017</w:t>
            </w:r>
          </w:p>
        </w:tc>
        <w:tc>
          <w:tcPr>
            <w:tcW w:w="990" w:type="dxa"/>
            <w:tcBorders>
              <w:left w:val="nil"/>
            </w:tcBorders>
            <w:vAlign w:val="center"/>
          </w:tcPr>
          <w:p w14:paraId="38CEF114"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Ferrada &amp; Dias</w:t>
            </w:r>
          </w:p>
        </w:tc>
        <w:tc>
          <w:tcPr>
            <w:tcW w:w="900" w:type="dxa"/>
            <w:vAlign w:val="center"/>
          </w:tcPr>
          <w:p w14:paraId="760359BD"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KU942434</w:t>
            </w:r>
          </w:p>
        </w:tc>
        <w:tc>
          <w:tcPr>
            <w:tcW w:w="900" w:type="dxa"/>
            <w:tcBorders>
              <w:left w:val="nil"/>
            </w:tcBorders>
            <w:vAlign w:val="center"/>
          </w:tcPr>
          <w:p w14:paraId="7996A0D1"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KU951894</w:t>
            </w:r>
          </w:p>
        </w:tc>
        <w:tc>
          <w:tcPr>
            <w:tcW w:w="810" w:type="dxa"/>
            <w:vAlign w:val="center"/>
          </w:tcPr>
          <w:p w14:paraId="22A46731"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KU976450</w:t>
            </w:r>
          </w:p>
        </w:tc>
        <w:tc>
          <w:tcPr>
            <w:tcW w:w="810" w:type="dxa"/>
            <w:tcBorders>
              <w:left w:val="nil"/>
            </w:tcBorders>
            <w:vAlign w:val="center"/>
          </w:tcPr>
          <w:p w14:paraId="1817809F"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MG720316</w:t>
            </w:r>
          </w:p>
        </w:tc>
        <w:tc>
          <w:tcPr>
            <w:tcW w:w="810" w:type="dxa"/>
            <w:vAlign w:val="center"/>
          </w:tcPr>
          <w:p w14:paraId="58AE019E"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0FD4F911" w14:textId="77777777">
        <w:trPr>
          <w:trHeight w:val="528"/>
        </w:trPr>
        <w:tc>
          <w:tcPr>
            <w:tcW w:w="895" w:type="dxa"/>
            <w:vAlign w:val="center"/>
          </w:tcPr>
          <w:p w14:paraId="3AB23EF8"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D. seriata </w:t>
            </w:r>
          </w:p>
        </w:tc>
        <w:tc>
          <w:tcPr>
            <w:tcW w:w="990" w:type="dxa"/>
            <w:tcBorders>
              <w:left w:val="nil"/>
            </w:tcBorders>
            <w:shd w:val="clear" w:color="000000" w:fill="FFFFFF"/>
            <w:noWrap/>
            <w:vAlign w:val="center"/>
          </w:tcPr>
          <w:p w14:paraId="63268895"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CBS 112555</w:t>
            </w:r>
          </w:p>
        </w:tc>
        <w:tc>
          <w:tcPr>
            <w:tcW w:w="810" w:type="dxa"/>
            <w:vAlign w:val="center"/>
          </w:tcPr>
          <w:p w14:paraId="5852A9D3"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Portugal</w:t>
            </w:r>
          </w:p>
        </w:tc>
        <w:tc>
          <w:tcPr>
            <w:tcW w:w="1260" w:type="dxa"/>
            <w:tcBorders>
              <w:left w:val="nil"/>
            </w:tcBorders>
            <w:vAlign w:val="center"/>
          </w:tcPr>
          <w:p w14:paraId="7649DA7E"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Nepoznato</w:t>
            </w:r>
          </w:p>
        </w:tc>
        <w:tc>
          <w:tcPr>
            <w:tcW w:w="720" w:type="dxa"/>
            <w:vAlign w:val="center"/>
          </w:tcPr>
          <w:p w14:paraId="0A50019F"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2013</w:t>
            </w:r>
          </w:p>
        </w:tc>
        <w:tc>
          <w:tcPr>
            <w:tcW w:w="990" w:type="dxa"/>
            <w:tcBorders>
              <w:left w:val="nil"/>
            </w:tcBorders>
            <w:vAlign w:val="center"/>
          </w:tcPr>
          <w:p w14:paraId="3A5AEF54"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Alves</w:t>
            </w:r>
          </w:p>
        </w:tc>
        <w:tc>
          <w:tcPr>
            <w:tcW w:w="900" w:type="dxa"/>
            <w:vAlign w:val="center"/>
          </w:tcPr>
          <w:p w14:paraId="4D9C36B1"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AY259094</w:t>
            </w:r>
          </w:p>
        </w:tc>
        <w:tc>
          <w:tcPr>
            <w:tcW w:w="900" w:type="dxa"/>
            <w:tcBorders>
              <w:left w:val="nil"/>
            </w:tcBorders>
            <w:vAlign w:val="center"/>
          </w:tcPr>
          <w:p w14:paraId="7CEB0195"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AY573220</w:t>
            </w:r>
          </w:p>
        </w:tc>
        <w:tc>
          <w:tcPr>
            <w:tcW w:w="810" w:type="dxa"/>
            <w:vAlign w:val="center"/>
          </w:tcPr>
          <w:p w14:paraId="5EA8B6CD"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DQ458856</w:t>
            </w:r>
          </w:p>
        </w:tc>
        <w:tc>
          <w:tcPr>
            <w:tcW w:w="810" w:type="dxa"/>
            <w:tcBorders>
              <w:left w:val="nil"/>
            </w:tcBorders>
            <w:vAlign w:val="center"/>
          </w:tcPr>
          <w:p w14:paraId="0979B21D"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AY928050</w:t>
            </w:r>
          </w:p>
        </w:tc>
        <w:tc>
          <w:tcPr>
            <w:tcW w:w="810" w:type="dxa"/>
            <w:vAlign w:val="center"/>
          </w:tcPr>
          <w:p w14:paraId="1CB2BBA2"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6AAC9281" w14:textId="77777777">
        <w:trPr>
          <w:trHeight w:val="764"/>
        </w:trPr>
        <w:tc>
          <w:tcPr>
            <w:tcW w:w="895" w:type="dxa"/>
            <w:vAlign w:val="center"/>
          </w:tcPr>
          <w:p w14:paraId="7863B207"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B. dothidea</w:t>
            </w:r>
          </w:p>
        </w:tc>
        <w:tc>
          <w:tcPr>
            <w:tcW w:w="990" w:type="dxa"/>
            <w:tcBorders>
              <w:left w:val="nil"/>
            </w:tcBorders>
            <w:shd w:val="clear" w:color="000000" w:fill="FFFFFF"/>
            <w:noWrap/>
            <w:vAlign w:val="center"/>
          </w:tcPr>
          <w:p w14:paraId="23B1A0DE"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MN001</w:t>
            </w:r>
          </w:p>
        </w:tc>
        <w:tc>
          <w:tcPr>
            <w:tcW w:w="810" w:type="dxa"/>
            <w:vAlign w:val="center"/>
          </w:tcPr>
          <w:p w14:paraId="707534E5"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Crna Gora</w:t>
            </w:r>
          </w:p>
        </w:tc>
        <w:tc>
          <w:tcPr>
            <w:tcW w:w="1260" w:type="dxa"/>
            <w:tcBorders>
              <w:left w:val="nil"/>
            </w:tcBorders>
            <w:vAlign w:val="center"/>
          </w:tcPr>
          <w:p w14:paraId="5B7B23A2"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V. vinifera</w:t>
            </w:r>
          </w:p>
        </w:tc>
        <w:tc>
          <w:tcPr>
            <w:tcW w:w="720" w:type="dxa"/>
            <w:vAlign w:val="center"/>
          </w:tcPr>
          <w:p w14:paraId="1E12F42A"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2023</w:t>
            </w:r>
          </w:p>
        </w:tc>
        <w:tc>
          <w:tcPr>
            <w:tcW w:w="990" w:type="dxa"/>
            <w:tcBorders>
              <w:left w:val="nil"/>
            </w:tcBorders>
            <w:vAlign w:val="center"/>
          </w:tcPr>
          <w:p w14:paraId="582DC1D4"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Kandić</w:t>
            </w:r>
          </w:p>
        </w:tc>
        <w:tc>
          <w:tcPr>
            <w:tcW w:w="900" w:type="dxa"/>
            <w:vAlign w:val="center"/>
          </w:tcPr>
          <w:p w14:paraId="6E71C24C"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PX696982</w:t>
            </w:r>
          </w:p>
        </w:tc>
        <w:tc>
          <w:tcPr>
            <w:tcW w:w="900" w:type="dxa"/>
            <w:tcBorders>
              <w:left w:val="nil"/>
            </w:tcBorders>
            <w:vAlign w:val="bottom"/>
          </w:tcPr>
          <w:p w14:paraId="1D37C71C" w14:textId="77777777" w:rsidR="003801E8" w:rsidRDefault="003801E8">
            <w:pPr>
              <w:jc w:val="center"/>
              <w:rPr>
                <w:rFonts w:ascii="Book Antiqua" w:hAnsi="Book Antiqua" w:cs="Calibri"/>
                <w:b/>
                <w:bCs/>
                <w:color w:val="222222"/>
                <w:sz w:val="18"/>
                <w:szCs w:val="18"/>
              </w:rPr>
            </w:pPr>
          </w:p>
          <w:p w14:paraId="7FDE4D6B" w14:textId="77777777" w:rsidR="003801E8" w:rsidRDefault="00E44AAE">
            <w:pPr>
              <w:jc w:val="center"/>
              <w:rPr>
                <w:rFonts w:ascii="Book Antiqua" w:hAnsi="Book Antiqua" w:cs="Calibri"/>
                <w:b/>
                <w:bCs/>
                <w:color w:val="222222"/>
                <w:sz w:val="18"/>
                <w:szCs w:val="18"/>
              </w:rPr>
            </w:pPr>
            <w:r>
              <w:rPr>
                <w:rFonts w:ascii="Book Antiqua" w:hAnsi="Book Antiqua" w:cs="Calibri"/>
                <w:b/>
                <w:bCs/>
                <w:color w:val="222222"/>
                <w:sz w:val="18"/>
                <w:szCs w:val="18"/>
              </w:rPr>
              <w:t>PX727395</w:t>
            </w:r>
          </w:p>
          <w:p w14:paraId="0E4CF052" w14:textId="77777777" w:rsidR="003801E8" w:rsidRDefault="003801E8">
            <w:pPr>
              <w:spacing w:after="0" w:line="240" w:lineRule="auto"/>
              <w:jc w:val="center"/>
              <w:rPr>
                <w:rFonts w:ascii="Book Antiqua" w:eastAsia="Times New Roman" w:hAnsi="Book Antiqua" w:cs="Calibri"/>
                <w:b/>
                <w:bCs/>
                <w:color w:val="000000"/>
                <w:sz w:val="18"/>
                <w:szCs w:val="18"/>
                <w:lang w:val="en-US"/>
              </w:rPr>
            </w:pPr>
          </w:p>
        </w:tc>
        <w:tc>
          <w:tcPr>
            <w:tcW w:w="810" w:type="dxa"/>
            <w:vAlign w:val="center"/>
          </w:tcPr>
          <w:p w14:paraId="38AC236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hAnsi="Book Antiqua"/>
                <w:b/>
                <w:bCs/>
                <w:color w:val="000000"/>
                <w:sz w:val="18"/>
                <w:szCs w:val="18"/>
              </w:rPr>
              <w:t>PX727396</w:t>
            </w:r>
          </w:p>
        </w:tc>
        <w:tc>
          <w:tcPr>
            <w:tcW w:w="810" w:type="dxa"/>
            <w:tcBorders>
              <w:left w:val="nil"/>
            </w:tcBorders>
            <w:vAlign w:val="center"/>
          </w:tcPr>
          <w:p w14:paraId="3ED5EC72" w14:textId="77777777" w:rsidR="003801E8" w:rsidRDefault="00E44AAE">
            <w:pPr>
              <w:jc w:val="center"/>
              <w:rPr>
                <w:rFonts w:ascii="Book Antiqua" w:hAnsi="Book Antiqua" w:cs="Calibri"/>
                <w:b/>
                <w:bCs/>
                <w:color w:val="000000"/>
                <w:sz w:val="18"/>
                <w:szCs w:val="18"/>
              </w:rPr>
            </w:pPr>
            <w:r>
              <w:rPr>
                <w:rFonts w:ascii="Book Antiqua" w:hAnsi="Book Antiqua" w:cs="Calibri"/>
                <w:b/>
                <w:bCs/>
                <w:color w:val="000000"/>
                <w:sz w:val="18"/>
                <w:szCs w:val="18"/>
              </w:rPr>
              <w:t>PX694634</w:t>
            </w:r>
          </w:p>
          <w:p w14:paraId="2FDCB1B3" w14:textId="77777777" w:rsidR="003801E8" w:rsidRDefault="003801E8">
            <w:pPr>
              <w:spacing w:after="0" w:line="240" w:lineRule="auto"/>
              <w:jc w:val="center"/>
              <w:rPr>
                <w:rFonts w:ascii="Book Antiqua" w:eastAsia="Times New Roman" w:hAnsi="Book Antiqua" w:cs="Times New Roman"/>
                <w:b/>
                <w:bCs/>
                <w:color w:val="000000"/>
                <w:sz w:val="18"/>
                <w:szCs w:val="18"/>
                <w:lang w:val="en-US"/>
              </w:rPr>
            </w:pPr>
          </w:p>
        </w:tc>
        <w:tc>
          <w:tcPr>
            <w:tcW w:w="810" w:type="dxa"/>
            <w:vAlign w:val="center"/>
          </w:tcPr>
          <w:p w14:paraId="4099E32A"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hAnsi="Book Antiqua"/>
                <w:color w:val="000000"/>
                <w:sz w:val="18"/>
                <w:szCs w:val="18"/>
              </w:rPr>
              <w:t>PX72739</w:t>
            </w:r>
            <w:r>
              <w:rPr>
                <w:color w:val="000000"/>
                <w:sz w:val="20"/>
                <w:szCs w:val="20"/>
              </w:rPr>
              <w:t>4</w:t>
            </w:r>
          </w:p>
        </w:tc>
      </w:tr>
      <w:tr w:rsidR="003801E8" w14:paraId="11450818" w14:textId="77777777">
        <w:trPr>
          <w:trHeight w:val="528"/>
        </w:trPr>
        <w:tc>
          <w:tcPr>
            <w:tcW w:w="895" w:type="dxa"/>
            <w:vAlign w:val="center"/>
          </w:tcPr>
          <w:p w14:paraId="797D4D4E"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B. dothidea</w:t>
            </w:r>
          </w:p>
        </w:tc>
        <w:tc>
          <w:tcPr>
            <w:tcW w:w="990" w:type="dxa"/>
            <w:tcBorders>
              <w:left w:val="nil"/>
            </w:tcBorders>
            <w:shd w:val="clear" w:color="000000" w:fill="FFFFFF"/>
            <w:noWrap/>
            <w:vAlign w:val="center"/>
          </w:tcPr>
          <w:p w14:paraId="570B9F7F"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SICAUCC-22-116 </w:t>
            </w:r>
          </w:p>
        </w:tc>
        <w:tc>
          <w:tcPr>
            <w:tcW w:w="810" w:type="dxa"/>
            <w:vAlign w:val="center"/>
          </w:tcPr>
          <w:p w14:paraId="73F2B635"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Kina</w:t>
            </w:r>
          </w:p>
        </w:tc>
        <w:tc>
          <w:tcPr>
            <w:tcW w:w="1260" w:type="dxa"/>
            <w:tcBorders>
              <w:left w:val="nil"/>
            </w:tcBorders>
            <w:vAlign w:val="center"/>
          </w:tcPr>
          <w:p w14:paraId="4144FEBF"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Nepoznato</w:t>
            </w:r>
          </w:p>
        </w:tc>
        <w:tc>
          <w:tcPr>
            <w:tcW w:w="720" w:type="dxa"/>
            <w:vAlign w:val="center"/>
          </w:tcPr>
          <w:p w14:paraId="0EEDCA05"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2022</w:t>
            </w:r>
          </w:p>
        </w:tc>
        <w:tc>
          <w:tcPr>
            <w:tcW w:w="990" w:type="dxa"/>
            <w:tcBorders>
              <w:left w:val="nil"/>
            </w:tcBorders>
            <w:vAlign w:val="center"/>
          </w:tcPr>
          <w:p w14:paraId="536BD31E"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Wang</w:t>
            </w:r>
          </w:p>
        </w:tc>
        <w:tc>
          <w:tcPr>
            <w:tcW w:w="900" w:type="dxa"/>
            <w:vAlign w:val="center"/>
          </w:tcPr>
          <w:p w14:paraId="6A8F13AB"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OP963816</w:t>
            </w:r>
          </w:p>
        </w:tc>
        <w:tc>
          <w:tcPr>
            <w:tcW w:w="900" w:type="dxa"/>
            <w:tcBorders>
              <w:left w:val="nil"/>
            </w:tcBorders>
            <w:vAlign w:val="center"/>
          </w:tcPr>
          <w:p w14:paraId="0DF264EF"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OQ281363</w:t>
            </w:r>
          </w:p>
        </w:tc>
        <w:tc>
          <w:tcPr>
            <w:tcW w:w="810" w:type="dxa"/>
            <w:vAlign w:val="center"/>
          </w:tcPr>
          <w:p w14:paraId="2716E83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OQ281399</w:t>
            </w:r>
          </w:p>
        </w:tc>
        <w:tc>
          <w:tcPr>
            <w:tcW w:w="810" w:type="dxa"/>
            <w:tcBorders>
              <w:left w:val="nil"/>
            </w:tcBorders>
            <w:vAlign w:val="center"/>
          </w:tcPr>
          <w:p w14:paraId="34D6383A"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OP964573</w:t>
            </w:r>
          </w:p>
        </w:tc>
        <w:tc>
          <w:tcPr>
            <w:tcW w:w="810" w:type="dxa"/>
            <w:vAlign w:val="center"/>
          </w:tcPr>
          <w:p w14:paraId="1937EB27"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5BFD6E4F" w14:textId="77777777">
        <w:trPr>
          <w:trHeight w:val="540"/>
        </w:trPr>
        <w:tc>
          <w:tcPr>
            <w:tcW w:w="895" w:type="dxa"/>
            <w:vAlign w:val="center"/>
          </w:tcPr>
          <w:p w14:paraId="20543ACA"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B. dothidea</w:t>
            </w:r>
          </w:p>
        </w:tc>
        <w:tc>
          <w:tcPr>
            <w:tcW w:w="990" w:type="dxa"/>
            <w:tcBorders>
              <w:left w:val="nil"/>
            </w:tcBorders>
            <w:shd w:val="clear" w:color="000000" w:fill="FFFFFF"/>
            <w:noWrap/>
            <w:vAlign w:val="center"/>
          </w:tcPr>
          <w:p w14:paraId="5A602874"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MUCC500</w:t>
            </w:r>
          </w:p>
        </w:tc>
        <w:tc>
          <w:tcPr>
            <w:tcW w:w="810" w:type="dxa"/>
            <w:vAlign w:val="center"/>
          </w:tcPr>
          <w:p w14:paraId="35FCD883"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Australija</w:t>
            </w:r>
          </w:p>
        </w:tc>
        <w:tc>
          <w:tcPr>
            <w:tcW w:w="1260" w:type="dxa"/>
            <w:tcBorders>
              <w:left w:val="nil"/>
            </w:tcBorders>
            <w:vAlign w:val="center"/>
          </w:tcPr>
          <w:p w14:paraId="400AE26C"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E. Marginata</w:t>
            </w:r>
          </w:p>
        </w:tc>
        <w:tc>
          <w:tcPr>
            <w:tcW w:w="720" w:type="dxa"/>
            <w:vAlign w:val="center"/>
          </w:tcPr>
          <w:p w14:paraId="7C9D11F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2009</w:t>
            </w:r>
          </w:p>
        </w:tc>
        <w:tc>
          <w:tcPr>
            <w:tcW w:w="990" w:type="dxa"/>
            <w:tcBorders>
              <w:left w:val="nil"/>
            </w:tcBorders>
            <w:vAlign w:val="center"/>
          </w:tcPr>
          <w:p w14:paraId="30C7FF10"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Taylor </w:t>
            </w:r>
          </w:p>
        </w:tc>
        <w:tc>
          <w:tcPr>
            <w:tcW w:w="900" w:type="dxa"/>
            <w:vAlign w:val="center"/>
          </w:tcPr>
          <w:p w14:paraId="0390CEE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 EF591915</w:t>
            </w:r>
          </w:p>
        </w:tc>
        <w:tc>
          <w:tcPr>
            <w:tcW w:w="900" w:type="dxa"/>
            <w:tcBorders>
              <w:left w:val="nil"/>
            </w:tcBorders>
            <w:vAlign w:val="bottom"/>
          </w:tcPr>
          <w:p w14:paraId="655D147B"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EF591968</w:t>
            </w:r>
          </w:p>
        </w:tc>
        <w:tc>
          <w:tcPr>
            <w:tcW w:w="810" w:type="dxa"/>
            <w:vAlign w:val="bottom"/>
          </w:tcPr>
          <w:p w14:paraId="3EE799DC"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EF591951</w:t>
            </w:r>
          </w:p>
        </w:tc>
        <w:tc>
          <w:tcPr>
            <w:tcW w:w="810" w:type="dxa"/>
            <w:tcBorders>
              <w:left w:val="nil"/>
            </w:tcBorders>
            <w:vAlign w:val="center"/>
          </w:tcPr>
          <w:p w14:paraId="56066B55"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EF591934</w:t>
            </w:r>
          </w:p>
        </w:tc>
        <w:tc>
          <w:tcPr>
            <w:tcW w:w="810" w:type="dxa"/>
            <w:vAlign w:val="center"/>
          </w:tcPr>
          <w:p w14:paraId="4F50709F"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653DB32E" w14:textId="77777777">
        <w:trPr>
          <w:trHeight w:val="528"/>
        </w:trPr>
        <w:tc>
          <w:tcPr>
            <w:tcW w:w="895" w:type="dxa"/>
            <w:tcBorders>
              <w:bottom w:val="single" w:sz="4" w:space="0" w:color="auto"/>
            </w:tcBorders>
            <w:vAlign w:val="center"/>
          </w:tcPr>
          <w:p w14:paraId="247DB1C8"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B. dothidea</w:t>
            </w:r>
          </w:p>
        </w:tc>
        <w:tc>
          <w:tcPr>
            <w:tcW w:w="990" w:type="dxa"/>
            <w:tcBorders>
              <w:left w:val="nil"/>
              <w:bottom w:val="single" w:sz="4" w:space="0" w:color="auto"/>
            </w:tcBorders>
            <w:shd w:val="clear" w:color="000000" w:fill="FFFFFF"/>
            <w:noWrap/>
            <w:vAlign w:val="center"/>
          </w:tcPr>
          <w:p w14:paraId="0519FA69"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CBS 110302</w:t>
            </w:r>
          </w:p>
        </w:tc>
        <w:tc>
          <w:tcPr>
            <w:tcW w:w="810" w:type="dxa"/>
            <w:tcBorders>
              <w:bottom w:val="single" w:sz="4" w:space="0" w:color="auto"/>
            </w:tcBorders>
            <w:vAlign w:val="center"/>
          </w:tcPr>
          <w:p w14:paraId="50A83CD3" w14:textId="77777777" w:rsidR="003801E8" w:rsidRDefault="00E44AAE">
            <w:pPr>
              <w:spacing w:after="0" w:line="240" w:lineRule="auto"/>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Portugal</w:t>
            </w:r>
          </w:p>
        </w:tc>
        <w:tc>
          <w:tcPr>
            <w:tcW w:w="1260" w:type="dxa"/>
            <w:tcBorders>
              <w:left w:val="nil"/>
              <w:bottom w:val="single" w:sz="4" w:space="0" w:color="auto"/>
            </w:tcBorders>
            <w:vAlign w:val="center"/>
          </w:tcPr>
          <w:p w14:paraId="61324AB5"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V. vinifera</w:t>
            </w:r>
          </w:p>
        </w:tc>
        <w:tc>
          <w:tcPr>
            <w:tcW w:w="720" w:type="dxa"/>
            <w:tcBorders>
              <w:bottom w:val="single" w:sz="4" w:space="0" w:color="auto"/>
            </w:tcBorders>
            <w:vAlign w:val="center"/>
          </w:tcPr>
          <w:p w14:paraId="6168FCB6"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2008</w:t>
            </w:r>
          </w:p>
        </w:tc>
        <w:tc>
          <w:tcPr>
            <w:tcW w:w="990" w:type="dxa"/>
            <w:tcBorders>
              <w:left w:val="nil"/>
              <w:bottom w:val="single" w:sz="4" w:space="0" w:color="auto"/>
            </w:tcBorders>
            <w:vAlign w:val="center"/>
          </w:tcPr>
          <w:p w14:paraId="13B3AEBB"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Phillips </w:t>
            </w:r>
          </w:p>
        </w:tc>
        <w:tc>
          <w:tcPr>
            <w:tcW w:w="900" w:type="dxa"/>
            <w:tcBorders>
              <w:bottom w:val="single" w:sz="4" w:space="0" w:color="auto"/>
            </w:tcBorders>
            <w:vAlign w:val="center"/>
          </w:tcPr>
          <w:p w14:paraId="6F4302E3"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EU673174</w:t>
            </w:r>
          </w:p>
        </w:tc>
        <w:tc>
          <w:tcPr>
            <w:tcW w:w="900" w:type="dxa"/>
            <w:tcBorders>
              <w:left w:val="nil"/>
              <w:bottom w:val="single" w:sz="4" w:space="0" w:color="auto"/>
            </w:tcBorders>
            <w:vAlign w:val="center"/>
          </w:tcPr>
          <w:p w14:paraId="78D2BF3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AY573218</w:t>
            </w:r>
          </w:p>
        </w:tc>
        <w:tc>
          <w:tcPr>
            <w:tcW w:w="810" w:type="dxa"/>
            <w:tcBorders>
              <w:bottom w:val="single" w:sz="4" w:space="0" w:color="auto"/>
            </w:tcBorders>
            <w:vAlign w:val="center"/>
          </w:tcPr>
          <w:p w14:paraId="47FD970A"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EU673106</w:t>
            </w:r>
          </w:p>
        </w:tc>
        <w:tc>
          <w:tcPr>
            <w:tcW w:w="810" w:type="dxa"/>
            <w:tcBorders>
              <w:left w:val="nil"/>
              <w:bottom w:val="single" w:sz="4" w:space="0" w:color="auto"/>
            </w:tcBorders>
            <w:vAlign w:val="center"/>
          </w:tcPr>
          <w:p w14:paraId="6698252F"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EU673243</w:t>
            </w:r>
          </w:p>
        </w:tc>
        <w:tc>
          <w:tcPr>
            <w:tcW w:w="810" w:type="dxa"/>
            <w:tcBorders>
              <w:bottom w:val="single" w:sz="4" w:space="0" w:color="auto"/>
            </w:tcBorders>
            <w:vAlign w:val="center"/>
          </w:tcPr>
          <w:p w14:paraId="75D77202"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bl>
    <w:p w14:paraId="0B0FE0AD" w14:textId="77777777" w:rsidR="003801E8" w:rsidRDefault="00E44AAE">
      <w:pPr>
        <w:spacing w:after="160" w:line="360" w:lineRule="auto"/>
        <w:jc w:val="both"/>
        <w:rPr>
          <w:rFonts w:ascii="Book Antiqua" w:hAnsi="Book Antiqua" w:cs="Times New Roman"/>
          <w:bCs/>
          <w:kern w:val="2"/>
          <w:sz w:val="22"/>
          <w:szCs w:val="22"/>
          <w:lang w:eastAsia="sr-Latn-ME"/>
        </w:rPr>
      </w:pPr>
      <w:r>
        <w:rPr>
          <w:rFonts w:ascii="Book Antiqua" w:hAnsi="Book Antiqua" w:cs="Times New Roman"/>
          <w:b/>
          <w:kern w:val="2"/>
          <w:sz w:val="22"/>
          <w:szCs w:val="22"/>
          <w:lang w:val="en-US" w:eastAsia="sr-Latn-ME"/>
        </w:rPr>
        <w:lastRenderedPageBreak/>
        <w:t>Tabela 11</w:t>
      </w:r>
      <w:r>
        <w:rPr>
          <w:rFonts w:ascii="Book Antiqua" w:hAnsi="Book Antiqua" w:cs="Times New Roman"/>
          <w:bCs/>
          <w:kern w:val="2"/>
          <w:sz w:val="22"/>
          <w:szCs w:val="22"/>
          <w:lang w:val="en-US" w:eastAsia="sr-Latn-ME"/>
        </w:rPr>
        <w:t xml:space="preserve">. </w:t>
      </w:r>
      <w:r>
        <w:rPr>
          <w:rFonts w:ascii="Book Antiqua" w:hAnsi="Book Antiqua" w:cs="Times New Roman"/>
          <w:bCs/>
          <w:kern w:val="2"/>
          <w:sz w:val="22"/>
          <w:szCs w:val="22"/>
          <w:lang w:eastAsia="sr-Latn-ME"/>
        </w:rPr>
        <w:t xml:space="preserve">Pristupni brojevi za ITS, TEF1a, TUB2, LSU i ACT sekvence </w:t>
      </w:r>
      <w:r>
        <w:rPr>
          <w:rFonts w:ascii="Book Antiqua" w:hAnsi="Book Antiqua" w:cs="Times New Roman"/>
          <w:bCs/>
          <w:i/>
          <w:iCs/>
          <w:kern w:val="2"/>
          <w:sz w:val="22"/>
          <w:szCs w:val="22"/>
          <w:lang w:eastAsia="sr-Latn-ME"/>
        </w:rPr>
        <w:t>B. mediterranea</w:t>
      </w:r>
      <w:r>
        <w:rPr>
          <w:rFonts w:ascii="Book Antiqua" w:hAnsi="Book Antiqua" w:cs="Times New Roman"/>
          <w:bCs/>
          <w:kern w:val="2"/>
          <w:sz w:val="22"/>
          <w:szCs w:val="22"/>
          <w:lang w:eastAsia="sr-Latn-ME"/>
        </w:rPr>
        <w:t xml:space="preserve"> preuzete iz GenBank kao i za sekvence dobijene u ovom istraživanju. Boldirani NCBI brojevi sekvenci korišćenih u filogenetskim analizama</w:t>
      </w:r>
    </w:p>
    <w:tbl>
      <w:tblPr>
        <w:tblW w:w="9990" w:type="dxa"/>
        <w:tblLayout w:type="fixed"/>
        <w:tblLook w:val="04A0" w:firstRow="1" w:lastRow="0" w:firstColumn="1" w:lastColumn="0" w:noHBand="0" w:noVBand="1"/>
      </w:tblPr>
      <w:tblGrid>
        <w:gridCol w:w="1167"/>
        <w:gridCol w:w="808"/>
        <w:gridCol w:w="1080"/>
        <w:gridCol w:w="1080"/>
        <w:gridCol w:w="720"/>
        <w:gridCol w:w="1080"/>
        <w:gridCol w:w="810"/>
        <w:gridCol w:w="900"/>
        <w:gridCol w:w="815"/>
        <w:gridCol w:w="720"/>
        <w:gridCol w:w="810"/>
      </w:tblGrid>
      <w:tr w:rsidR="003801E8" w14:paraId="0D9337FD" w14:textId="77777777">
        <w:trPr>
          <w:trHeight w:val="576"/>
        </w:trPr>
        <w:tc>
          <w:tcPr>
            <w:tcW w:w="1167" w:type="dxa"/>
            <w:tcBorders>
              <w:top w:val="single" w:sz="4" w:space="0" w:color="auto"/>
              <w:bottom w:val="single" w:sz="4" w:space="0" w:color="auto"/>
            </w:tcBorders>
            <w:vAlign w:val="center"/>
          </w:tcPr>
          <w:p w14:paraId="7B2B151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Organizam</w:t>
            </w:r>
          </w:p>
        </w:tc>
        <w:tc>
          <w:tcPr>
            <w:tcW w:w="808" w:type="dxa"/>
            <w:tcBorders>
              <w:top w:val="single" w:sz="4" w:space="0" w:color="auto"/>
              <w:left w:val="nil"/>
              <w:bottom w:val="single" w:sz="4" w:space="0" w:color="auto"/>
            </w:tcBorders>
            <w:vAlign w:val="center"/>
          </w:tcPr>
          <w:p w14:paraId="3ED47E0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Izolat</w:t>
            </w:r>
          </w:p>
        </w:tc>
        <w:tc>
          <w:tcPr>
            <w:tcW w:w="1080" w:type="dxa"/>
            <w:tcBorders>
              <w:top w:val="single" w:sz="4" w:space="0" w:color="auto"/>
              <w:bottom w:val="single" w:sz="4" w:space="0" w:color="auto"/>
            </w:tcBorders>
            <w:vAlign w:val="center"/>
          </w:tcPr>
          <w:p w14:paraId="78F2A8D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 xml:space="preserve">Zemlja porijekla </w:t>
            </w:r>
          </w:p>
        </w:tc>
        <w:tc>
          <w:tcPr>
            <w:tcW w:w="1080" w:type="dxa"/>
            <w:tcBorders>
              <w:top w:val="single" w:sz="4" w:space="0" w:color="auto"/>
              <w:left w:val="nil"/>
              <w:bottom w:val="single" w:sz="4" w:space="0" w:color="auto"/>
            </w:tcBorders>
            <w:vAlign w:val="center"/>
          </w:tcPr>
          <w:p w14:paraId="1043BD4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Biljna vrsta (domaćin)</w:t>
            </w:r>
          </w:p>
        </w:tc>
        <w:tc>
          <w:tcPr>
            <w:tcW w:w="720" w:type="dxa"/>
            <w:tcBorders>
              <w:top w:val="single" w:sz="4" w:space="0" w:color="auto"/>
              <w:bottom w:val="single" w:sz="4" w:space="0" w:color="auto"/>
            </w:tcBorders>
            <w:noWrap/>
            <w:vAlign w:val="center"/>
          </w:tcPr>
          <w:p w14:paraId="11C06AB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Godina</w:t>
            </w:r>
          </w:p>
        </w:tc>
        <w:tc>
          <w:tcPr>
            <w:tcW w:w="1080" w:type="dxa"/>
            <w:tcBorders>
              <w:top w:val="single" w:sz="4" w:space="0" w:color="auto"/>
              <w:left w:val="nil"/>
              <w:bottom w:val="single" w:sz="4" w:space="0" w:color="auto"/>
            </w:tcBorders>
            <w:vAlign w:val="center"/>
          </w:tcPr>
          <w:p w14:paraId="1DCAAAE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Autor (NCBI)</w:t>
            </w:r>
          </w:p>
        </w:tc>
        <w:tc>
          <w:tcPr>
            <w:tcW w:w="810" w:type="dxa"/>
            <w:tcBorders>
              <w:top w:val="single" w:sz="4" w:space="0" w:color="auto"/>
              <w:bottom w:val="single" w:sz="4" w:space="0" w:color="auto"/>
            </w:tcBorders>
            <w:vAlign w:val="center"/>
          </w:tcPr>
          <w:p w14:paraId="030A164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(ITS)</w:t>
            </w:r>
          </w:p>
        </w:tc>
        <w:tc>
          <w:tcPr>
            <w:tcW w:w="900" w:type="dxa"/>
            <w:tcBorders>
              <w:top w:val="single" w:sz="4" w:space="0" w:color="auto"/>
              <w:left w:val="nil"/>
              <w:bottom w:val="single" w:sz="4" w:space="0" w:color="auto"/>
            </w:tcBorders>
            <w:vAlign w:val="center"/>
          </w:tcPr>
          <w:p w14:paraId="3505D03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(TEF1a)</w:t>
            </w:r>
          </w:p>
        </w:tc>
        <w:tc>
          <w:tcPr>
            <w:tcW w:w="815" w:type="dxa"/>
            <w:tcBorders>
              <w:top w:val="single" w:sz="4" w:space="0" w:color="auto"/>
              <w:bottom w:val="single" w:sz="4" w:space="0" w:color="auto"/>
            </w:tcBorders>
            <w:vAlign w:val="center"/>
          </w:tcPr>
          <w:p w14:paraId="3B12158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(TUB2)</w:t>
            </w:r>
          </w:p>
        </w:tc>
        <w:tc>
          <w:tcPr>
            <w:tcW w:w="720" w:type="dxa"/>
            <w:tcBorders>
              <w:top w:val="single" w:sz="4" w:space="0" w:color="auto"/>
              <w:left w:val="nil"/>
              <w:bottom w:val="single" w:sz="4" w:space="0" w:color="auto"/>
            </w:tcBorders>
            <w:vAlign w:val="center"/>
          </w:tcPr>
          <w:p w14:paraId="3FD04EA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(LSU)</w:t>
            </w:r>
          </w:p>
        </w:tc>
        <w:tc>
          <w:tcPr>
            <w:tcW w:w="810" w:type="dxa"/>
            <w:tcBorders>
              <w:top w:val="single" w:sz="4" w:space="0" w:color="auto"/>
              <w:bottom w:val="single" w:sz="4" w:space="0" w:color="auto"/>
            </w:tcBorders>
            <w:vAlign w:val="center"/>
          </w:tcPr>
          <w:p w14:paraId="356562F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(ACT)</w:t>
            </w:r>
          </w:p>
        </w:tc>
      </w:tr>
      <w:tr w:rsidR="003801E8" w14:paraId="2EED7C7E" w14:textId="77777777">
        <w:trPr>
          <w:trHeight w:val="828"/>
        </w:trPr>
        <w:tc>
          <w:tcPr>
            <w:tcW w:w="1167" w:type="dxa"/>
            <w:tcBorders>
              <w:top w:val="single" w:sz="4" w:space="0" w:color="auto"/>
            </w:tcBorders>
            <w:vAlign w:val="center"/>
          </w:tcPr>
          <w:p w14:paraId="63D7A19A"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B. mediterranea </w:t>
            </w:r>
          </w:p>
        </w:tc>
        <w:tc>
          <w:tcPr>
            <w:tcW w:w="808" w:type="dxa"/>
            <w:tcBorders>
              <w:top w:val="single" w:sz="4" w:space="0" w:color="auto"/>
              <w:left w:val="nil"/>
            </w:tcBorders>
            <w:vAlign w:val="center"/>
          </w:tcPr>
          <w:p w14:paraId="625F6FBA"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MN001</w:t>
            </w:r>
          </w:p>
        </w:tc>
        <w:tc>
          <w:tcPr>
            <w:tcW w:w="1080" w:type="dxa"/>
            <w:tcBorders>
              <w:top w:val="single" w:sz="4" w:space="0" w:color="auto"/>
            </w:tcBorders>
            <w:vAlign w:val="center"/>
          </w:tcPr>
          <w:p w14:paraId="024E2A29"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Crna Gora </w:t>
            </w:r>
          </w:p>
        </w:tc>
        <w:tc>
          <w:tcPr>
            <w:tcW w:w="1080" w:type="dxa"/>
            <w:tcBorders>
              <w:top w:val="single" w:sz="4" w:space="0" w:color="auto"/>
              <w:left w:val="nil"/>
            </w:tcBorders>
            <w:vAlign w:val="center"/>
          </w:tcPr>
          <w:p w14:paraId="0BB4167A"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V. vinifera</w:t>
            </w:r>
          </w:p>
        </w:tc>
        <w:tc>
          <w:tcPr>
            <w:tcW w:w="720" w:type="dxa"/>
            <w:tcBorders>
              <w:top w:val="single" w:sz="4" w:space="0" w:color="auto"/>
            </w:tcBorders>
            <w:noWrap/>
            <w:vAlign w:val="center"/>
          </w:tcPr>
          <w:p w14:paraId="16CF06EA"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2023</w:t>
            </w:r>
          </w:p>
        </w:tc>
        <w:tc>
          <w:tcPr>
            <w:tcW w:w="1080" w:type="dxa"/>
            <w:tcBorders>
              <w:top w:val="single" w:sz="4" w:space="0" w:color="auto"/>
              <w:left w:val="nil"/>
            </w:tcBorders>
            <w:vAlign w:val="center"/>
          </w:tcPr>
          <w:p w14:paraId="1F48F925"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Kandic</w:t>
            </w:r>
          </w:p>
        </w:tc>
        <w:tc>
          <w:tcPr>
            <w:tcW w:w="810" w:type="dxa"/>
            <w:tcBorders>
              <w:top w:val="single" w:sz="4" w:space="0" w:color="auto"/>
            </w:tcBorders>
            <w:vAlign w:val="center"/>
          </w:tcPr>
          <w:p w14:paraId="4D8AC93C"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PX694339</w:t>
            </w:r>
          </w:p>
        </w:tc>
        <w:tc>
          <w:tcPr>
            <w:tcW w:w="900" w:type="dxa"/>
            <w:tcBorders>
              <w:top w:val="single" w:sz="4" w:space="0" w:color="auto"/>
              <w:left w:val="nil"/>
            </w:tcBorders>
            <w:vAlign w:val="center"/>
          </w:tcPr>
          <w:p w14:paraId="6056DB4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PX710787</w:t>
            </w:r>
          </w:p>
        </w:tc>
        <w:tc>
          <w:tcPr>
            <w:tcW w:w="815" w:type="dxa"/>
            <w:tcBorders>
              <w:top w:val="single" w:sz="4" w:space="0" w:color="auto"/>
            </w:tcBorders>
            <w:shd w:val="clear" w:color="000000" w:fill="FFFFFF"/>
            <w:vAlign w:val="center"/>
          </w:tcPr>
          <w:p w14:paraId="7F25FD5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PX724904</w:t>
            </w:r>
          </w:p>
        </w:tc>
        <w:tc>
          <w:tcPr>
            <w:tcW w:w="720" w:type="dxa"/>
            <w:tcBorders>
              <w:top w:val="single" w:sz="4" w:space="0" w:color="auto"/>
              <w:left w:val="nil"/>
            </w:tcBorders>
            <w:vAlign w:val="center"/>
          </w:tcPr>
          <w:p w14:paraId="6F73E8CF"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PX694230</w:t>
            </w:r>
          </w:p>
        </w:tc>
        <w:tc>
          <w:tcPr>
            <w:tcW w:w="810" w:type="dxa"/>
            <w:tcBorders>
              <w:top w:val="single" w:sz="4" w:space="0" w:color="auto"/>
            </w:tcBorders>
            <w:vAlign w:val="center"/>
          </w:tcPr>
          <w:p w14:paraId="4CB74C0D" w14:textId="77777777" w:rsidR="003801E8" w:rsidRDefault="00E44AAE">
            <w:pPr>
              <w:spacing w:after="0" w:line="240" w:lineRule="auto"/>
              <w:jc w:val="center"/>
              <w:rPr>
                <w:rFonts w:ascii="Book Antiqua" w:eastAsia="Times New Roman" w:hAnsi="Book Antiqua" w:cs="Times New Roman"/>
                <w:color w:val="222222"/>
                <w:sz w:val="18"/>
                <w:szCs w:val="18"/>
                <w:lang w:val="en-US"/>
              </w:rPr>
            </w:pPr>
            <w:r>
              <w:rPr>
                <w:rFonts w:ascii="Book Antiqua" w:eastAsia="Times New Roman" w:hAnsi="Book Antiqua" w:cs="Times New Roman"/>
                <w:color w:val="222222"/>
                <w:sz w:val="18"/>
                <w:szCs w:val="18"/>
                <w:lang w:val="en-US"/>
              </w:rPr>
              <w:t> PX724903</w:t>
            </w:r>
          </w:p>
        </w:tc>
      </w:tr>
      <w:tr w:rsidR="003801E8" w14:paraId="7C9899DB" w14:textId="77777777">
        <w:trPr>
          <w:trHeight w:val="828"/>
        </w:trPr>
        <w:tc>
          <w:tcPr>
            <w:tcW w:w="1167" w:type="dxa"/>
            <w:vAlign w:val="center"/>
          </w:tcPr>
          <w:p w14:paraId="67CDCB95"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B. mediterranea </w:t>
            </w:r>
          </w:p>
        </w:tc>
        <w:tc>
          <w:tcPr>
            <w:tcW w:w="808" w:type="dxa"/>
            <w:tcBorders>
              <w:left w:val="nil"/>
            </w:tcBorders>
            <w:vAlign w:val="center"/>
          </w:tcPr>
          <w:p w14:paraId="5D07FCDA"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18EPLE008 </w:t>
            </w:r>
          </w:p>
        </w:tc>
        <w:tc>
          <w:tcPr>
            <w:tcW w:w="1080" w:type="dxa"/>
            <w:vAlign w:val="center"/>
          </w:tcPr>
          <w:p w14:paraId="167C1C5A"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Francuska</w:t>
            </w:r>
          </w:p>
        </w:tc>
        <w:tc>
          <w:tcPr>
            <w:tcW w:w="1080" w:type="dxa"/>
            <w:tcBorders>
              <w:left w:val="nil"/>
            </w:tcBorders>
            <w:vAlign w:val="center"/>
          </w:tcPr>
          <w:p w14:paraId="3258646A"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P. letiscus</w:t>
            </w:r>
          </w:p>
        </w:tc>
        <w:tc>
          <w:tcPr>
            <w:tcW w:w="720" w:type="dxa"/>
            <w:noWrap/>
            <w:vAlign w:val="center"/>
          </w:tcPr>
          <w:p w14:paraId="0411076F"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2020</w:t>
            </w:r>
          </w:p>
        </w:tc>
        <w:tc>
          <w:tcPr>
            <w:tcW w:w="1080" w:type="dxa"/>
            <w:tcBorders>
              <w:left w:val="nil"/>
            </w:tcBorders>
            <w:vAlign w:val="center"/>
          </w:tcPr>
          <w:p w14:paraId="1C56E765"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Cambon </w:t>
            </w:r>
          </w:p>
        </w:tc>
        <w:tc>
          <w:tcPr>
            <w:tcW w:w="810" w:type="dxa"/>
            <w:vAlign w:val="center"/>
          </w:tcPr>
          <w:p w14:paraId="4CF7DEC3"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MT862330</w:t>
            </w:r>
          </w:p>
        </w:tc>
        <w:tc>
          <w:tcPr>
            <w:tcW w:w="900" w:type="dxa"/>
            <w:tcBorders>
              <w:left w:val="nil"/>
            </w:tcBorders>
            <w:vAlign w:val="center"/>
          </w:tcPr>
          <w:p w14:paraId="5C29CD35"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MT881830</w:t>
            </w:r>
          </w:p>
        </w:tc>
        <w:tc>
          <w:tcPr>
            <w:tcW w:w="815" w:type="dxa"/>
            <w:vAlign w:val="center"/>
          </w:tcPr>
          <w:p w14:paraId="4AB25972"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MT881916</w:t>
            </w:r>
          </w:p>
        </w:tc>
        <w:tc>
          <w:tcPr>
            <w:tcW w:w="720" w:type="dxa"/>
            <w:tcBorders>
              <w:left w:val="nil"/>
            </w:tcBorders>
            <w:shd w:val="clear" w:color="000000" w:fill="FFFFFF"/>
            <w:vAlign w:val="center"/>
          </w:tcPr>
          <w:p w14:paraId="371E5989"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c>
          <w:tcPr>
            <w:tcW w:w="810" w:type="dxa"/>
            <w:shd w:val="clear" w:color="000000" w:fill="FFFFFF"/>
            <w:vAlign w:val="center"/>
          </w:tcPr>
          <w:p w14:paraId="225D9E8F"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191271C3" w14:textId="77777777">
        <w:trPr>
          <w:trHeight w:val="828"/>
        </w:trPr>
        <w:tc>
          <w:tcPr>
            <w:tcW w:w="1167" w:type="dxa"/>
            <w:vAlign w:val="center"/>
          </w:tcPr>
          <w:p w14:paraId="05535276"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B. mediterranea </w:t>
            </w:r>
          </w:p>
        </w:tc>
        <w:tc>
          <w:tcPr>
            <w:tcW w:w="808" w:type="dxa"/>
            <w:tcBorders>
              <w:left w:val="nil"/>
            </w:tcBorders>
            <w:vAlign w:val="center"/>
          </w:tcPr>
          <w:p w14:paraId="688F1B8F" w14:textId="77777777" w:rsidR="003801E8" w:rsidRDefault="00E44AAE">
            <w:pPr>
              <w:spacing w:after="0" w:line="240" w:lineRule="auto"/>
              <w:jc w:val="center"/>
              <w:rPr>
                <w:rFonts w:ascii="Book Antiqua" w:eastAsia="Times New Roman" w:hAnsi="Book Antiqua" w:cs="Times New Roman"/>
                <w:color w:val="222222"/>
                <w:sz w:val="18"/>
                <w:szCs w:val="18"/>
                <w:lang w:val="en-US"/>
              </w:rPr>
            </w:pPr>
            <w:r>
              <w:rPr>
                <w:rFonts w:ascii="Book Antiqua" w:eastAsia="Times New Roman" w:hAnsi="Book Antiqua" w:cs="Times New Roman"/>
                <w:color w:val="222222"/>
                <w:sz w:val="18"/>
                <w:szCs w:val="18"/>
                <w:lang w:val="en-US"/>
              </w:rPr>
              <w:t>18EPAE008</w:t>
            </w:r>
          </w:p>
        </w:tc>
        <w:tc>
          <w:tcPr>
            <w:tcW w:w="1080" w:type="dxa"/>
            <w:vAlign w:val="center"/>
          </w:tcPr>
          <w:p w14:paraId="55211A9C"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Francuska</w:t>
            </w:r>
          </w:p>
        </w:tc>
        <w:tc>
          <w:tcPr>
            <w:tcW w:w="1080" w:type="dxa"/>
            <w:tcBorders>
              <w:left w:val="nil"/>
            </w:tcBorders>
            <w:vAlign w:val="center"/>
          </w:tcPr>
          <w:p w14:paraId="7206AE75"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P. echinulata</w:t>
            </w:r>
          </w:p>
        </w:tc>
        <w:tc>
          <w:tcPr>
            <w:tcW w:w="720" w:type="dxa"/>
            <w:noWrap/>
            <w:vAlign w:val="center"/>
          </w:tcPr>
          <w:p w14:paraId="055FABE7"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2020</w:t>
            </w:r>
          </w:p>
        </w:tc>
        <w:tc>
          <w:tcPr>
            <w:tcW w:w="1080" w:type="dxa"/>
            <w:tcBorders>
              <w:left w:val="nil"/>
            </w:tcBorders>
            <w:vAlign w:val="center"/>
          </w:tcPr>
          <w:p w14:paraId="425277E3"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Cambon </w:t>
            </w:r>
          </w:p>
        </w:tc>
        <w:tc>
          <w:tcPr>
            <w:tcW w:w="810" w:type="dxa"/>
            <w:vAlign w:val="center"/>
          </w:tcPr>
          <w:p w14:paraId="70CE176E"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MT862308</w:t>
            </w:r>
          </w:p>
        </w:tc>
        <w:tc>
          <w:tcPr>
            <w:tcW w:w="900" w:type="dxa"/>
            <w:tcBorders>
              <w:left w:val="nil"/>
            </w:tcBorders>
            <w:vAlign w:val="center"/>
          </w:tcPr>
          <w:p w14:paraId="2D65BA3E"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MT881811</w:t>
            </w:r>
          </w:p>
        </w:tc>
        <w:tc>
          <w:tcPr>
            <w:tcW w:w="815" w:type="dxa"/>
            <w:vAlign w:val="center"/>
          </w:tcPr>
          <w:p w14:paraId="32A6A9ED"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MT881898</w:t>
            </w:r>
          </w:p>
        </w:tc>
        <w:tc>
          <w:tcPr>
            <w:tcW w:w="720" w:type="dxa"/>
            <w:tcBorders>
              <w:left w:val="nil"/>
            </w:tcBorders>
            <w:shd w:val="clear" w:color="000000" w:fill="FFFFFF"/>
            <w:vAlign w:val="center"/>
          </w:tcPr>
          <w:p w14:paraId="3ED1B4E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c>
          <w:tcPr>
            <w:tcW w:w="810" w:type="dxa"/>
            <w:shd w:val="clear" w:color="000000" w:fill="FFFFFF"/>
            <w:vAlign w:val="center"/>
          </w:tcPr>
          <w:p w14:paraId="0E16BB0C"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54C82F7C" w14:textId="77777777">
        <w:trPr>
          <w:trHeight w:val="828"/>
        </w:trPr>
        <w:tc>
          <w:tcPr>
            <w:tcW w:w="1167" w:type="dxa"/>
            <w:vAlign w:val="center"/>
          </w:tcPr>
          <w:p w14:paraId="73A2F45E"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B. mediterranea </w:t>
            </w:r>
          </w:p>
        </w:tc>
        <w:tc>
          <w:tcPr>
            <w:tcW w:w="808" w:type="dxa"/>
            <w:tcBorders>
              <w:left w:val="nil"/>
            </w:tcBorders>
            <w:vAlign w:val="center"/>
          </w:tcPr>
          <w:p w14:paraId="4D85B2A2"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CBS101016</w:t>
            </w:r>
          </w:p>
        </w:tc>
        <w:tc>
          <w:tcPr>
            <w:tcW w:w="1080" w:type="dxa"/>
            <w:vAlign w:val="center"/>
          </w:tcPr>
          <w:p w14:paraId="1D22CDB1"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Holandija </w:t>
            </w:r>
          </w:p>
        </w:tc>
        <w:tc>
          <w:tcPr>
            <w:tcW w:w="1080" w:type="dxa"/>
            <w:tcBorders>
              <w:left w:val="nil"/>
            </w:tcBorders>
            <w:vAlign w:val="center"/>
          </w:tcPr>
          <w:p w14:paraId="5B39B4CC"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Q. robur</w:t>
            </w:r>
          </w:p>
        </w:tc>
        <w:tc>
          <w:tcPr>
            <w:tcW w:w="720" w:type="dxa"/>
            <w:noWrap/>
            <w:vAlign w:val="center"/>
          </w:tcPr>
          <w:p w14:paraId="4FD9EA79"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2016</w:t>
            </w:r>
          </w:p>
        </w:tc>
        <w:tc>
          <w:tcPr>
            <w:tcW w:w="1080" w:type="dxa"/>
            <w:tcBorders>
              <w:left w:val="nil"/>
            </w:tcBorders>
            <w:vAlign w:val="center"/>
          </w:tcPr>
          <w:p w14:paraId="7605012A"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Henriques </w:t>
            </w:r>
          </w:p>
        </w:tc>
        <w:tc>
          <w:tcPr>
            <w:tcW w:w="810" w:type="dxa"/>
            <w:vAlign w:val="center"/>
          </w:tcPr>
          <w:p w14:paraId="390AA6F6"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KM216787</w:t>
            </w:r>
          </w:p>
        </w:tc>
        <w:tc>
          <w:tcPr>
            <w:tcW w:w="900" w:type="dxa"/>
            <w:tcBorders>
              <w:left w:val="nil"/>
            </w:tcBorders>
            <w:vAlign w:val="center"/>
          </w:tcPr>
          <w:p w14:paraId="68B40B33"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KM216823</w:t>
            </w:r>
          </w:p>
        </w:tc>
        <w:tc>
          <w:tcPr>
            <w:tcW w:w="815" w:type="dxa"/>
            <w:vAlign w:val="center"/>
          </w:tcPr>
          <w:p w14:paraId="5E1E8994"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KM267235</w:t>
            </w:r>
          </w:p>
        </w:tc>
        <w:tc>
          <w:tcPr>
            <w:tcW w:w="720" w:type="dxa"/>
            <w:tcBorders>
              <w:left w:val="nil"/>
            </w:tcBorders>
            <w:shd w:val="clear" w:color="000000" w:fill="FFFFFF"/>
            <w:vAlign w:val="center"/>
          </w:tcPr>
          <w:p w14:paraId="5490DBB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c>
          <w:tcPr>
            <w:tcW w:w="810" w:type="dxa"/>
            <w:shd w:val="clear" w:color="000000" w:fill="FFFFFF"/>
            <w:vAlign w:val="center"/>
          </w:tcPr>
          <w:p w14:paraId="544ACDDB"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73619267" w14:textId="77777777">
        <w:trPr>
          <w:trHeight w:val="828"/>
        </w:trPr>
        <w:tc>
          <w:tcPr>
            <w:tcW w:w="1167" w:type="dxa"/>
            <w:vAlign w:val="center"/>
          </w:tcPr>
          <w:p w14:paraId="1ED29B97"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B. mediterranea </w:t>
            </w:r>
          </w:p>
        </w:tc>
        <w:tc>
          <w:tcPr>
            <w:tcW w:w="808" w:type="dxa"/>
            <w:tcBorders>
              <w:left w:val="nil"/>
            </w:tcBorders>
            <w:vAlign w:val="center"/>
          </w:tcPr>
          <w:p w14:paraId="10A7A6C8" w14:textId="77777777" w:rsidR="003801E8" w:rsidRDefault="00E44AAE">
            <w:pPr>
              <w:spacing w:after="0" w:line="240" w:lineRule="auto"/>
              <w:jc w:val="center"/>
              <w:rPr>
                <w:rFonts w:ascii="Book Antiqua" w:eastAsia="Times New Roman" w:hAnsi="Book Antiqua" w:cs="Times New Roman"/>
                <w:color w:val="222222"/>
                <w:sz w:val="18"/>
                <w:szCs w:val="18"/>
                <w:lang w:val="en-US"/>
              </w:rPr>
            </w:pPr>
            <w:r>
              <w:rPr>
                <w:rFonts w:ascii="Book Antiqua" w:eastAsia="Times New Roman" w:hAnsi="Book Antiqua" w:cs="Times New Roman"/>
                <w:color w:val="222222"/>
                <w:sz w:val="18"/>
                <w:szCs w:val="18"/>
                <w:lang w:val="en-US"/>
              </w:rPr>
              <w:t>Pc08.002</w:t>
            </w:r>
          </w:p>
        </w:tc>
        <w:tc>
          <w:tcPr>
            <w:tcW w:w="1080" w:type="dxa"/>
            <w:vAlign w:val="center"/>
          </w:tcPr>
          <w:p w14:paraId="0AB5FF9B"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Portugal</w:t>
            </w:r>
          </w:p>
        </w:tc>
        <w:tc>
          <w:tcPr>
            <w:tcW w:w="1080" w:type="dxa"/>
            <w:tcBorders>
              <w:left w:val="nil"/>
            </w:tcBorders>
            <w:vAlign w:val="center"/>
          </w:tcPr>
          <w:p w14:paraId="031B9296"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Q. robur</w:t>
            </w:r>
          </w:p>
        </w:tc>
        <w:tc>
          <w:tcPr>
            <w:tcW w:w="720" w:type="dxa"/>
            <w:noWrap/>
            <w:vAlign w:val="center"/>
          </w:tcPr>
          <w:p w14:paraId="53D33D96"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2016</w:t>
            </w:r>
          </w:p>
        </w:tc>
        <w:tc>
          <w:tcPr>
            <w:tcW w:w="1080" w:type="dxa"/>
            <w:tcBorders>
              <w:left w:val="nil"/>
            </w:tcBorders>
            <w:vAlign w:val="center"/>
          </w:tcPr>
          <w:p w14:paraId="69EE8D11"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Henriques </w:t>
            </w:r>
          </w:p>
        </w:tc>
        <w:tc>
          <w:tcPr>
            <w:tcW w:w="810" w:type="dxa"/>
            <w:vAlign w:val="center"/>
          </w:tcPr>
          <w:p w14:paraId="7FA6B364"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KM216785</w:t>
            </w:r>
          </w:p>
        </w:tc>
        <w:tc>
          <w:tcPr>
            <w:tcW w:w="900" w:type="dxa"/>
            <w:tcBorders>
              <w:left w:val="nil"/>
            </w:tcBorders>
            <w:vAlign w:val="center"/>
          </w:tcPr>
          <w:p w14:paraId="393D0AF3"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KM216822</w:t>
            </w:r>
          </w:p>
        </w:tc>
        <w:tc>
          <w:tcPr>
            <w:tcW w:w="815" w:type="dxa"/>
            <w:vAlign w:val="center"/>
          </w:tcPr>
          <w:p w14:paraId="75D9DD6C"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KM267198</w:t>
            </w:r>
          </w:p>
        </w:tc>
        <w:tc>
          <w:tcPr>
            <w:tcW w:w="720" w:type="dxa"/>
            <w:tcBorders>
              <w:left w:val="nil"/>
            </w:tcBorders>
            <w:shd w:val="clear" w:color="000000" w:fill="FFFFFF"/>
            <w:vAlign w:val="center"/>
          </w:tcPr>
          <w:p w14:paraId="42106D93"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c>
          <w:tcPr>
            <w:tcW w:w="810" w:type="dxa"/>
            <w:shd w:val="clear" w:color="000000" w:fill="FFFFFF"/>
            <w:vAlign w:val="center"/>
          </w:tcPr>
          <w:p w14:paraId="0B486544"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63DBC701" w14:textId="77777777">
        <w:trPr>
          <w:trHeight w:val="828"/>
        </w:trPr>
        <w:tc>
          <w:tcPr>
            <w:tcW w:w="1167" w:type="dxa"/>
            <w:vAlign w:val="center"/>
          </w:tcPr>
          <w:p w14:paraId="013A7C2C"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B. mediterranea </w:t>
            </w:r>
          </w:p>
        </w:tc>
        <w:tc>
          <w:tcPr>
            <w:tcW w:w="808" w:type="dxa"/>
            <w:tcBorders>
              <w:left w:val="nil"/>
            </w:tcBorders>
            <w:vAlign w:val="center"/>
          </w:tcPr>
          <w:p w14:paraId="3BBA561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Pc96.009</w:t>
            </w:r>
          </w:p>
        </w:tc>
        <w:tc>
          <w:tcPr>
            <w:tcW w:w="1080" w:type="dxa"/>
            <w:vAlign w:val="center"/>
          </w:tcPr>
          <w:p w14:paraId="76865DD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Portugal</w:t>
            </w:r>
          </w:p>
        </w:tc>
        <w:tc>
          <w:tcPr>
            <w:tcW w:w="1080" w:type="dxa"/>
            <w:tcBorders>
              <w:left w:val="nil"/>
            </w:tcBorders>
            <w:vAlign w:val="center"/>
          </w:tcPr>
          <w:p w14:paraId="1BCBEFF5"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P. cylindrus</w:t>
            </w:r>
          </w:p>
        </w:tc>
        <w:tc>
          <w:tcPr>
            <w:tcW w:w="720" w:type="dxa"/>
            <w:noWrap/>
            <w:vAlign w:val="center"/>
          </w:tcPr>
          <w:p w14:paraId="79C14977"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2014</w:t>
            </w:r>
          </w:p>
        </w:tc>
        <w:tc>
          <w:tcPr>
            <w:tcW w:w="1080" w:type="dxa"/>
            <w:tcBorders>
              <w:left w:val="nil"/>
            </w:tcBorders>
            <w:vAlign w:val="center"/>
          </w:tcPr>
          <w:p w14:paraId="072C54AB"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Henriques </w:t>
            </w:r>
          </w:p>
        </w:tc>
        <w:tc>
          <w:tcPr>
            <w:tcW w:w="810" w:type="dxa"/>
            <w:vAlign w:val="center"/>
          </w:tcPr>
          <w:p w14:paraId="4AB8D01B"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KM216786</w:t>
            </w:r>
          </w:p>
        </w:tc>
        <w:tc>
          <w:tcPr>
            <w:tcW w:w="900" w:type="dxa"/>
            <w:tcBorders>
              <w:left w:val="nil"/>
            </w:tcBorders>
            <w:vAlign w:val="center"/>
          </w:tcPr>
          <w:p w14:paraId="2F14673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KM216821</w:t>
            </w:r>
          </w:p>
        </w:tc>
        <w:tc>
          <w:tcPr>
            <w:tcW w:w="815" w:type="dxa"/>
            <w:vAlign w:val="center"/>
          </w:tcPr>
          <w:p w14:paraId="3CC76BF0"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KM267233</w:t>
            </w:r>
          </w:p>
        </w:tc>
        <w:tc>
          <w:tcPr>
            <w:tcW w:w="720" w:type="dxa"/>
            <w:tcBorders>
              <w:left w:val="nil"/>
            </w:tcBorders>
            <w:shd w:val="clear" w:color="000000" w:fill="FFFFFF"/>
            <w:vAlign w:val="center"/>
          </w:tcPr>
          <w:p w14:paraId="4984A550"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c>
          <w:tcPr>
            <w:tcW w:w="810" w:type="dxa"/>
            <w:shd w:val="clear" w:color="000000" w:fill="FFFFFF"/>
            <w:vAlign w:val="center"/>
          </w:tcPr>
          <w:p w14:paraId="00C6C0B6"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2E532C14" w14:textId="77777777">
        <w:trPr>
          <w:trHeight w:val="828"/>
        </w:trPr>
        <w:tc>
          <w:tcPr>
            <w:tcW w:w="1167" w:type="dxa"/>
            <w:vAlign w:val="center"/>
          </w:tcPr>
          <w:p w14:paraId="016E56BF"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B. mediterranea </w:t>
            </w:r>
          </w:p>
        </w:tc>
        <w:tc>
          <w:tcPr>
            <w:tcW w:w="808" w:type="dxa"/>
            <w:tcBorders>
              <w:left w:val="nil"/>
            </w:tcBorders>
            <w:vAlign w:val="center"/>
          </w:tcPr>
          <w:p w14:paraId="0102931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Bm13.013</w:t>
            </w:r>
          </w:p>
        </w:tc>
        <w:tc>
          <w:tcPr>
            <w:tcW w:w="1080" w:type="dxa"/>
            <w:vAlign w:val="center"/>
          </w:tcPr>
          <w:p w14:paraId="5AD27C14"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Španija</w:t>
            </w:r>
          </w:p>
        </w:tc>
        <w:tc>
          <w:tcPr>
            <w:tcW w:w="1080" w:type="dxa"/>
            <w:tcBorders>
              <w:left w:val="nil"/>
            </w:tcBorders>
            <w:vAlign w:val="center"/>
          </w:tcPr>
          <w:p w14:paraId="57EEE79C"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Q. suber</w:t>
            </w:r>
          </w:p>
        </w:tc>
        <w:tc>
          <w:tcPr>
            <w:tcW w:w="720" w:type="dxa"/>
            <w:noWrap/>
            <w:vAlign w:val="center"/>
          </w:tcPr>
          <w:p w14:paraId="03384330"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2014</w:t>
            </w:r>
          </w:p>
        </w:tc>
        <w:tc>
          <w:tcPr>
            <w:tcW w:w="1080" w:type="dxa"/>
            <w:tcBorders>
              <w:left w:val="nil"/>
            </w:tcBorders>
            <w:vAlign w:val="center"/>
          </w:tcPr>
          <w:p w14:paraId="2076310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Henriques </w:t>
            </w:r>
          </w:p>
        </w:tc>
        <w:tc>
          <w:tcPr>
            <w:tcW w:w="810" w:type="dxa"/>
            <w:vAlign w:val="center"/>
          </w:tcPr>
          <w:p w14:paraId="7144846E"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KM216784</w:t>
            </w:r>
          </w:p>
        </w:tc>
        <w:tc>
          <w:tcPr>
            <w:tcW w:w="900" w:type="dxa"/>
            <w:tcBorders>
              <w:left w:val="nil"/>
            </w:tcBorders>
            <w:vAlign w:val="center"/>
          </w:tcPr>
          <w:p w14:paraId="6C997674"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KM216820</w:t>
            </w:r>
          </w:p>
        </w:tc>
        <w:tc>
          <w:tcPr>
            <w:tcW w:w="815" w:type="dxa"/>
            <w:vAlign w:val="center"/>
          </w:tcPr>
          <w:p w14:paraId="56624224"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KM267232</w:t>
            </w:r>
          </w:p>
        </w:tc>
        <w:tc>
          <w:tcPr>
            <w:tcW w:w="720" w:type="dxa"/>
            <w:tcBorders>
              <w:left w:val="nil"/>
            </w:tcBorders>
            <w:shd w:val="clear" w:color="000000" w:fill="FFFFFF"/>
            <w:vAlign w:val="center"/>
          </w:tcPr>
          <w:p w14:paraId="12903E9D"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c>
          <w:tcPr>
            <w:tcW w:w="810" w:type="dxa"/>
            <w:shd w:val="clear" w:color="000000" w:fill="FFFFFF"/>
            <w:vAlign w:val="center"/>
          </w:tcPr>
          <w:p w14:paraId="42BED737"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228B5767" w14:textId="77777777">
        <w:trPr>
          <w:trHeight w:val="828"/>
        </w:trPr>
        <w:tc>
          <w:tcPr>
            <w:tcW w:w="1167" w:type="dxa"/>
            <w:vAlign w:val="center"/>
          </w:tcPr>
          <w:p w14:paraId="47CEBF9A"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B. mediterranea </w:t>
            </w:r>
          </w:p>
        </w:tc>
        <w:tc>
          <w:tcPr>
            <w:tcW w:w="808" w:type="dxa"/>
            <w:tcBorders>
              <w:left w:val="nil"/>
            </w:tcBorders>
            <w:vAlign w:val="center"/>
          </w:tcPr>
          <w:p w14:paraId="61994398"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TBC0155.1 </w:t>
            </w:r>
          </w:p>
        </w:tc>
        <w:tc>
          <w:tcPr>
            <w:tcW w:w="1080" w:type="dxa"/>
            <w:vAlign w:val="center"/>
          </w:tcPr>
          <w:p w14:paraId="4FC31774"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Portugal</w:t>
            </w:r>
          </w:p>
        </w:tc>
        <w:tc>
          <w:tcPr>
            <w:tcW w:w="1080" w:type="dxa"/>
            <w:tcBorders>
              <w:left w:val="nil"/>
            </w:tcBorders>
            <w:vAlign w:val="center"/>
          </w:tcPr>
          <w:p w14:paraId="0A6792F0"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V. vinifera</w:t>
            </w:r>
          </w:p>
        </w:tc>
        <w:tc>
          <w:tcPr>
            <w:tcW w:w="720" w:type="dxa"/>
            <w:noWrap/>
            <w:vAlign w:val="center"/>
          </w:tcPr>
          <w:p w14:paraId="427CB3D7"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2024</w:t>
            </w:r>
          </w:p>
        </w:tc>
        <w:tc>
          <w:tcPr>
            <w:tcW w:w="1080" w:type="dxa"/>
            <w:tcBorders>
              <w:left w:val="nil"/>
            </w:tcBorders>
            <w:vAlign w:val="center"/>
          </w:tcPr>
          <w:p w14:paraId="450C10DA"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 Azevedo-Nogueira </w:t>
            </w:r>
          </w:p>
        </w:tc>
        <w:tc>
          <w:tcPr>
            <w:tcW w:w="810" w:type="dxa"/>
            <w:vAlign w:val="center"/>
          </w:tcPr>
          <w:p w14:paraId="7AEF5B8D"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PQ556152</w:t>
            </w:r>
          </w:p>
        </w:tc>
        <w:tc>
          <w:tcPr>
            <w:tcW w:w="900" w:type="dxa"/>
            <w:tcBorders>
              <w:left w:val="nil"/>
            </w:tcBorders>
            <w:vAlign w:val="center"/>
          </w:tcPr>
          <w:p w14:paraId="4B9820B1"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PQ566584</w:t>
            </w:r>
          </w:p>
        </w:tc>
        <w:tc>
          <w:tcPr>
            <w:tcW w:w="815" w:type="dxa"/>
            <w:vAlign w:val="center"/>
          </w:tcPr>
          <w:p w14:paraId="262AF281"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PQ566315</w:t>
            </w:r>
          </w:p>
        </w:tc>
        <w:tc>
          <w:tcPr>
            <w:tcW w:w="720" w:type="dxa"/>
            <w:tcBorders>
              <w:left w:val="nil"/>
            </w:tcBorders>
            <w:shd w:val="clear" w:color="000000" w:fill="FFFFFF"/>
            <w:vAlign w:val="center"/>
          </w:tcPr>
          <w:p w14:paraId="58A60E49"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c>
          <w:tcPr>
            <w:tcW w:w="810" w:type="dxa"/>
            <w:shd w:val="clear" w:color="000000" w:fill="FFFFFF"/>
            <w:vAlign w:val="center"/>
          </w:tcPr>
          <w:p w14:paraId="757EF509"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13179C08" w14:textId="77777777">
        <w:trPr>
          <w:trHeight w:val="828"/>
        </w:trPr>
        <w:tc>
          <w:tcPr>
            <w:tcW w:w="1167" w:type="dxa"/>
            <w:vAlign w:val="center"/>
          </w:tcPr>
          <w:p w14:paraId="56A4CB14"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 xml:space="preserve">B. mediterranea </w:t>
            </w:r>
          </w:p>
        </w:tc>
        <w:tc>
          <w:tcPr>
            <w:tcW w:w="808" w:type="dxa"/>
            <w:tcBorders>
              <w:left w:val="nil"/>
            </w:tcBorders>
            <w:vAlign w:val="center"/>
          </w:tcPr>
          <w:p w14:paraId="0B0FB51B"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SL2PRI </w:t>
            </w:r>
          </w:p>
        </w:tc>
        <w:tc>
          <w:tcPr>
            <w:tcW w:w="1080" w:type="dxa"/>
            <w:vAlign w:val="center"/>
          </w:tcPr>
          <w:p w14:paraId="74A3836E"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Hrvatska </w:t>
            </w:r>
          </w:p>
        </w:tc>
        <w:tc>
          <w:tcPr>
            <w:tcW w:w="1080" w:type="dxa"/>
            <w:tcBorders>
              <w:left w:val="nil"/>
            </w:tcBorders>
            <w:vAlign w:val="center"/>
          </w:tcPr>
          <w:p w14:paraId="3FF5FCC3"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O. europea</w:t>
            </w:r>
          </w:p>
        </w:tc>
        <w:tc>
          <w:tcPr>
            <w:tcW w:w="720" w:type="dxa"/>
            <w:noWrap/>
            <w:vAlign w:val="center"/>
          </w:tcPr>
          <w:p w14:paraId="5AEE8A99"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2023</w:t>
            </w:r>
          </w:p>
        </w:tc>
        <w:tc>
          <w:tcPr>
            <w:tcW w:w="1080" w:type="dxa"/>
            <w:tcBorders>
              <w:left w:val="nil"/>
            </w:tcBorders>
            <w:vAlign w:val="center"/>
          </w:tcPr>
          <w:p w14:paraId="0C47ED8C"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Petrović </w:t>
            </w:r>
          </w:p>
        </w:tc>
        <w:tc>
          <w:tcPr>
            <w:tcW w:w="810" w:type="dxa"/>
            <w:vAlign w:val="center"/>
          </w:tcPr>
          <w:p w14:paraId="3E70BECB"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OQ734646</w:t>
            </w:r>
          </w:p>
        </w:tc>
        <w:tc>
          <w:tcPr>
            <w:tcW w:w="900" w:type="dxa"/>
            <w:tcBorders>
              <w:left w:val="nil"/>
            </w:tcBorders>
            <w:vAlign w:val="center"/>
          </w:tcPr>
          <w:p w14:paraId="06544EA9"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OQ754165</w:t>
            </w:r>
          </w:p>
        </w:tc>
        <w:tc>
          <w:tcPr>
            <w:tcW w:w="815" w:type="dxa"/>
            <w:vAlign w:val="center"/>
          </w:tcPr>
          <w:p w14:paraId="6B5A65DC"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OQ744688</w:t>
            </w:r>
          </w:p>
        </w:tc>
        <w:tc>
          <w:tcPr>
            <w:tcW w:w="720" w:type="dxa"/>
            <w:tcBorders>
              <w:left w:val="nil"/>
            </w:tcBorders>
            <w:shd w:val="clear" w:color="000000" w:fill="FFFFFF"/>
            <w:vAlign w:val="center"/>
          </w:tcPr>
          <w:p w14:paraId="0602992B"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c>
          <w:tcPr>
            <w:tcW w:w="810" w:type="dxa"/>
            <w:shd w:val="clear" w:color="000000" w:fill="FFFFFF"/>
            <w:vAlign w:val="center"/>
          </w:tcPr>
          <w:p w14:paraId="2CBABDFF"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r w:rsidR="003801E8" w14:paraId="19D7D107" w14:textId="77777777">
        <w:trPr>
          <w:trHeight w:val="828"/>
        </w:trPr>
        <w:tc>
          <w:tcPr>
            <w:tcW w:w="1167" w:type="dxa"/>
            <w:tcBorders>
              <w:bottom w:val="single" w:sz="4" w:space="0" w:color="auto"/>
            </w:tcBorders>
            <w:vAlign w:val="center"/>
          </w:tcPr>
          <w:p w14:paraId="0BC9A1D2" w14:textId="77777777" w:rsidR="003801E8" w:rsidRDefault="00E44AAE">
            <w:pPr>
              <w:spacing w:after="0" w:line="240" w:lineRule="auto"/>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B. nummularia</w:t>
            </w:r>
          </w:p>
        </w:tc>
        <w:tc>
          <w:tcPr>
            <w:tcW w:w="808" w:type="dxa"/>
            <w:tcBorders>
              <w:left w:val="nil"/>
              <w:bottom w:val="single" w:sz="4" w:space="0" w:color="auto"/>
            </w:tcBorders>
            <w:vAlign w:val="center"/>
          </w:tcPr>
          <w:p w14:paraId="5151B0A2"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677J</w:t>
            </w:r>
          </w:p>
        </w:tc>
        <w:tc>
          <w:tcPr>
            <w:tcW w:w="1080" w:type="dxa"/>
            <w:tcBorders>
              <w:bottom w:val="single" w:sz="4" w:space="0" w:color="auto"/>
            </w:tcBorders>
            <w:vAlign w:val="center"/>
          </w:tcPr>
          <w:p w14:paraId="45F20B4C"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Poljska</w:t>
            </w:r>
          </w:p>
        </w:tc>
        <w:tc>
          <w:tcPr>
            <w:tcW w:w="1080" w:type="dxa"/>
            <w:tcBorders>
              <w:left w:val="nil"/>
              <w:bottom w:val="single" w:sz="4" w:space="0" w:color="auto"/>
            </w:tcBorders>
            <w:vAlign w:val="center"/>
          </w:tcPr>
          <w:p w14:paraId="71A83148" w14:textId="77777777" w:rsidR="003801E8" w:rsidRDefault="00E44AAE">
            <w:pPr>
              <w:spacing w:after="0" w:line="240" w:lineRule="auto"/>
              <w:jc w:val="center"/>
              <w:rPr>
                <w:rFonts w:ascii="Book Antiqua" w:eastAsia="Times New Roman" w:hAnsi="Book Antiqua" w:cs="Times New Roman"/>
                <w:i/>
                <w:iCs/>
                <w:color w:val="000000"/>
                <w:sz w:val="18"/>
                <w:szCs w:val="18"/>
                <w:lang w:val="en-US"/>
              </w:rPr>
            </w:pPr>
            <w:r>
              <w:rPr>
                <w:rFonts w:ascii="Book Antiqua" w:eastAsia="Times New Roman" w:hAnsi="Book Antiqua" w:cs="Times New Roman"/>
                <w:i/>
                <w:iCs/>
                <w:color w:val="000000"/>
                <w:sz w:val="18"/>
                <w:szCs w:val="18"/>
                <w:lang w:val="en-US"/>
              </w:rPr>
              <w:t>P. mugo</w:t>
            </w:r>
          </w:p>
        </w:tc>
        <w:tc>
          <w:tcPr>
            <w:tcW w:w="720" w:type="dxa"/>
            <w:tcBorders>
              <w:bottom w:val="single" w:sz="4" w:space="0" w:color="auto"/>
            </w:tcBorders>
            <w:noWrap/>
            <w:vAlign w:val="center"/>
          </w:tcPr>
          <w:p w14:paraId="5C778CB8"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2024</w:t>
            </w:r>
          </w:p>
        </w:tc>
        <w:tc>
          <w:tcPr>
            <w:tcW w:w="1080" w:type="dxa"/>
            <w:tcBorders>
              <w:left w:val="nil"/>
              <w:bottom w:val="single" w:sz="4" w:space="0" w:color="auto"/>
            </w:tcBorders>
            <w:vAlign w:val="center"/>
          </w:tcPr>
          <w:p w14:paraId="715E4888"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 xml:space="preserve">Jankowiak </w:t>
            </w:r>
          </w:p>
        </w:tc>
        <w:tc>
          <w:tcPr>
            <w:tcW w:w="810" w:type="dxa"/>
            <w:tcBorders>
              <w:bottom w:val="single" w:sz="4" w:space="0" w:color="auto"/>
            </w:tcBorders>
            <w:vAlign w:val="center"/>
          </w:tcPr>
          <w:p w14:paraId="49117381"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PP523924</w:t>
            </w:r>
          </w:p>
        </w:tc>
        <w:tc>
          <w:tcPr>
            <w:tcW w:w="900" w:type="dxa"/>
            <w:tcBorders>
              <w:left w:val="nil"/>
              <w:bottom w:val="single" w:sz="4" w:space="0" w:color="auto"/>
            </w:tcBorders>
            <w:vAlign w:val="center"/>
          </w:tcPr>
          <w:p w14:paraId="3D88FD7F"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PP525026</w:t>
            </w:r>
          </w:p>
        </w:tc>
        <w:tc>
          <w:tcPr>
            <w:tcW w:w="815" w:type="dxa"/>
            <w:tcBorders>
              <w:bottom w:val="single" w:sz="4" w:space="0" w:color="auto"/>
            </w:tcBorders>
            <w:vAlign w:val="center"/>
          </w:tcPr>
          <w:p w14:paraId="4B71BE9D" w14:textId="77777777" w:rsidR="003801E8" w:rsidRDefault="00E44AAE">
            <w:pPr>
              <w:spacing w:after="0" w:line="240" w:lineRule="auto"/>
              <w:jc w:val="center"/>
              <w:rPr>
                <w:rFonts w:ascii="Book Antiqua" w:eastAsia="Times New Roman" w:hAnsi="Book Antiqua" w:cs="Times New Roman"/>
                <w:b/>
                <w:bCs/>
                <w:color w:val="000000"/>
                <w:sz w:val="18"/>
                <w:szCs w:val="18"/>
                <w:lang w:val="en-US"/>
              </w:rPr>
            </w:pPr>
            <w:r>
              <w:rPr>
                <w:rFonts w:ascii="Book Antiqua" w:eastAsia="Times New Roman" w:hAnsi="Book Antiqua" w:cs="Times New Roman"/>
                <w:b/>
                <w:bCs/>
                <w:color w:val="000000"/>
                <w:sz w:val="18"/>
                <w:szCs w:val="18"/>
                <w:lang w:val="en-US"/>
              </w:rPr>
              <w:t>PP524985</w:t>
            </w:r>
          </w:p>
        </w:tc>
        <w:tc>
          <w:tcPr>
            <w:tcW w:w="720" w:type="dxa"/>
            <w:tcBorders>
              <w:left w:val="nil"/>
              <w:bottom w:val="single" w:sz="4" w:space="0" w:color="auto"/>
            </w:tcBorders>
            <w:shd w:val="clear" w:color="000000" w:fill="FFFFFF"/>
            <w:vAlign w:val="center"/>
          </w:tcPr>
          <w:p w14:paraId="65AA5FD4"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c>
          <w:tcPr>
            <w:tcW w:w="810" w:type="dxa"/>
            <w:tcBorders>
              <w:bottom w:val="single" w:sz="4" w:space="0" w:color="auto"/>
            </w:tcBorders>
            <w:shd w:val="clear" w:color="000000" w:fill="FFFFFF"/>
            <w:vAlign w:val="center"/>
          </w:tcPr>
          <w:p w14:paraId="542B3D34" w14:textId="77777777" w:rsidR="003801E8" w:rsidRDefault="00E44AAE">
            <w:pPr>
              <w:spacing w:after="0" w:line="240" w:lineRule="auto"/>
              <w:jc w:val="center"/>
              <w:rPr>
                <w:rFonts w:ascii="Book Antiqua" w:eastAsia="Times New Roman" w:hAnsi="Book Antiqua" w:cs="Times New Roman"/>
                <w:color w:val="000000"/>
                <w:sz w:val="18"/>
                <w:szCs w:val="18"/>
                <w:lang w:val="en-US"/>
              </w:rPr>
            </w:pPr>
            <w:r>
              <w:rPr>
                <w:rFonts w:ascii="Book Antiqua" w:eastAsia="Times New Roman" w:hAnsi="Book Antiqua" w:cs="Times New Roman"/>
                <w:color w:val="000000"/>
                <w:sz w:val="18"/>
                <w:szCs w:val="18"/>
                <w:lang w:val="en-US"/>
              </w:rPr>
              <w:t>-</w:t>
            </w:r>
          </w:p>
        </w:tc>
      </w:tr>
    </w:tbl>
    <w:p w14:paraId="077ACAEB" w14:textId="77777777" w:rsidR="003801E8" w:rsidRDefault="003801E8">
      <w:pPr>
        <w:spacing w:after="160" w:line="360" w:lineRule="auto"/>
        <w:jc w:val="both"/>
        <w:rPr>
          <w:rFonts w:ascii="Book Antiqua" w:hAnsi="Book Antiqua" w:cs="Times New Roman"/>
          <w:b/>
          <w:bCs/>
          <w:sz w:val="24"/>
          <w:szCs w:val="24"/>
        </w:rPr>
      </w:pPr>
    </w:p>
    <w:p w14:paraId="0CC756E4" w14:textId="77777777" w:rsidR="003801E8" w:rsidRDefault="003801E8">
      <w:pPr>
        <w:tabs>
          <w:tab w:val="left" w:pos="6684"/>
        </w:tabs>
        <w:spacing w:after="160" w:line="360" w:lineRule="auto"/>
        <w:jc w:val="both"/>
        <w:rPr>
          <w:rFonts w:ascii="Book Antiqua" w:hAnsi="Book Antiqua" w:cs="Times New Roman"/>
          <w:b/>
          <w:kern w:val="2"/>
          <w:sz w:val="22"/>
          <w:szCs w:val="22"/>
          <w:lang w:val="en-US" w:eastAsia="sr-Latn-ME"/>
        </w:rPr>
      </w:pPr>
    </w:p>
    <w:p w14:paraId="565D212C" w14:textId="77777777" w:rsidR="003801E8" w:rsidRDefault="003801E8">
      <w:pPr>
        <w:tabs>
          <w:tab w:val="left" w:pos="6684"/>
        </w:tabs>
        <w:spacing w:after="160" w:line="360" w:lineRule="auto"/>
        <w:jc w:val="both"/>
        <w:rPr>
          <w:rFonts w:ascii="Book Antiqua" w:hAnsi="Book Antiqua" w:cs="Times New Roman"/>
          <w:b/>
          <w:kern w:val="2"/>
          <w:sz w:val="22"/>
          <w:szCs w:val="22"/>
          <w:lang w:val="en-US" w:eastAsia="sr-Latn-ME"/>
        </w:rPr>
      </w:pPr>
    </w:p>
    <w:p w14:paraId="4DCE859A" w14:textId="77777777" w:rsidR="003801E8" w:rsidRDefault="003801E8">
      <w:pPr>
        <w:tabs>
          <w:tab w:val="left" w:pos="6684"/>
        </w:tabs>
        <w:spacing w:after="160" w:line="360" w:lineRule="auto"/>
        <w:jc w:val="both"/>
        <w:rPr>
          <w:rFonts w:ascii="Book Antiqua" w:hAnsi="Book Antiqua" w:cs="Times New Roman"/>
          <w:b/>
          <w:kern w:val="2"/>
          <w:sz w:val="22"/>
          <w:szCs w:val="22"/>
          <w:lang w:val="en-US" w:eastAsia="sr-Latn-ME"/>
        </w:rPr>
      </w:pPr>
    </w:p>
    <w:p w14:paraId="06E83F03" w14:textId="77777777" w:rsidR="003801E8" w:rsidRDefault="00E44AAE">
      <w:pPr>
        <w:tabs>
          <w:tab w:val="left" w:pos="6684"/>
        </w:tabs>
        <w:spacing w:after="160" w:line="360" w:lineRule="auto"/>
        <w:jc w:val="both"/>
        <w:rPr>
          <w:rFonts w:ascii="Book Antiqua" w:hAnsi="Book Antiqua" w:cs="Times New Roman"/>
          <w:bCs/>
          <w:kern w:val="2"/>
          <w:sz w:val="22"/>
          <w:szCs w:val="22"/>
          <w:lang w:eastAsia="sr-Latn-ME"/>
        </w:rPr>
      </w:pPr>
      <w:r>
        <w:rPr>
          <w:rFonts w:ascii="Book Antiqua" w:hAnsi="Book Antiqua" w:cs="Times New Roman"/>
          <w:b/>
          <w:kern w:val="2"/>
          <w:sz w:val="22"/>
          <w:szCs w:val="22"/>
          <w:lang w:val="en-US" w:eastAsia="sr-Latn-ME"/>
        </w:rPr>
        <w:lastRenderedPageBreak/>
        <w:t>Tabela 12</w:t>
      </w:r>
      <w:r>
        <w:rPr>
          <w:rFonts w:ascii="Book Antiqua" w:hAnsi="Book Antiqua" w:cs="Times New Roman"/>
          <w:bCs/>
          <w:kern w:val="2"/>
          <w:sz w:val="22"/>
          <w:szCs w:val="22"/>
          <w:lang w:val="en-US" w:eastAsia="sr-Latn-ME"/>
        </w:rPr>
        <w:t xml:space="preserve">. </w:t>
      </w:r>
      <w:r>
        <w:rPr>
          <w:rFonts w:ascii="Book Antiqua" w:hAnsi="Book Antiqua" w:cs="Times New Roman"/>
          <w:bCs/>
          <w:kern w:val="2"/>
          <w:sz w:val="22"/>
          <w:szCs w:val="22"/>
          <w:lang w:eastAsia="sr-Latn-ME"/>
        </w:rPr>
        <w:t xml:space="preserve">Pristupni brojevi za ITS, TEF1a, TUB2, LSU i RPB2 sekvence </w:t>
      </w:r>
      <w:r>
        <w:rPr>
          <w:rFonts w:ascii="Book Antiqua" w:hAnsi="Book Antiqua" w:cs="Times New Roman"/>
          <w:bCs/>
          <w:i/>
          <w:iCs/>
          <w:kern w:val="2"/>
          <w:sz w:val="22"/>
          <w:szCs w:val="22"/>
          <w:lang w:eastAsia="sr-Latn-ME"/>
        </w:rPr>
        <w:t>S. vitis</w:t>
      </w:r>
      <w:r>
        <w:rPr>
          <w:rFonts w:ascii="Book Antiqua" w:hAnsi="Book Antiqua" w:cs="Times New Roman"/>
          <w:bCs/>
          <w:kern w:val="2"/>
          <w:sz w:val="22"/>
          <w:szCs w:val="22"/>
          <w:lang w:eastAsia="sr-Latn-ME"/>
        </w:rPr>
        <w:t xml:space="preserve"> preuzete iz GenBank kao i za sekvence dobijene u ovom istraživanju. Boldirani NCBI brojevi sekvenci korišćenih u filogenetskim analizama</w:t>
      </w:r>
      <w:r>
        <w:rPr>
          <w:rFonts w:ascii="Book Antiqua" w:hAnsi="Book Antiqua" w:cs="Times New Roman"/>
          <w:bCs/>
          <w:kern w:val="2"/>
          <w:sz w:val="22"/>
          <w:szCs w:val="22"/>
          <w:lang w:eastAsia="sr-Latn-ME"/>
        </w:rPr>
        <w:tab/>
      </w:r>
    </w:p>
    <w:tbl>
      <w:tblPr>
        <w:tblW w:w="9990" w:type="dxa"/>
        <w:tblLayout w:type="fixed"/>
        <w:tblLook w:val="04A0" w:firstRow="1" w:lastRow="0" w:firstColumn="1" w:lastColumn="0" w:noHBand="0" w:noVBand="1"/>
      </w:tblPr>
      <w:tblGrid>
        <w:gridCol w:w="1137"/>
        <w:gridCol w:w="971"/>
        <w:gridCol w:w="1061"/>
        <w:gridCol w:w="786"/>
        <w:gridCol w:w="900"/>
        <w:gridCol w:w="1080"/>
        <w:gridCol w:w="810"/>
        <w:gridCol w:w="900"/>
        <w:gridCol w:w="815"/>
        <w:gridCol w:w="720"/>
        <w:gridCol w:w="810"/>
      </w:tblGrid>
      <w:tr w:rsidR="003801E8" w14:paraId="342B683F" w14:textId="77777777">
        <w:trPr>
          <w:trHeight w:val="720"/>
        </w:trPr>
        <w:tc>
          <w:tcPr>
            <w:tcW w:w="1137" w:type="dxa"/>
            <w:tcBorders>
              <w:top w:val="single" w:sz="4" w:space="0" w:color="auto"/>
              <w:bottom w:val="single" w:sz="4" w:space="0" w:color="auto"/>
            </w:tcBorders>
            <w:vAlign w:val="center"/>
          </w:tcPr>
          <w:p w14:paraId="16C6164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Organizam</w:t>
            </w:r>
          </w:p>
        </w:tc>
        <w:tc>
          <w:tcPr>
            <w:tcW w:w="971" w:type="dxa"/>
            <w:tcBorders>
              <w:top w:val="single" w:sz="4" w:space="0" w:color="auto"/>
              <w:left w:val="nil"/>
              <w:bottom w:val="single" w:sz="4" w:space="0" w:color="auto"/>
            </w:tcBorders>
            <w:vAlign w:val="center"/>
          </w:tcPr>
          <w:p w14:paraId="48527B5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Izolat</w:t>
            </w:r>
          </w:p>
        </w:tc>
        <w:tc>
          <w:tcPr>
            <w:tcW w:w="1061" w:type="dxa"/>
            <w:tcBorders>
              <w:top w:val="single" w:sz="4" w:space="0" w:color="auto"/>
              <w:bottom w:val="single" w:sz="4" w:space="0" w:color="auto"/>
            </w:tcBorders>
            <w:vAlign w:val="center"/>
          </w:tcPr>
          <w:p w14:paraId="1F536E2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 xml:space="preserve">Zemlja porijekla </w:t>
            </w:r>
          </w:p>
        </w:tc>
        <w:tc>
          <w:tcPr>
            <w:tcW w:w="786" w:type="dxa"/>
            <w:tcBorders>
              <w:top w:val="single" w:sz="4" w:space="0" w:color="auto"/>
              <w:left w:val="nil"/>
              <w:bottom w:val="single" w:sz="4" w:space="0" w:color="auto"/>
            </w:tcBorders>
            <w:vAlign w:val="center"/>
          </w:tcPr>
          <w:p w14:paraId="5EB4F5E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Biljna vrsta (domaćin)</w:t>
            </w:r>
          </w:p>
        </w:tc>
        <w:tc>
          <w:tcPr>
            <w:tcW w:w="900" w:type="dxa"/>
            <w:tcBorders>
              <w:top w:val="single" w:sz="4" w:space="0" w:color="auto"/>
              <w:bottom w:val="single" w:sz="4" w:space="0" w:color="auto"/>
            </w:tcBorders>
            <w:vAlign w:val="center"/>
          </w:tcPr>
          <w:p w14:paraId="5F4A79C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Godina</w:t>
            </w:r>
          </w:p>
        </w:tc>
        <w:tc>
          <w:tcPr>
            <w:tcW w:w="1080" w:type="dxa"/>
            <w:tcBorders>
              <w:top w:val="single" w:sz="4" w:space="0" w:color="auto"/>
              <w:left w:val="nil"/>
              <w:bottom w:val="single" w:sz="4" w:space="0" w:color="auto"/>
            </w:tcBorders>
            <w:vAlign w:val="center"/>
          </w:tcPr>
          <w:p w14:paraId="472FBA5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Autor (NCBI)</w:t>
            </w:r>
          </w:p>
        </w:tc>
        <w:tc>
          <w:tcPr>
            <w:tcW w:w="810" w:type="dxa"/>
            <w:tcBorders>
              <w:top w:val="single" w:sz="4" w:space="0" w:color="auto"/>
              <w:bottom w:val="single" w:sz="4" w:space="0" w:color="auto"/>
            </w:tcBorders>
            <w:vAlign w:val="center"/>
          </w:tcPr>
          <w:p w14:paraId="0D0C61A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(ITS)</w:t>
            </w:r>
          </w:p>
        </w:tc>
        <w:tc>
          <w:tcPr>
            <w:tcW w:w="900" w:type="dxa"/>
            <w:tcBorders>
              <w:top w:val="single" w:sz="4" w:space="0" w:color="auto"/>
              <w:left w:val="nil"/>
              <w:bottom w:val="single" w:sz="4" w:space="0" w:color="auto"/>
            </w:tcBorders>
            <w:vAlign w:val="center"/>
          </w:tcPr>
          <w:p w14:paraId="2F0B8A3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(TEF1a)</w:t>
            </w:r>
          </w:p>
        </w:tc>
        <w:tc>
          <w:tcPr>
            <w:tcW w:w="815" w:type="dxa"/>
            <w:tcBorders>
              <w:top w:val="single" w:sz="4" w:space="0" w:color="auto"/>
              <w:bottom w:val="single" w:sz="4" w:space="0" w:color="auto"/>
            </w:tcBorders>
            <w:vAlign w:val="center"/>
          </w:tcPr>
          <w:p w14:paraId="68C2BA3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(TUB2)</w:t>
            </w:r>
          </w:p>
        </w:tc>
        <w:tc>
          <w:tcPr>
            <w:tcW w:w="720" w:type="dxa"/>
            <w:tcBorders>
              <w:top w:val="single" w:sz="4" w:space="0" w:color="auto"/>
              <w:left w:val="nil"/>
              <w:bottom w:val="single" w:sz="4" w:space="0" w:color="auto"/>
            </w:tcBorders>
            <w:vAlign w:val="center"/>
          </w:tcPr>
          <w:p w14:paraId="116FE14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(LSU)</w:t>
            </w:r>
          </w:p>
        </w:tc>
        <w:tc>
          <w:tcPr>
            <w:tcW w:w="810" w:type="dxa"/>
            <w:tcBorders>
              <w:top w:val="single" w:sz="4" w:space="0" w:color="auto"/>
              <w:bottom w:val="single" w:sz="4" w:space="0" w:color="auto"/>
            </w:tcBorders>
            <w:vAlign w:val="center"/>
          </w:tcPr>
          <w:p w14:paraId="0C22F55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(RPB2)</w:t>
            </w:r>
          </w:p>
        </w:tc>
      </w:tr>
      <w:tr w:rsidR="003801E8" w14:paraId="58DF2680" w14:textId="77777777">
        <w:trPr>
          <w:trHeight w:val="528"/>
        </w:trPr>
        <w:tc>
          <w:tcPr>
            <w:tcW w:w="1137" w:type="dxa"/>
            <w:tcBorders>
              <w:top w:val="single" w:sz="4" w:space="0" w:color="auto"/>
            </w:tcBorders>
            <w:vAlign w:val="center"/>
          </w:tcPr>
          <w:p w14:paraId="004AF79B"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S. vitis</w:t>
            </w:r>
          </w:p>
        </w:tc>
        <w:tc>
          <w:tcPr>
            <w:tcW w:w="971" w:type="dxa"/>
            <w:tcBorders>
              <w:top w:val="single" w:sz="4" w:space="0" w:color="auto"/>
              <w:left w:val="nil"/>
            </w:tcBorders>
            <w:vAlign w:val="center"/>
          </w:tcPr>
          <w:p w14:paraId="5709AA0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MN001</w:t>
            </w:r>
          </w:p>
        </w:tc>
        <w:tc>
          <w:tcPr>
            <w:tcW w:w="1061" w:type="dxa"/>
            <w:tcBorders>
              <w:top w:val="single" w:sz="4" w:space="0" w:color="auto"/>
            </w:tcBorders>
            <w:vAlign w:val="center"/>
          </w:tcPr>
          <w:p w14:paraId="28CDD67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Crna Gora </w:t>
            </w:r>
          </w:p>
        </w:tc>
        <w:tc>
          <w:tcPr>
            <w:tcW w:w="786" w:type="dxa"/>
            <w:tcBorders>
              <w:top w:val="single" w:sz="4" w:space="0" w:color="auto"/>
              <w:left w:val="nil"/>
            </w:tcBorders>
            <w:vAlign w:val="center"/>
          </w:tcPr>
          <w:p w14:paraId="7BAA8E37"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00" w:type="dxa"/>
            <w:tcBorders>
              <w:top w:val="single" w:sz="4" w:space="0" w:color="auto"/>
            </w:tcBorders>
            <w:vAlign w:val="center"/>
          </w:tcPr>
          <w:p w14:paraId="591ECA2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2024</w:t>
            </w:r>
          </w:p>
        </w:tc>
        <w:tc>
          <w:tcPr>
            <w:tcW w:w="1080" w:type="dxa"/>
            <w:tcBorders>
              <w:top w:val="single" w:sz="4" w:space="0" w:color="auto"/>
              <w:left w:val="nil"/>
            </w:tcBorders>
            <w:vAlign w:val="center"/>
          </w:tcPr>
          <w:p w14:paraId="0D3DB22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Kandić</w:t>
            </w:r>
          </w:p>
        </w:tc>
        <w:tc>
          <w:tcPr>
            <w:tcW w:w="810" w:type="dxa"/>
            <w:tcBorders>
              <w:top w:val="single" w:sz="4" w:space="0" w:color="auto"/>
            </w:tcBorders>
            <w:vAlign w:val="center"/>
          </w:tcPr>
          <w:p w14:paraId="12E84B4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PX696937</w:t>
            </w:r>
          </w:p>
        </w:tc>
        <w:tc>
          <w:tcPr>
            <w:tcW w:w="900" w:type="dxa"/>
            <w:tcBorders>
              <w:top w:val="single" w:sz="4" w:space="0" w:color="auto"/>
              <w:left w:val="nil"/>
            </w:tcBorders>
            <w:vAlign w:val="center"/>
          </w:tcPr>
          <w:p w14:paraId="749D873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PX778013</w:t>
            </w:r>
          </w:p>
        </w:tc>
        <w:tc>
          <w:tcPr>
            <w:tcW w:w="815" w:type="dxa"/>
            <w:tcBorders>
              <w:top w:val="single" w:sz="4" w:space="0" w:color="auto"/>
            </w:tcBorders>
            <w:vAlign w:val="center"/>
          </w:tcPr>
          <w:p w14:paraId="5A5A06D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PX778009</w:t>
            </w:r>
          </w:p>
        </w:tc>
        <w:tc>
          <w:tcPr>
            <w:tcW w:w="720" w:type="dxa"/>
            <w:tcBorders>
              <w:top w:val="single" w:sz="4" w:space="0" w:color="auto"/>
              <w:left w:val="nil"/>
            </w:tcBorders>
            <w:vAlign w:val="center"/>
          </w:tcPr>
          <w:p w14:paraId="4AC4BA9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PX696941</w:t>
            </w:r>
          </w:p>
        </w:tc>
        <w:tc>
          <w:tcPr>
            <w:tcW w:w="810" w:type="dxa"/>
            <w:tcBorders>
              <w:top w:val="single" w:sz="4" w:space="0" w:color="auto"/>
            </w:tcBorders>
            <w:vAlign w:val="center"/>
          </w:tcPr>
          <w:p w14:paraId="78365EC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PX778005</w:t>
            </w:r>
          </w:p>
        </w:tc>
      </w:tr>
      <w:tr w:rsidR="003801E8" w14:paraId="70BB3236" w14:textId="77777777">
        <w:trPr>
          <w:trHeight w:val="528"/>
        </w:trPr>
        <w:tc>
          <w:tcPr>
            <w:tcW w:w="1137" w:type="dxa"/>
            <w:vAlign w:val="center"/>
          </w:tcPr>
          <w:p w14:paraId="03D4E27B"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S. vitis viniferae</w:t>
            </w:r>
          </w:p>
        </w:tc>
        <w:tc>
          <w:tcPr>
            <w:tcW w:w="971" w:type="dxa"/>
            <w:tcBorders>
              <w:left w:val="nil"/>
            </w:tcBorders>
            <w:vAlign w:val="center"/>
          </w:tcPr>
          <w:p w14:paraId="1901445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CBS 116499 </w:t>
            </w:r>
          </w:p>
        </w:tc>
        <w:tc>
          <w:tcPr>
            <w:tcW w:w="1061" w:type="dxa"/>
            <w:vAlign w:val="center"/>
          </w:tcPr>
          <w:p w14:paraId="60A7147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Iran</w:t>
            </w:r>
          </w:p>
        </w:tc>
        <w:tc>
          <w:tcPr>
            <w:tcW w:w="786" w:type="dxa"/>
            <w:tcBorders>
              <w:left w:val="nil"/>
            </w:tcBorders>
            <w:vAlign w:val="center"/>
          </w:tcPr>
          <w:p w14:paraId="04C92427"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00" w:type="dxa"/>
            <w:vAlign w:val="center"/>
          </w:tcPr>
          <w:p w14:paraId="337C968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2018</w:t>
            </w:r>
          </w:p>
        </w:tc>
        <w:tc>
          <w:tcPr>
            <w:tcW w:w="1080" w:type="dxa"/>
            <w:tcBorders>
              <w:left w:val="nil"/>
            </w:tcBorders>
            <w:vAlign w:val="center"/>
          </w:tcPr>
          <w:p w14:paraId="4DA69E6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Liu  </w:t>
            </w:r>
          </w:p>
        </w:tc>
        <w:tc>
          <w:tcPr>
            <w:tcW w:w="810" w:type="dxa"/>
            <w:vAlign w:val="center"/>
          </w:tcPr>
          <w:p w14:paraId="0C173FC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MH553984</w:t>
            </w:r>
          </w:p>
        </w:tc>
        <w:tc>
          <w:tcPr>
            <w:tcW w:w="900" w:type="dxa"/>
            <w:tcBorders>
              <w:left w:val="nil"/>
            </w:tcBorders>
            <w:vAlign w:val="center"/>
          </w:tcPr>
          <w:p w14:paraId="72F60915"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MH554402</w:t>
            </w:r>
          </w:p>
        </w:tc>
        <w:tc>
          <w:tcPr>
            <w:tcW w:w="815" w:type="dxa"/>
            <w:vAlign w:val="center"/>
          </w:tcPr>
          <w:p w14:paraId="63C7646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MH554643</w:t>
            </w:r>
          </w:p>
        </w:tc>
        <w:tc>
          <w:tcPr>
            <w:tcW w:w="720" w:type="dxa"/>
            <w:tcBorders>
              <w:left w:val="nil"/>
            </w:tcBorders>
            <w:vAlign w:val="center"/>
          </w:tcPr>
          <w:p w14:paraId="73630A3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vAlign w:val="center"/>
          </w:tcPr>
          <w:p w14:paraId="398CFC6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373083CF" w14:textId="77777777">
        <w:trPr>
          <w:trHeight w:val="792"/>
        </w:trPr>
        <w:tc>
          <w:tcPr>
            <w:tcW w:w="1137" w:type="dxa"/>
            <w:vAlign w:val="center"/>
          </w:tcPr>
          <w:p w14:paraId="5882300F"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S. vitis viniferae</w:t>
            </w:r>
          </w:p>
        </w:tc>
        <w:tc>
          <w:tcPr>
            <w:tcW w:w="971" w:type="dxa"/>
            <w:tcBorders>
              <w:left w:val="nil"/>
            </w:tcBorders>
            <w:vAlign w:val="center"/>
          </w:tcPr>
          <w:p w14:paraId="157AA5C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CRCC 212 </w:t>
            </w:r>
          </w:p>
        </w:tc>
        <w:tc>
          <w:tcPr>
            <w:tcW w:w="1061" w:type="dxa"/>
            <w:vAlign w:val="center"/>
          </w:tcPr>
          <w:p w14:paraId="1D35FC6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Italija</w:t>
            </w:r>
          </w:p>
        </w:tc>
        <w:tc>
          <w:tcPr>
            <w:tcW w:w="786" w:type="dxa"/>
            <w:tcBorders>
              <w:left w:val="nil"/>
            </w:tcBorders>
            <w:vAlign w:val="center"/>
          </w:tcPr>
          <w:p w14:paraId="3B21286E"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00" w:type="dxa"/>
            <w:vAlign w:val="center"/>
          </w:tcPr>
          <w:p w14:paraId="0218C71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2019</w:t>
            </w:r>
          </w:p>
        </w:tc>
        <w:tc>
          <w:tcPr>
            <w:tcW w:w="1080" w:type="dxa"/>
            <w:tcBorders>
              <w:left w:val="nil"/>
            </w:tcBorders>
            <w:vAlign w:val="center"/>
          </w:tcPr>
          <w:p w14:paraId="0B9ADA5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Raimondo </w:t>
            </w:r>
          </w:p>
        </w:tc>
        <w:tc>
          <w:tcPr>
            <w:tcW w:w="810" w:type="dxa"/>
            <w:vAlign w:val="center"/>
          </w:tcPr>
          <w:p w14:paraId="4EB6B6F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 xml:space="preserve"> MN862459</w:t>
            </w:r>
          </w:p>
        </w:tc>
        <w:tc>
          <w:tcPr>
            <w:tcW w:w="900" w:type="dxa"/>
            <w:tcBorders>
              <w:left w:val="nil"/>
            </w:tcBorders>
            <w:vAlign w:val="center"/>
          </w:tcPr>
          <w:p w14:paraId="5295E229"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MN862445</w:t>
            </w:r>
          </w:p>
        </w:tc>
        <w:tc>
          <w:tcPr>
            <w:tcW w:w="815" w:type="dxa"/>
            <w:vAlign w:val="center"/>
          </w:tcPr>
          <w:p w14:paraId="5B12118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MN862452</w:t>
            </w:r>
          </w:p>
        </w:tc>
        <w:tc>
          <w:tcPr>
            <w:tcW w:w="720" w:type="dxa"/>
            <w:tcBorders>
              <w:left w:val="nil"/>
            </w:tcBorders>
            <w:vAlign w:val="center"/>
          </w:tcPr>
          <w:p w14:paraId="5F37C26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vAlign w:val="center"/>
          </w:tcPr>
          <w:p w14:paraId="79290EF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7786A20F" w14:textId="77777777">
        <w:trPr>
          <w:trHeight w:val="528"/>
        </w:trPr>
        <w:tc>
          <w:tcPr>
            <w:tcW w:w="1137" w:type="dxa"/>
            <w:vAlign w:val="center"/>
          </w:tcPr>
          <w:p w14:paraId="5B3D60C2"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S. vitis viniferae</w:t>
            </w:r>
          </w:p>
        </w:tc>
        <w:tc>
          <w:tcPr>
            <w:tcW w:w="971" w:type="dxa"/>
            <w:tcBorders>
              <w:left w:val="nil"/>
            </w:tcBorders>
            <w:vAlign w:val="center"/>
          </w:tcPr>
          <w:p w14:paraId="5CB5D40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CRCC 229 </w:t>
            </w:r>
          </w:p>
        </w:tc>
        <w:tc>
          <w:tcPr>
            <w:tcW w:w="1061" w:type="dxa"/>
            <w:vAlign w:val="center"/>
          </w:tcPr>
          <w:p w14:paraId="469423C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Italija</w:t>
            </w:r>
          </w:p>
        </w:tc>
        <w:tc>
          <w:tcPr>
            <w:tcW w:w="786" w:type="dxa"/>
            <w:tcBorders>
              <w:left w:val="nil"/>
            </w:tcBorders>
            <w:vAlign w:val="center"/>
          </w:tcPr>
          <w:p w14:paraId="3C2D6036"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00" w:type="dxa"/>
            <w:vAlign w:val="center"/>
          </w:tcPr>
          <w:p w14:paraId="33D0C61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2019</w:t>
            </w:r>
          </w:p>
        </w:tc>
        <w:tc>
          <w:tcPr>
            <w:tcW w:w="1080" w:type="dxa"/>
            <w:tcBorders>
              <w:left w:val="nil"/>
            </w:tcBorders>
            <w:vAlign w:val="center"/>
          </w:tcPr>
          <w:p w14:paraId="6B4B5AD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Raimondo  </w:t>
            </w:r>
          </w:p>
        </w:tc>
        <w:tc>
          <w:tcPr>
            <w:tcW w:w="810" w:type="dxa"/>
            <w:vAlign w:val="center"/>
          </w:tcPr>
          <w:p w14:paraId="44E8835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MN862465</w:t>
            </w:r>
          </w:p>
        </w:tc>
        <w:tc>
          <w:tcPr>
            <w:tcW w:w="900" w:type="dxa"/>
            <w:tcBorders>
              <w:left w:val="nil"/>
            </w:tcBorders>
            <w:vAlign w:val="center"/>
          </w:tcPr>
          <w:p w14:paraId="27041C2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MN862451</w:t>
            </w:r>
          </w:p>
        </w:tc>
        <w:tc>
          <w:tcPr>
            <w:tcW w:w="815" w:type="dxa"/>
            <w:vAlign w:val="center"/>
          </w:tcPr>
          <w:p w14:paraId="63B8620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MN862458</w:t>
            </w:r>
          </w:p>
        </w:tc>
        <w:tc>
          <w:tcPr>
            <w:tcW w:w="720" w:type="dxa"/>
            <w:tcBorders>
              <w:left w:val="nil"/>
            </w:tcBorders>
            <w:vAlign w:val="center"/>
          </w:tcPr>
          <w:p w14:paraId="33947A6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vAlign w:val="center"/>
          </w:tcPr>
          <w:p w14:paraId="6229C56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3A6D3667" w14:textId="77777777">
        <w:trPr>
          <w:trHeight w:val="528"/>
        </w:trPr>
        <w:tc>
          <w:tcPr>
            <w:tcW w:w="1137" w:type="dxa"/>
            <w:vAlign w:val="center"/>
          </w:tcPr>
          <w:p w14:paraId="030408A6"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S. vitis viniferae</w:t>
            </w:r>
          </w:p>
        </w:tc>
        <w:tc>
          <w:tcPr>
            <w:tcW w:w="971" w:type="dxa"/>
            <w:tcBorders>
              <w:left w:val="nil"/>
            </w:tcBorders>
            <w:vAlign w:val="center"/>
          </w:tcPr>
          <w:p w14:paraId="4CCC6AB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P210</w:t>
            </w:r>
          </w:p>
        </w:tc>
        <w:tc>
          <w:tcPr>
            <w:tcW w:w="1061" w:type="dxa"/>
            <w:vAlign w:val="center"/>
          </w:tcPr>
          <w:p w14:paraId="592616D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Kipar</w:t>
            </w:r>
          </w:p>
        </w:tc>
        <w:tc>
          <w:tcPr>
            <w:tcW w:w="786" w:type="dxa"/>
            <w:tcBorders>
              <w:left w:val="nil"/>
            </w:tcBorders>
            <w:vAlign w:val="center"/>
          </w:tcPr>
          <w:p w14:paraId="25462CD7"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00" w:type="dxa"/>
            <w:vAlign w:val="center"/>
          </w:tcPr>
          <w:p w14:paraId="1032F09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2022</w:t>
            </w:r>
          </w:p>
        </w:tc>
        <w:tc>
          <w:tcPr>
            <w:tcW w:w="1080" w:type="dxa"/>
            <w:tcBorders>
              <w:left w:val="nil"/>
            </w:tcBorders>
            <w:vAlign w:val="center"/>
          </w:tcPr>
          <w:p w14:paraId="0D44014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Makris </w:t>
            </w:r>
          </w:p>
        </w:tc>
        <w:tc>
          <w:tcPr>
            <w:tcW w:w="810" w:type="dxa"/>
            <w:vAlign w:val="center"/>
          </w:tcPr>
          <w:p w14:paraId="04F204B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ON680688</w:t>
            </w:r>
          </w:p>
        </w:tc>
        <w:tc>
          <w:tcPr>
            <w:tcW w:w="900" w:type="dxa"/>
            <w:tcBorders>
              <w:left w:val="nil"/>
            </w:tcBorders>
            <w:vAlign w:val="center"/>
          </w:tcPr>
          <w:p w14:paraId="53ACC1D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ON863780</w:t>
            </w:r>
          </w:p>
        </w:tc>
        <w:tc>
          <w:tcPr>
            <w:tcW w:w="815" w:type="dxa"/>
            <w:vAlign w:val="center"/>
          </w:tcPr>
          <w:p w14:paraId="259546A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ON695842</w:t>
            </w:r>
          </w:p>
        </w:tc>
        <w:tc>
          <w:tcPr>
            <w:tcW w:w="720" w:type="dxa"/>
            <w:tcBorders>
              <w:left w:val="nil"/>
            </w:tcBorders>
            <w:vAlign w:val="center"/>
          </w:tcPr>
          <w:p w14:paraId="6AC322B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vAlign w:val="center"/>
          </w:tcPr>
          <w:p w14:paraId="5B17C85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7FE205C5" w14:textId="77777777">
        <w:trPr>
          <w:trHeight w:val="528"/>
        </w:trPr>
        <w:tc>
          <w:tcPr>
            <w:tcW w:w="1137" w:type="dxa"/>
            <w:vAlign w:val="center"/>
          </w:tcPr>
          <w:p w14:paraId="0ACCD8E0"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S. vitis</w:t>
            </w:r>
          </w:p>
        </w:tc>
        <w:tc>
          <w:tcPr>
            <w:tcW w:w="971" w:type="dxa"/>
            <w:tcBorders>
              <w:left w:val="nil"/>
            </w:tcBorders>
            <w:vAlign w:val="center"/>
          </w:tcPr>
          <w:p w14:paraId="6FA8B97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CVG1682</w:t>
            </w:r>
          </w:p>
        </w:tc>
        <w:tc>
          <w:tcPr>
            <w:tcW w:w="1061" w:type="dxa"/>
            <w:vAlign w:val="center"/>
          </w:tcPr>
          <w:p w14:paraId="36E06EB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Italija</w:t>
            </w:r>
          </w:p>
        </w:tc>
        <w:tc>
          <w:tcPr>
            <w:tcW w:w="786" w:type="dxa"/>
            <w:tcBorders>
              <w:left w:val="nil"/>
            </w:tcBorders>
            <w:vAlign w:val="center"/>
          </w:tcPr>
          <w:p w14:paraId="5B032908"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00" w:type="dxa"/>
            <w:vAlign w:val="center"/>
          </w:tcPr>
          <w:p w14:paraId="234A029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2023</w:t>
            </w:r>
          </w:p>
        </w:tc>
        <w:tc>
          <w:tcPr>
            <w:tcW w:w="1080" w:type="dxa"/>
            <w:tcBorders>
              <w:left w:val="nil"/>
            </w:tcBorders>
            <w:vAlign w:val="center"/>
          </w:tcPr>
          <w:p w14:paraId="6952C0F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Guarrnacia  </w:t>
            </w:r>
          </w:p>
        </w:tc>
        <w:tc>
          <w:tcPr>
            <w:tcW w:w="810" w:type="dxa"/>
            <w:vAlign w:val="center"/>
          </w:tcPr>
          <w:p w14:paraId="26C1703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OQ612699</w:t>
            </w:r>
          </w:p>
        </w:tc>
        <w:tc>
          <w:tcPr>
            <w:tcW w:w="900" w:type="dxa"/>
            <w:tcBorders>
              <w:left w:val="nil"/>
            </w:tcBorders>
            <w:vAlign w:val="center"/>
          </w:tcPr>
          <w:p w14:paraId="65FBA9F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OQ680495</w:t>
            </w:r>
          </w:p>
        </w:tc>
        <w:tc>
          <w:tcPr>
            <w:tcW w:w="815" w:type="dxa"/>
            <w:vAlign w:val="center"/>
          </w:tcPr>
          <w:p w14:paraId="02B3CEA9"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OQ680501</w:t>
            </w:r>
          </w:p>
        </w:tc>
        <w:tc>
          <w:tcPr>
            <w:tcW w:w="720" w:type="dxa"/>
            <w:tcBorders>
              <w:left w:val="nil"/>
            </w:tcBorders>
            <w:vAlign w:val="center"/>
          </w:tcPr>
          <w:p w14:paraId="470BD4C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vAlign w:val="center"/>
          </w:tcPr>
          <w:p w14:paraId="2BEEB6A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75F3E3D8" w14:textId="77777777">
        <w:trPr>
          <w:trHeight w:val="528"/>
        </w:trPr>
        <w:tc>
          <w:tcPr>
            <w:tcW w:w="1137" w:type="dxa"/>
            <w:vAlign w:val="center"/>
          </w:tcPr>
          <w:p w14:paraId="1D04665B"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S. vitis</w:t>
            </w:r>
          </w:p>
        </w:tc>
        <w:tc>
          <w:tcPr>
            <w:tcW w:w="971" w:type="dxa"/>
            <w:tcBorders>
              <w:left w:val="nil"/>
            </w:tcBorders>
            <w:vAlign w:val="center"/>
          </w:tcPr>
          <w:p w14:paraId="4CD77A6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Napa759 </w:t>
            </w:r>
          </w:p>
        </w:tc>
        <w:tc>
          <w:tcPr>
            <w:tcW w:w="1061" w:type="dxa"/>
            <w:vAlign w:val="center"/>
          </w:tcPr>
          <w:p w14:paraId="018007A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Kalifornija </w:t>
            </w:r>
          </w:p>
        </w:tc>
        <w:tc>
          <w:tcPr>
            <w:tcW w:w="786" w:type="dxa"/>
            <w:tcBorders>
              <w:left w:val="nil"/>
            </w:tcBorders>
            <w:vAlign w:val="center"/>
          </w:tcPr>
          <w:p w14:paraId="27B36984"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00" w:type="dxa"/>
            <w:vAlign w:val="center"/>
          </w:tcPr>
          <w:p w14:paraId="28E3B57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2017</w:t>
            </w:r>
          </w:p>
        </w:tc>
        <w:tc>
          <w:tcPr>
            <w:tcW w:w="1080" w:type="dxa"/>
            <w:tcBorders>
              <w:left w:val="nil"/>
            </w:tcBorders>
            <w:vAlign w:val="center"/>
          </w:tcPr>
          <w:p w14:paraId="42B634C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Lawrence </w:t>
            </w:r>
          </w:p>
        </w:tc>
        <w:tc>
          <w:tcPr>
            <w:tcW w:w="810" w:type="dxa"/>
            <w:vAlign w:val="center"/>
          </w:tcPr>
          <w:p w14:paraId="631430A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KY706282</w:t>
            </w:r>
          </w:p>
        </w:tc>
        <w:tc>
          <w:tcPr>
            <w:tcW w:w="900" w:type="dxa"/>
            <w:tcBorders>
              <w:left w:val="nil"/>
            </w:tcBorders>
            <w:vAlign w:val="center"/>
          </w:tcPr>
          <w:p w14:paraId="189BD4E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KY706332</w:t>
            </w:r>
          </w:p>
        </w:tc>
        <w:tc>
          <w:tcPr>
            <w:tcW w:w="815" w:type="dxa"/>
            <w:vAlign w:val="center"/>
          </w:tcPr>
          <w:p w14:paraId="2D43986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KY706257</w:t>
            </w:r>
          </w:p>
        </w:tc>
        <w:tc>
          <w:tcPr>
            <w:tcW w:w="720" w:type="dxa"/>
            <w:tcBorders>
              <w:left w:val="nil"/>
            </w:tcBorders>
            <w:vAlign w:val="center"/>
          </w:tcPr>
          <w:p w14:paraId="1539A1C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vAlign w:val="center"/>
          </w:tcPr>
          <w:p w14:paraId="5EFEF46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4729BAB5" w14:textId="77777777">
        <w:trPr>
          <w:trHeight w:val="528"/>
        </w:trPr>
        <w:tc>
          <w:tcPr>
            <w:tcW w:w="1137" w:type="dxa"/>
            <w:vAlign w:val="center"/>
          </w:tcPr>
          <w:p w14:paraId="2878C50A"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S. vitis</w:t>
            </w:r>
          </w:p>
        </w:tc>
        <w:tc>
          <w:tcPr>
            <w:tcW w:w="971" w:type="dxa"/>
            <w:tcBorders>
              <w:left w:val="nil"/>
            </w:tcBorders>
            <w:vAlign w:val="center"/>
          </w:tcPr>
          <w:p w14:paraId="3C2BD5F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Wint752 </w:t>
            </w:r>
          </w:p>
        </w:tc>
        <w:tc>
          <w:tcPr>
            <w:tcW w:w="1061" w:type="dxa"/>
            <w:vAlign w:val="center"/>
          </w:tcPr>
          <w:p w14:paraId="78BB591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Kalifornija </w:t>
            </w:r>
          </w:p>
        </w:tc>
        <w:tc>
          <w:tcPr>
            <w:tcW w:w="786" w:type="dxa"/>
            <w:tcBorders>
              <w:left w:val="nil"/>
            </w:tcBorders>
            <w:vAlign w:val="center"/>
          </w:tcPr>
          <w:p w14:paraId="4654A4D6"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900" w:type="dxa"/>
            <w:vAlign w:val="center"/>
          </w:tcPr>
          <w:p w14:paraId="3844807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2017</w:t>
            </w:r>
          </w:p>
        </w:tc>
        <w:tc>
          <w:tcPr>
            <w:tcW w:w="1080" w:type="dxa"/>
            <w:tcBorders>
              <w:left w:val="nil"/>
            </w:tcBorders>
            <w:vAlign w:val="center"/>
          </w:tcPr>
          <w:p w14:paraId="3701C74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Lawrence </w:t>
            </w:r>
          </w:p>
        </w:tc>
        <w:tc>
          <w:tcPr>
            <w:tcW w:w="810" w:type="dxa"/>
            <w:vAlign w:val="center"/>
          </w:tcPr>
          <w:p w14:paraId="5A45B08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KY706279</w:t>
            </w:r>
          </w:p>
        </w:tc>
        <w:tc>
          <w:tcPr>
            <w:tcW w:w="900" w:type="dxa"/>
            <w:tcBorders>
              <w:left w:val="nil"/>
            </w:tcBorders>
            <w:vAlign w:val="center"/>
          </w:tcPr>
          <w:p w14:paraId="3E92E3F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KY706329</w:t>
            </w:r>
          </w:p>
        </w:tc>
        <w:tc>
          <w:tcPr>
            <w:tcW w:w="815" w:type="dxa"/>
            <w:vAlign w:val="center"/>
          </w:tcPr>
          <w:p w14:paraId="243F82C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KY706254</w:t>
            </w:r>
          </w:p>
        </w:tc>
        <w:tc>
          <w:tcPr>
            <w:tcW w:w="720" w:type="dxa"/>
            <w:tcBorders>
              <w:left w:val="nil"/>
            </w:tcBorders>
            <w:vAlign w:val="center"/>
          </w:tcPr>
          <w:p w14:paraId="3388A0D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vAlign w:val="center"/>
          </w:tcPr>
          <w:p w14:paraId="1B8E8FA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26C0FD1F" w14:textId="77777777">
        <w:trPr>
          <w:trHeight w:val="528"/>
        </w:trPr>
        <w:tc>
          <w:tcPr>
            <w:tcW w:w="1137" w:type="dxa"/>
            <w:tcBorders>
              <w:bottom w:val="single" w:sz="4" w:space="0" w:color="auto"/>
            </w:tcBorders>
            <w:vAlign w:val="center"/>
          </w:tcPr>
          <w:p w14:paraId="26EC7EB5"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S. lichenicola</w:t>
            </w:r>
          </w:p>
        </w:tc>
        <w:tc>
          <w:tcPr>
            <w:tcW w:w="971" w:type="dxa"/>
            <w:tcBorders>
              <w:left w:val="nil"/>
              <w:bottom w:val="single" w:sz="4" w:space="0" w:color="auto"/>
            </w:tcBorders>
            <w:vAlign w:val="center"/>
          </w:tcPr>
          <w:p w14:paraId="59C5AE2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NBRC 32625</w:t>
            </w:r>
          </w:p>
        </w:tc>
        <w:tc>
          <w:tcPr>
            <w:tcW w:w="1061" w:type="dxa"/>
            <w:tcBorders>
              <w:bottom w:val="single" w:sz="4" w:space="0" w:color="auto"/>
            </w:tcBorders>
            <w:vAlign w:val="center"/>
          </w:tcPr>
          <w:p w14:paraId="0FB63A0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Velika Britanija</w:t>
            </w:r>
          </w:p>
        </w:tc>
        <w:tc>
          <w:tcPr>
            <w:tcW w:w="786" w:type="dxa"/>
            <w:tcBorders>
              <w:left w:val="nil"/>
              <w:bottom w:val="single" w:sz="4" w:space="0" w:color="auto"/>
            </w:tcBorders>
            <w:vAlign w:val="center"/>
          </w:tcPr>
          <w:p w14:paraId="5CDCD2B1"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R. canina </w:t>
            </w:r>
          </w:p>
        </w:tc>
        <w:tc>
          <w:tcPr>
            <w:tcW w:w="900" w:type="dxa"/>
            <w:tcBorders>
              <w:bottom w:val="single" w:sz="4" w:space="0" w:color="auto"/>
            </w:tcBorders>
            <w:vAlign w:val="center"/>
          </w:tcPr>
          <w:p w14:paraId="1E8BBA5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2019</w:t>
            </w:r>
          </w:p>
        </w:tc>
        <w:tc>
          <w:tcPr>
            <w:tcW w:w="1080" w:type="dxa"/>
            <w:tcBorders>
              <w:left w:val="nil"/>
              <w:bottom w:val="single" w:sz="4" w:space="0" w:color="auto"/>
            </w:tcBorders>
            <w:vAlign w:val="center"/>
          </w:tcPr>
          <w:p w14:paraId="7177DCD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Liu </w:t>
            </w:r>
          </w:p>
        </w:tc>
        <w:tc>
          <w:tcPr>
            <w:tcW w:w="810" w:type="dxa"/>
            <w:tcBorders>
              <w:bottom w:val="single" w:sz="4" w:space="0" w:color="auto"/>
            </w:tcBorders>
            <w:vAlign w:val="center"/>
          </w:tcPr>
          <w:p w14:paraId="1E5F0F8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MH883643</w:t>
            </w:r>
          </w:p>
        </w:tc>
        <w:tc>
          <w:tcPr>
            <w:tcW w:w="900" w:type="dxa"/>
            <w:tcBorders>
              <w:left w:val="nil"/>
              <w:bottom w:val="single" w:sz="4" w:space="0" w:color="auto"/>
            </w:tcBorders>
            <w:vAlign w:val="center"/>
          </w:tcPr>
          <w:p w14:paraId="3FE35A2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MH883644</w:t>
            </w:r>
          </w:p>
        </w:tc>
        <w:tc>
          <w:tcPr>
            <w:tcW w:w="815" w:type="dxa"/>
            <w:tcBorders>
              <w:bottom w:val="single" w:sz="4" w:space="0" w:color="auto"/>
            </w:tcBorders>
            <w:vAlign w:val="center"/>
          </w:tcPr>
          <w:p w14:paraId="100749A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MH883645</w:t>
            </w:r>
          </w:p>
        </w:tc>
        <w:tc>
          <w:tcPr>
            <w:tcW w:w="720" w:type="dxa"/>
            <w:tcBorders>
              <w:left w:val="nil"/>
              <w:bottom w:val="single" w:sz="4" w:space="0" w:color="auto"/>
            </w:tcBorders>
            <w:vAlign w:val="center"/>
          </w:tcPr>
          <w:p w14:paraId="02A1C60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tcBorders>
              <w:bottom w:val="single" w:sz="4" w:space="0" w:color="auto"/>
            </w:tcBorders>
            <w:vAlign w:val="center"/>
          </w:tcPr>
          <w:p w14:paraId="1336575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bl>
    <w:p w14:paraId="54BB634E" w14:textId="77777777" w:rsidR="003801E8" w:rsidRDefault="003801E8">
      <w:pPr>
        <w:spacing w:after="160" w:line="360" w:lineRule="auto"/>
        <w:jc w:val="both"/>
        <w:rPr>
          <w:rFonts w:ascii="Book Antiqua" w:hAnsi="Book Antiqua" w:cs="Times New Roman"/>
          <w:b/>
          <w:bCs/>
          <w:sz w:val="24"/>
          <w:szCs w:val="24"/>
        </w:rPr>
      </w:pPr>
    </w:p>
    <w:p w14:paraId="33DD8765" w14:textId="77777777" w:rsidR="003801E8" w:rsidRDefault="003801E8">
      <w:pPr>
        <w:spacing w:after="160" w:line="360" w:lineRule="auto"/>
        <w:jc w:val="both"/>
        <w:rPr>
          <w:rFonts w:ascii="Book Antiqua" w:hAnsi="Book Antiqua" w:cs="Times New Roman"/>
          <w:b/>
          <w:bCs/>
          <w:sz w:val="24"/>
          <w:szCs w:val="24"/>
        </w:rPr>
      </w:pPr>
    </w:p>
    <w:p w14:paraId="54A00249" w14:textId="77777777" w:rsidR="003801E8" w:rsidRDefault="003801E8">
      <w:pPr>
        <w:spacing w:after="160" w:line="360" w:lineRule="auto"/>
        <w:jc w:val="both"/>
        <w:rPr>
          <w:rFonts w:ascii="Book Antiqua" w:hAnsi="Book Antiqua" w:cs="Times New Roman"/>
          <w:b/>
          <w:bCs/>
          <w:sz w:val="24"/>
          <w:szCs w:val="24"/>
        </w:rPr>
      </w:pPr>
    </w:p>
    <w:p w14:paraId="19848722" w14:textId="77777777" w:rsidR="003801E8" w:rsidRDefault="003801E8">
      <w:pPr>
        <w:spacing w:after="160" w:line="360" w:lineRule="auto"/>
        <w:jc w:val="both"/>
        <w:rPr>
          <w:rFonts w:ascii="Book Antiqua" w:hAnsi="Book Antiqua" w:cs="Times New Roman"/>
          <w:b/>
          <w:bCs/>
          <w:sz w:val="24"/>
          <w:szCs w:val="24"/>
        </w:rPr>
      </w:pPr>
    </w:p>
    <w:p w14:paraId="0C40EA50" w14:textId="77777777" w:rsidR="003801E8" w:rsidRDefault="003801E8">
      <w:pPr>
        <w:spacing w:after="160" w:line="360" w:lineRule="auto"/>
        <w:jc w:val="both"/>
        <w:rPr>
          <w:rFonts w:ascii="Book Antiqua" w:hAnsi="Book Antiqua" w:cs="Times New Roman"/>
          <w:b/>
          <w:bCs/>
          <w:sz w:val="24"/>
          <w:szCs w:val="24"/>
        </w:rPr>
      </w:pPr>
    </w:p>
    <w:p w14:paraId="3169B310" w14:textId="77777777" w:rsidR="003801E8" w:rsidRDefault="003801E8">
      <w:pPr>
        <w:spacing w:after="160" w:line="360" w:lineRule="auto"/>
        <w:jc w:val="both"/>
        <w:rPr>
          <w:rFonts w:ascii="Book Antiqua" w:hAnsi="Book Antiqua" w:cs="Times New Roman"/>
          <w:b/>
          <w:bCs/>
          <w:sz w:val="24"/>
          <w:szCs w:val="24"/>
        </w:rPr>
      </w:pPr>
    </w:p>
    <w:p w14:paraId="3F0748E6" w14:textId="77777777" w:rsidR="003801E8" w:rsidRDefault="003801E8">
      <w:pPr>
        <w:spacing w:after="160" w:line="360" w:lineRule="auto"/>
        <w:jc w:val="both"/>
        <w:rPr>
          <w:rFonts w:ascii="Book Antiqua" w:hAnsi="Book Antiqua" w:cs="Times New Roman"/>
          <w:b/>
          <w:bCs/>
          <w:sz w:val="24"/>
          <w:szCs w:val="24"/>
        </w:rPr>
      </w:pPr>
    </w:p>
    <w:p w14:paraId="15848277" w14:textId="77777777" w:rsidR="003801E8" w:rsidRDefault="003801E8">
      <w:pPr>
        <w:spacing w:after="160" w:line="360" w:lineRule="auto"/>
        <w:jc w:val="both"/>
        <w:rPr>
          <w:rFonts w:ascii="Book Antiqua" w:hAnsi="Book Antiqua" w:cs="Times New Roman"/>
          <w:b/>
          <w:bCs/>
          <w:sz w:val="24"/>
          <w:szCs w:val="24"/>
        </w:rPr>
      </w:pPr>
    </w:p>
    <w:p w14:paraId="178DB9B8" w14:textId="77777777" w:rsidR="003801E8" w:rsidRDefault="003801E8">
      <w:pPr>
        <w:spacing w:after="160" w:line="360" w:lineRule="auto"/>
        <w:jc w:val="both"/>
        <w:rPr>
          <w:rFonts w:ascii="Book Antiqua" w:hAnsi="Book Antiqua" w:cs="Times New Roman"/>
          <w:b/>
          <w:bCs/>
          <w:sz w:val="24"/>
          <w:szCs w:val="24"/>
        </w:rPr>
      </w:pPr>
    </w:p>
    <w:p w14:paraId="331A7AF2" w14:textId="77777777" w:rsidR="003801E8" w:rsidRDefault="00E44AAE">
      <w:pPr>
        <w:spacing w:after="160" w:line="360" w:lineRule="auto"/>
        <w:jc w:val="both"/>
        <w:rPr>
          <w:rFonts w:ascii="Book Antiqua" w:hAnsi="Book Antiqua" w:cs="Times New Roman"/>
          <w:bCs/>
          <w:kern w:val="2"/>
          <w:sz w:val="22"/>
          <w:szCs w:val="22"/>
          <w:lang w:eastAsia="sr-Latn-ME"/>
        </w:rPr>
      </w:pPr>
      <w:r>
        <w:rPr>
          <w:rFonts w:ascii="Book Antiqua" w:hAnsi="Book Antiqua" w:cs="Times New Roman"/>
          <w:b/>
          <w:kern w:val="2"/>
          <w:sz w:val="22"/>
          <w:szCs w:val="22"/>
          <w:lang w:val="en-US" w:eastAsia="sr-Latn-ME"/>
        </w:rPr>
        <w:lastRenderedPageBreak/>
        <w:t>Tabela 13</w:t>
      </w:r>
      <w:r>
        <w:rPr>
          <w:rFonts w:ascii="Book Antiqua" w:hAnsi="Book Antiqua" w:cs="Times New Roman"/>
          <w:bCs/>
          <w:kern w:val="2"/>
          <w:sz w:val="22"/>
          <w:szCs w:val="22"/>
          <w:lang w:val="en-US" w:eastAsia="sr-Latn-ME"/>
        </w:rPr>
        <w:t xml:space="preserve">. </w:t>
      </w:r>
      <w:r>
        <w:rPr>
          <w:rFonts w:ascii="Book Antiqua" w:hAnsi="Book Antiqua" w:cs="Times New Roman"/>
          <w:bCs/>
          <w:kern w:val="2"/>
          <w:sz w:val="22"/>
          <w:szCs w:val="22"/>
          <w:lang w:eastAsia="sr-Latn-ME"/>
        </w:rPr>
        <w:t>Pristupni brojevi za ITS, TEF1a, TUB2, LSU i RPB2 sekvence C</w:t>
      </w:r>
      <w:r>
        <w:rPr>
          <w:rFonts w:ascii="Book Antiqua" w:hAnsi="Book Antiqua" w:cs="Times New Roman"/>
          <w:bCs/>
          <w:i/>
          <w:iCs/>
          <w:kern w:val="2"/>
          <w:sz w:val="22"/>
          <w:szCs w:val="22"/>
          <w:lang w:eastAsia="sr-Latn-ME"/>
        </w:rPr>
        <w:t>. luteo olivacea</w:t>
      </w:r>
      <w:r>
        <w:rPr>
          <w:rFonts w:ascii="Book Antiqua" w:hAnsi="Book Antiqua" w:cs="Times New Roman"/>
          <w:bCs/>
          <w:kern w:val="2"/>
          <w:sz w:val="22"/>
          <w:szCs w:val="22"/>
          <w:lang w:eastAsia="sr-Latn-ME"/>
        </w:rPr>
        <w:t xml:space="preserve"> preuzete iz GenBank kao i za sekvence dobijene u ovom istraživanju. Boldirani NCBI brojevi sekvenci korišćenih u filogenetskim analizama</w:t>
      </w:r>
    </w:p>
    <w:tbl>
      <w:tblPr>
        <w:tblW w:w="10080" w:type="dxa"/>
        <w:tblLayout w:type="fixed"/>
        <w:tblLook w:val="04A0" w:firstRow="1" w:lastRow="0" w:firstColumn="1" w:lastColumn="0" w:noHBand="0" w:noVBand="1"/>
      </w:tblPr>
      <w:tblGrid>
        <w:gridCol w:w="1137"/>
        <w:gridCol w:w="843"/>
        <w:gridCol w:w="1080"/>
        <w:gridCol w:w="1080"/>
        <w:gridCol w:w="810"/>
        <w:gridCol w:w="1080"/>
        <w:gridCol w:w="810"/>
        <w:gridCol w:w="900"/>
        <w:gridCol w:w="810"/>
        <w:gridCol w:w="720"/>
        <w:gridCol w:w="810"/>
      </w:tblGrid>
      <w:tr w:rsidR="003801E8" w14:paraId="00C6B54D" w14:textId="77777777">
        <w:trPr>
          <w:trHeight w:val="720"/>
        </w:trPr>
        <w:tc>
          <w:tcPr>
            <w:tcW w:w="1137" w:type="dxa"/>
            <w:tcBorders>
              <w:top w:val="single" w:sz="4" w:space="0" w:color="auto"/>
              <w:left w:val="nil"/>
              <w:bottom w:val="single" w:sz="4" w:space="0" w:color="auto"/>
              <w:right w:val="nil"/>
            </w:tcBorders>
            <w:vAlign w:val="center"/>
          </w:tcPr>
          <w:p w14:paraId="19EB6B1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Organizam</w:t>
            </w:r>
          </w:p>
        </w:tc>
        <w:tc>
          <w:tcPr>
            <w:tcW w:w="843" w:type="dxa"/>
            <w:tcBorders>
              <w:top w:val="single" w:sz="4" w:space="0" w:color="auto"/>
              <w:left w:val="nil"/>
              <w:bottom w:val="single" w:sz="4" w:space="0" w:color="auto"/>
              <w:right w:val="nil"/>
            </w:tcBorders>
            <w:vAlign w:val="center"/>
          </w:tcPr>
          <w:p w14:paraId="7778D8C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Izolat</w:t>
            </w:r>
          </w:p>
        </w:tc>
        <w:tc>
          <w:tcPr>
            <w:tcW w:w="1080" w:type="dxa"/>
            <w:tcBorders>
              <w:top w:val="single" w:sz="4" w:space="0" w:color="auto"/>
              <w:left w:val="nil"/>
              <w:bottom w:val="single" w:sz="4" w:space="0" w:color="auto"/>
              <w:right w:val="nil"/>
            </w:tcBorders>
            <w:vAlign w:val="center"/>
          </w:tcPr>
          <w:p w14:paraId="7222232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 xml:space="preserve">Zemlja porijekla </w:t>
            </w:r>
          </w:p>
        </w:tc>
        <w:tc>
          <w:tcPr>
            <w:tcW w:w="1080" w:type="dxa"/>
            <w:tcBorders>
              <w:top w:val="single" w:sz="4" w:space="0" w:color="auto"/>
              <w:left w:val="nil"/>
              <w:bottom w:val="single" w:sz="4" w:space="0" w:color="auto"/>
              <w:right w:val="nil"/>
            </w:tcBorders>
            <w:vAlign w:val="center"/>
          </w:tcPr>
          <w:p w14:paraId="22ACC5E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Biljna vrsta (domaćin)</w:t>
            </w:r>
          </w:p>
        </w:tc>
        <w:tc>
          <w:tcPr>
            <w:tcW w:w="810" w:type="dxa"/>
            <w:tcBorders>
              <w:top w:val="single" w:sz="4" w:space="0" w:color="auto"/>
              <w:left w:val="nil"/>
              <w:bottom w:val="single" w:sz="4" w:space="0" w:color="auto"/>
              <w:right w:val="nil"/>
            </w:tcBorders>
            <w:vAlign w:val="center"/>
          </w:tcPr>
          <w:p w14:paraId="592FE955"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Godina</w:t>
            </w:r>
          </w:p>
        </w:tc>
        <w:tc>
          <w:tcPr>
            <w:tcW w:w="1080" w:type="dxa"/>
            <w:tcBorders>
              <w:top w:val="single" w:sz="4" w:space="0" w:color="auto"/>
              <w:left w:val="nil"/>
              <w:bottom w:val="single" w:sz="4" w:space="0" w:color="auto"/>
              <w:right w:val="nil"/>
            </w:tcBorders>
            <w:vAlign w:val="center"/>
          </w:tcPr>
          <w:p w14:paraId="1E173C3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Autor (NCBI)</w:t>
            </w:r>
          </w:p>
        </w:tc>
        <w:tc>
          <w:tcPr>
            <w:tcW w:w="810" w:type="dxa"/>
            <w:tcBorders>
              <w:top w:val="single" w:sz="4" w:space="0" w:color="auto"/>
              <w:left w:val="nil"/>
              <w:bottom w:val="single" w:sz="4" w:space="0" w:color="auto"/>
              <w:right w:val="nil"/>
            </w:tcBorders>
            <w:vAlign w:val="center"/>
          </w:tcPr>
          <w:p w14:paraId="7C6EF29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(ITS)</w:t>
            </w:r>
          </w:p>
        </w:tc>
        <w:tc>
          <w:tcPr>
            <w:tcW w:w="900" w:type="dxa"/>
            <w:tcBorders>
              <w:top w:val="single" w:sz="4" w:space="0" w:color="auto"/>
              <w:left w:val="nil"/>
              <w:bottom w:val="single" w:sz="4" w:space="0" w:color="auto"/>
              <w:right w:val="nil"/>
            </w:tcBorders>
            <w:vAlign w:val="center"/>
          </w:tcPr>
          <w:p w14:paraId="475E2D9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(TEF1a)</w:t>
            </w:r>
          </w:p>
        </w:tc>
        <w:tc>
          <w:tcPr>
            <w:tcW w:w="810" w:type="dxa"/>
            <w:tcBorders>
              <w:top w:val="single" w:sz="4" w:space="0" w:color="auto"/>
              <w:left w:val="nil"/>
              <w:bottom w:val="single" w:sz="4" w:space="0" w:color="auto"/>
              <w:right w:val="nil"/>
            </w:tcBorders>
            <w:vAlign w:val="center"/>
          </w:tcPr>
          <w:p w14:paraId="0307579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(TUB2)</w:t>
            </w:r>
          </w:p>
        </w:tc>
        <w:tc>
          <w:tcPr>
            <w:tcW w:w="720" w:type="dxa"/>
            <w:tcBorders>
              <w:top w:val="single" w:sz="4" w:space="0" w:color="auto"/>
              <w:left w:val="nil"/>
              <w:bottom w:val="single" w:sz="4" w:space="0" w:color="auto"/>
              <w:right w:val="nil"/>
            </w:tcBorders>
            <w:vAlign w:val="center"/>
          </w:tcPr>
          <w:p w14:paraId="4BB8FB8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(LSU)</w:t>
            </w:r>
          </w:p>
        </w:tc>
        <w:tc>
          <w:tcPr>
            <w:tcW w:w="810" w:type="dxa"/>
            <w:tcBorders>
              <w:top w:val="single" w:sz="4" w:space="0" w:color="auto"/>
              <w:left w:val="nil"/>
              <w:bottom w:val="single" w:sz="4" w:space="0" w:color="auto"/>
              <w:right w:val="nil"/>
            </w:tcBorders>
            <w:vAlign w:val="center"/>
          </w:tcPr>
          <w:p w14:paraId="129532B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(RPB2)</w:t>
            </w:r>
          </w:p>
        </w:tc>
      </w:tr>
      <w:tr w:rsidR="003801E8" w14:paraId="5E86C505" w14:textId="77777777">
        <w:trPr>
          <w:trHeight w:val="528"/>
        </w:trPr>
        <w:tc>
          <w:tcPr>
            <w:tcW w:w="1137" w:type="dxa"/>
            <w:tcBorders>
              <w:top w:val="nil"/>
              <w:left w:val="nil"/>
              <w:bottom w:val="nil"/>
              <w:right w:val="nil"/>
            </w:tcBorders>
            <w:vAlign w:val="center"/>
          </w:tcPr>
          <w:p w14:paraId="62260E42"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C. luteo olivacea</w:t>
            </w:r>
          </w:p>
        </w:tc>
        <w:tc>
          <w:tcPr>
            <w:tcW w:w="843" w:type="dxa"/>
            <w:tcBorders>
              <w:top w:val="nil"/>
              <w:left w:val="nil"/>
              <w:bottom w:val="nil"/>
              <w:right w:val="nil"/>
            </w:tcBorders>
            <w:vAlign w:val="center"/>
          </w:tcPr>
          <w:p w14:paraId="68FDD82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MN001</w:t>
            </w:r>
          </w:p>
        </w:tc>
        <w:tc>
          <w:tcPr>
            <w:tcW w:w="1080" w:type="dxa"/>
            <w:tcBorders>
              <w:top w:val="nil"/>
              <w:left w:val="nil"/>
              <w:bottom w:val="nil"/>
              <w:right w:val="nil"/>
            </w:tcBorders>
            <w:vAlign w:val="center"/>
          </w:tcPr>
          <w:p w14:paraId="6D5A8E8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Crna Gora </w:t>
            </w:r>
          </w:p>
        </w:tc>
        <w:tc>
          <w:tcPr>
            <w:tcW w:w="1080" w:type="dxa"/>
            <w:tcBorders>
              <w:top w:val="nil"/>
              <w:left w:val="nil"/>
              <w:bottom w:val="nil"/>
              <w:right w:val="nil"/>
            </w:tcBorders>
            <w:vAlign w:val="center"/>
          </w:tcPr>
          <w:p w14:paraId="461BF2D8"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810" w:type="dxa"/>
            <w:tcBorders>
              <w:top w:val="nil"/>
              <w:left w:val="nil"/>
              <w:bottom w:val="nil"/>
              <w:right w:val="nil"/>
            </w:tcBorders>
            <w:vAlign w:val="center"/>
          </w:tcPr>
          <w:p w14:paraId="39401BB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2023</w:t>
            </w:r>
          </w:p>
        </w:tc>
        <w:tc>
          <w:tcPr>
            <w:tcW w:w="1080" w:type="dxa"/>
            <w:tcBorders>
              <w:top w:val="nil"/>
              <w:left w:val="nil"/>
              <w:bottom w:val="nil"/>
              <w:right w:val="nil"/>
            </w:tcBorders>
            <w:vAlign w:val="center"/>
          </w:tcPr>
          <w:p w14:paraId="6B740DC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Kandić</w:t>
            </w:r>
          </w:p>
        </w:tc>
        <w:tc>
          <w:tcPr>
            <w:tcW w:w="810" w:type="dxa"/>
            <w:tcBorders>
              <w:top w:val="nil"/>
              <w:left w:val="nil"/>
              <w:bottom w:val="nil"/>
              <w:right w:val="nil"/>
            </w:tcBorders>
            <w:vAlign w:val="center"/>
          </w:tcPr>
          <w:p w14:paraId="5E406985"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PQ865266</w:t>
            </w:r>
          </w:p>
        </w:tc>
        <w:tc>
          <w:tcPr>
            <w:tcW w:w="900" w:type="dxa"/>
            <w:tcBorders>
              <w:top w:val="nil"/>
              <w:left w:val="nil"/>
              <w:bottom w:val="nil"/>
              <w:right w:val="nil"/>
            </w:tcBorders>
            <w:vAlign w:val="center"/>
          </w:tcPr>
          <w:p w14:paraId="681D0D5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rPr>
              <w:t>PX754570</w:t>
            </w:r>
          </w:p>
        </w:tc>
        <w:tc>
          <w:tcPr>
            <w:tcW w:w="810" w:type="dxa"/>
            <w:tcBorders>
              <w:top w:val="nil"/>
              <w:left w:val="nil"/>
              <w:bottom w:val="nil"/>
              <w:right w:val="nil"/>
            </w:tcBorders>
            <w:vAlign w:val="center"/>
          </w:tcPr>
          <w:p w14:paraId="3D96F19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rPr>
              <w:t>PX752850</w:t>
            </w:r>
          </w:p>
        </w:tc>
        <w:tc>
          <w:tcPr>
            <w:tcW w:w="720" w:type="dxa"/>
            <w:tcBorders>
              <w:top w:val="nil"/>
              <w:left w:val="nil"/>
              <w:bottom w:val="nil"/>
              <w:right w:val="nil"/>
            </w:tcBorders>
            <w:vAlign w:val="center"/>
          </w:tcPr>
          <w:p w14:paraId="62BF264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PX694652</w:t>
            </w:r>
          </w:p>
        </w:tc>
        <w:tc>
          <w:tcPr>
            <w:tcW w:w="810" w:type="dxa"/>
            <w:tcBorders>
              <w:top w:val="nil"/>
              <w:left w:val="nil"/>
              <w:bottom w:val="nil"/>
              <w:right w:val="nil"/>
            </w:tcBorders>
            <w:vAlign w:val="center"/>
          </w:tcPr>
          <w:p w14:paraId="5A2BD49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rPr>
              <w:t>PX754569</w:t>
            </w:r>
          </w:p>
        </w:tc>
      </w:tr>
      <w:tr w:rsidR="003801E8" w14:paraId="4220DDD6" w14:textId="77777777">
        <w:trPr>
          <w:trHeight w:val="528"/>
        </w:trPr>
        <w:tc>
          <w:tcPr>
            <w:tcW w:w="1137" w:type="dxa"/>
            <w:tcBorders>
              <w:top w:val="nil"/>
              <w:left w:val="nil"/>
              <w:bottom w:val="nil"/>
              <w:right w:val="nil"/>
            </w:tcBorders>
            <w:vAlign w:val="center"/>
          </w:tcPr>
          <w:p w14:paraId="734144CD"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C. luteo olivacea</w:t>
            </w:r>
          </w:p>
        </w:tc>
        <w:tc>
          <w:tcPr>
            <w:tcW w:w="843" w:type="dxa"/>
            <w:tcBorders>
              <w:top w:val="nil"/>
              <w:left w:val="nil"/>
              <w:bottom w:val="nil"/>
              <w:right w:val="nil"/>
            </w:tcBorders>
            <w:vAlign w:val="center"/>
          </w:tcPr>
          <w:p w14:paraId="29F9739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 MEND-F-0454 </w:t>
            </w:r>
          </w:p>
        </w:tc>
        <w:tc>
          <w:tcPr>
            <w:tcW w:w="1080" w:type="dxa"/>
            <w:tcBorders>
              <w:top w:val="nil"/>
              <w:left w:val="nil"/>
              <w:bottom w:val="nil"/>
              <w:right w:val="nil"/>
            </w:tcBorders>
            <w:vAlign w:val="center"/>
          </w:tcPr>
          <w:p w14:paraId="61D36EB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Češka</w:t>
            </w:r>
          </w:p>
        </w:tc>
        <w:tc>
          <w:tcPr>
            <w:tcW w:w="1080" w:type="dxa"/>
            <w:tcBorders>
              <w:top w:val="nil"/>
              <w:left w:val="nil"/>
              <w:bottom w:val="nil"/>
              <w:right w:val="nil"/>
            </w:tcBorders>
            <w:vAlign w:val="center"/>
          </w:tcPr>
          <w:p w14:paraId="074A8785"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810" w:type="dxa"/>
            <w:tcBorders>
              <w:top w:val="nil"/>
              <w:left w:val="nil"/>
              <w:bottom w:val="nil"/>
              <w:right w:val="nil"/>
            </w:tcBorders>
            <w:vAlign w:val="center"/>
          </w:tcPr>
          <w:p w14:paraId="513DBF8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2021</w:t>
            </w:r>
          </w:p>
        </w:tc>
        <w:tc>
          <w:tcPr>
            <w:tcW w:w="1080" w:type="dxa"/>
            <w:tcBorders>
              <w:top w:val="nil"/>
              <w:left w:val="nil"/>
              <w:bottom w:val="nil"/>
              <w:right w:val="nil"/>
            </w:tcBorders>
            <w:vAlign w:val="center"/>
          </w:tcPr>
          <w:p w14:paraId="48E9591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Eichmeier</w:t>
            </w:r>
          </w:p>
        </w:tc>
        <w:tc>
          <w:tcPr>
            <w:tcW w:w="810" w:type="dxa"/>
            <w:tcBorders>
              <w:top w:val="nil"/>
              <w:left w:val="nil"/>
              <w:bottom w:val="nil"/>
              <w:right w:val="nil"/>
            </w:tcBorders>
            <w:vAlign w:val="center"/>
          </w:tcPr>
          <w:p w14:paraId="3B0B7FE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MW928626</w:t>
            </w:r>
          </w:p>
        </w:tc>
        <w:tc>
          <w:tcPr>
            <w:tcW w:w="900" w:type="dxa"/>
            <w:tcBorders>
              <w:top w:val="nil"/>
              <w:left w:val="nil"/>
              <w:bottom w:val="nil"/>
              <w:right w:val="nil"/>
            </w:tcBorders>
            <w:vAlign w:val="center"/>
          </w:tcPr>
          <w:p w14:paraId="4337864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MW939475</w:t>
            </w:r>
          </w:p>
        </w:tc>
        <w:tc>
          <w:tcPr>
            <w:tcW w:w="810" w:type="dxa"/>
            <w:tcBorders>
              <w:top w:val="nil"/>
              <w:left w:val="nil"/>
              <w:bottom w:val="nil"/>
              <w:right w:val="nil"/>
            </w:tcBorders>
            <w:vAlign w:val="center"/>
          </w:tcPr>
          <w:p w14:paraId="44265FA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MW939474</w:t>
            </w:r>
          </w:p>
        </w:tc>
        <w:tc>
          <w:tcPr>
            <w:tcW w:w="720" w:type="dxa"/>
            <w:tcBorders>
              <w:top w:val="nil"/>
              <w:left w:val="nil"/>
              <w:bottom w:val="nil"/>
              <w:right w:val="nil"/>
            </w:tcBorders>
            <w:vAlign w:val="center"/>
          </w:tcPr>
          <w:p w14:paraId="0F31578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tcBorders>
              <w:top w:val="nil"/>
              <w:left w:val="nil"/>
              <w:bottom w:val="nil"/>
              <w:right w:val="nil"/>
            </w:tcBorders>
            <w:vAlign w:val="center"/>
          </w:tcPr>
          <w:p w14:paraId="72F87EA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42FDB3DE" w14:textId="77777777">
        <w:trPr>
          <w:trHeight w:val="528"/>
        </w:trPr>
        <w:tc>
          <w:tcPr>
            <w:tcW w:w="1137" w:type="dxa"/>
            <w:tcBorders>
              <w:top w:val="nil"/>
              <w:left w:val="nil"/>
              <w:bottom w:val="nil"/>
              <w:right w:val="nil"/>
            </w:tcBorders>
            <w:vAlign w:val="center"/>
          </w:tcPr>
          <w:p w14:paraId="01EB21B4"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C. luteo olivacea</w:t>
            </w:r>
          </w:p>
        </w:tc>
        <w:tc>
          <w:tcPr>
            <w:tcW w:w="843" w:type="dxa"/>
            <w:tcBorders>
              <w:top w:val="nil"/>
              <w:left w:val="nil"/>
              <w:bottom w:val="nil"/>
              <w:right w:val="nil"/>
            </w:tcBorders>
            <w:vAlign w:val="center"/>
          </w:tcPr>
          <w:p w14:paraId="3478AA6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2VCBC </w:t>
            </w:r>
          </w:p>
        </w:tc>
        <w:tc>
          <w:tcPr>
            <w:tcW w:w="1080" w:type="dxa"/>
            <w:tcBorders>
              <w:top w:val="nil"/>
              <w:left w:val="nil"/>
              <w:bottom w:val="nil"/>
              <w:right w:val="nil"/>
            </w:tcBorders>
            <w:vAlign w:val="center"/>
          </w:tcPr>
          <w:p w14:paraId="142D9A6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Čile </w:t>
            </w:r>
          </w:p>
        </w:tc>
        <w:tc>
          <w:tcPr>
            <w:tcW w:w="1080" w:type="dxa"/>
            <w:tcBorders>
              <w:top w:val="nil"/>
              <w:left w:val="nil"/>
              <w:bottom w:val="nil"/>
              <w:right w:val="nil"/>
            </w:tcBorders>
            <w:vAlign w:val="center"/>
          </w:tcPr>
          <w:p w14:paraId="3489CE6B"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A. deliciosa</w:t>
            </w:r>
          </w:p>
        </w:tc>
        <w:tc>
          <w:tcPr>
            <w:tcW w:w="810" w:type="dxa"/>
            <w:tcBorders>
              <w:top w:val="nil"/>
              <w:left w:val="nil"/>
              <w:bottom w:val="nil"/>
              <w:right w:val="nil"/>
            </w:tcBorders>
            <w:vAlign w:val="center"/>
          </w:tcPr>
          <w:p w14:paraId="25C0A6A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2017</w:t>
            </w:r>
          </w:p>
        </w:tc>
        <w:tc>
          <w:tcPr>
            <w:tcW w:w="1080" w:type="dxa"/>
            <w:tcBorders>
              <w:top w:val="nil"/>
              <w:left w:val="nil"/>
              <w:bottom w:val="nil"/>
              <w:right w:val="nil"/>
            </w:tcBorders>
            <w:vAlign w:val="center"/>
          </w:tcPr>
          <w:p w14:paraId="6AC62EF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Auger  </w:t>
            </w:r>
          </w:p>
        </w:tc>
        <w:tc>
          <w:tcPr>
            <w:tcW w:w="810" w:type="dxa"/>
            <w:tcBorders>
              <w:top w:val="nil"/>
              <w:left w:val="nil"/>
              <w:bottom w:val="nil"/>
              <w:right w:val="nil"/>
            </w:tcBorders>
            <w:vAlign w:val="center"/>
          </w:tcPr>
          <w:p w14:paraId="5004421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MF464553</w:t>
            </w:r>
          </w:p>
        </w:tc>
        <w:tc>
          <w:tcPr>
            <w:tcW w:w="900" w:type="dxa"/>
            <w:tcBorders>
              <w:top w:val="nil"/>
              <w:left w:val="nil"/>
              <w:bottom w:val="nil"/>
              <w:right w:val="nil"/>
            </w:tcBorders>
            <w:vAlign w:val="center"/>
          </w:tcPr>
          <w:p w14:paraId="4E69864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MF772484</w:t>
            </w:r>
          </w:p>
        </w:tc>
        <w:tc>
          <w:tcPr>
            <w:tcW w:w="810" w:type="dxa"/>
            <w:tcBorders>
              <w:top w:val="nil"/>
              <w:left w:val="nil"/>
              <w:bottom w:val="nil"/>
              <w:right w:val="nil"/>
            </w:tcBorders>
            <w:vAlign w:val="center"/>
          </w:tcPr>
          <w:p w14:paraId="4151955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MF464554</w:t>
            </w:r>
          </w:p>
        </w:tc>
        <w:tc>
          <w:tcPr>
            <w:tcW w:w="720" w:type="dxa"/>
            <w:tcBorders>
              <w:top w:val="nil"/>
              <w:left w:val="nil"/>
              <w:bottom w:val="nil"/>
              <w:right w:val="nil"/>
            </w:tcBorders>
            <w:vAlign w:val="center"/>
          </w:tcPr>
          <w:p w14:paraId="71DBA10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tcBorders>
              <w:top w:val="nil"/>
              <w:left w:val="nil"/>
              <w:bottom w:val="nil"/>
              <w:right w:val="nil"/>
            </w:tcBorders>
            <w:vAlign w:val="center"/>
          </w:tcPr>
          <w:p w14:paraId="11BE0CC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52933E12" w14:textId="77777777">
        <w:trPr>
          <w:trHeight w:val="528"/>
        </w:trPr>
        <w:tc>
          <w:tcPr>
            <w:tcW w:w="1137" w:type="dxa"/>
            <w:tcBorders>
              <w:top w:val="nil"/>
              <w:left w:val="nil"/>
              <w:bottom w:val="nil"/>
              <w:right w:val="nil"/>
            </w:tcBorders>
            <w:vAlign w:val="center"/>
          </w:tcPr>
          <w:p w14:paraId="19EA299C"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C. luteo olivacea</w:t>
            </w:r>
          </w:p>
        </w:tc>
        <w:tc>
          <w:tcPr>
            <w:tcW w:w="843" w:type="dxa"/>
            <w:tcBorders>
              <w:top w:val="nil"/>
              <w:left w:val="nil"/>
              <w:bottom w:val="nil"/>
              <w:right w:val="nil"/>
            </w:tcBorders>
            <w:vAlign w:val="center"/>
          </w:tcPr>
          <w:p w14:paraId="474B16F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CBS:145525 </w:t>
            </w:r>
          </w:p>
        </w:tc>
        <w:tc>
          <w:tcPr>
            <w:tcW w:w="1080" w:type="dxa"/>
            <w:tcBorders>
              <w:top w:val="nil"/>
              <w:left w:val="nil"/>
              <w:bottom w:val="nil"/>
              <w:right w:val="nil"/>
            </w:tcBorders>
            <w:vAlign w:val="center"/>
          </w:tcPr>
          <w:p w14:paraId="26BD050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Njemačka</w:t>
            </w:r>
          </w:p>
        </w:tc>
        <w:tc>
          <w:tcPr>
            <w:tcW w:w="1080" w:type="dxa"/>
            <w:tcBorders>
              <w:top w:val="nil"/>
              <w:left w:val="nil"/>
              <w:bottom w:val="nil"/>
              <w:right w:val="nil"/>
            </w:tcBorders>
            <w:vAlign w:val="center"/>
          </w:tcPr>
          <w:p w14:paraId="3C75DA32"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domestica</w:t>
            </w:r>
          </w:p>
        </w:tc>
        <w:tc>
          <w:tcPr>
            <w:tcW w:w="810" w:type="dxa"/>
            <w:tcBorders>
              <w:top w:val="nil"/>
              <w:left w:val="nil"/>
              <w:bottom w:val="nil"/>
              <w:right w:val="nil"/>
            </w:tcBorders>
            <w:vAlign w:val="center"/>
          </w:tcPr>
          <w:p w14:paraId="10407A0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2020</w:t>
            </w:r>
          </w:p>
        </w:tc>
        <w:tc>
          <w:tcPr>
            <w:tcW w:w="1080" w:type="dxa"/>
            <w:tcBorders>
              <w:top w:val="nil"/>
              <w:left w:val="nil"/>
              <w:bottom w:val="nil"/>
              <w:right w:val="nil"/>
            </w:tcBorders>
            <w:vAlign w:val="center"/>
          </w:tcPr>
          <w:p w14:paraId="1496D59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Bien &amp; Damm</w:t>
            </w:r>
          </w:p>
        </w:tc>
        <w:tc>
          <w:tcPr>
            <w:tcW w:w="810" w:type="dxa"/>
            <w:tcBorders>
              <w:top w:val="nil"/>
              <w:left w:val="nil"/>
              <w:bottom w:val="nil"/>
              <w:right w:val="nil"/>
            </w:tcBorders>
            <w:vAlign w:val="center"/>
          </w:tcPr>
          <w:p w14:paraId="798C89F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MN232939</w:t>
            </w:r>
          </w:p>
        </w:tc>
        <w:tc>
          <w:tcPr>
            <w:tcW w:w="900" w:type="dxa"/>
            <w:tcBorders>
              <w:top w:val="nil"/>
              <w:left w:val="nil"/>
              <w:bottom w:val="nil"/>
              <w:right w:val="nil"/>
            </w:tcBorders>
            <w:vAlign w:val="center"/>
          </w:tcPr>
          <w:p w14:paraId="1F94FA6F" w14:textId="77777777" w:rsidR="003801E8" w:rsidRDefault="00E44AAE">
            <w:pPr>
              <w:spacing w:after="0" w:line="240" w:lineRule="auto"/>
              <w:jc w:val="center"/>
              <w:rPr>
                <w:rFonts w:ascii="Book Antiqua" w:eastAsia="Times New Roman" w:hAnsi="Book Antiqua" w:cs="Calibri"/>
                <w:b/>
                <w:bCs/>
                <w:color w:val="444444"/>
                <w:sz w:val="18"/>
                <w:szCs w:val="18"/>
                <w:lang w:val="en-US"/>
              </w:rPr>
            </w:pPr>
            <w:r>
              <w:rPr>
                <w:rFonts w:ascii="Book Antiqua" w:eastAsia="Times New Roman" w:hAnsi="Book Antiqua" w:cs="Calibri"/>
                <w:b/>
                <w:bCs/>
                <w:sz w:val="18"/>
                <w:szCs w:val="18"/>
                <w:lang w:val="en-US"/>
              </w:rPr>
              <w:t>MN233005</w:t>
            </w:r>
          </w:p>
        </w:tc>
        <w:tc>
          <w:tcPr>
            <w:tcW w:w="810" w:type="dxa"/>
            <w:tcBorders>
              <w:top w:val="nil"/>
              <w:left w:val="nil"/>
              <w:bottom w:val="nil"/>
              <w:right w:val="nil"/>
            </w:tcBorders>
            <w:vAlign w:val="center"/>
          </w:tcPr>
          <w:p w14:paraId="31582EF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MN232970</w:t>
            </w:r>
          </w:p>
        </w:tc>
        <w:tc>
          <w:tcPr>
            <w:tcW w:w="720" w:type="dxa"/>
            <w:tcBorders>
              <w:top w:val="nil"/>
              <w:left w:val="nil"/>
              <w:bottom w:val="nil"/>
              <w:right w:val="nil"/>
            </w:tcBorders>
            <w:vAlign w:val="center"/>
          </w:tcPr>
          <w:p w14:paraId="1F0FA8B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tcBorders>
              <w:top w:val="nil"/>
              <w:left w:val="nil"/>
              <w:bottom w:val="nil"/>
              <w:right w:val="nil"/>
            </w:tcBorders>
            <w:vAlign w:val="center"/>
          </w:tcPr>
          <w:p w14:paraId="36C8DB5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0E5875BF" w14:textId="77777777">
        <w:trPr>
          <w:trHeight w:val="528"/>
        </w:trPr>
        <w:tc>
          <w:tcPr>
            <w:tcW w:w="1137" w:type="dxa"/>
            <w:tcBorders>
              <w:top w:val="nil"/>
              <w:left w:val="nil"/>
              <w:bottom w:val="nil"/>
              <w:right w:val="nil"/>
            </w:tcBorders>
            <w:vAlign w:val="center"/>
          </w:tcPr>
          <w:p w14:paraId="75C10B7B"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C. luteo olivacea</w:t>
            </w:r>
          </w:p>
        </w:tc>
        <w:tc>
          <w:tcPr>
            <w:tcW w:w="843" w:type="dxa"/>
            <w:tcBorders>
              <w:top w:val="nil"/>
              <w:left w:val="nil"/>
              <w:bottom w:val="nil"/>
              <w:right w:val="nil"/>
            </w:tcBorders>
            <w:vAlign w:val="center"/>
          </w:tcPr>
          <w:p w14:paraId="09E270D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JKI-Cad70</w:t>
            </w:r>
          </w:p>
        </w:tc>
        <w:tc>
          <w:tcPr>
            <w:tcW w:w="1080" w:type="dxa"/>
            <w:tcBorders>
              <w:top w:val="nil"/>
              <w:left w:val="nil"/>
              <w:bottom w:val="nil"/>
              <w:right w:val="nil"/>
            </w:tcBorders>
            <w:vAlign w:val="center"/>
          </w:tcPr>
          <w:p w14:paraId="4F0E8A3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Njemačka</w:t>
            </w:r>
          </w:p>
        </w:tc>
        <w:tc>
          <w:tcPr>
            <w:tcW w:w="1080" w:type="dxa"/>
            <w:tcBorders>
              <w:top w:val="nil"/>
              <w:left w:val="nil"/>
              <w:bottom w:val="nil"/>
              <w:right w:val="nil"/>
            </w:tcBorders>
            <w:vAlign w:val="center"/>
          </w:tcPr>
          <w:p w14:paraId="7BDA4C94"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810" w:type="dxa"/>
            <w:tcBorders>
              <w:top w:val="nil"/>
              <w:left w:val="nil"/>
              <w:bottom w:val="nil"/>
              <w:right w:val="nil"/>
            </w:tcBorders>
            <w:vAlign w:val="center"/>
          </w:tcPr>
          <w:p w14:paraId="00B8C4B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2021</w:t>
            </w:r>
          </w:p>
        </w:tc>
        <w:tc>
          <w:tcPr>
            <w:tcW w:w="1080" w:type="dxa"/>
            <w:tcBorders>
              <w:top w:val="nil"/>
              <w:left w:val="nil"/>
              <w:bottom w:val="nil"/>
              <w:right w:val="nil"/>
            </w:tcBorders>
            <w:vAlign w:val="center"/>
          </w:tcPr>
          <w:p w14:paraId="4B5FC9E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Kraus &amp; Fischer</w:t>
            </w:r>
          </w:p>
        </w:tc>
        <w:tc>
          <w:tcPr>
            <w:tcW w:w="810" w:type="dxa"/>
            <w:tcBorders>
              <w:top w:val="nil"/>
              <w:left w:val="nil"/>
              <w:bottom w:val="nil"/>
              <w:right w:val="nil"/>
            </w:tcBorders>
            <w:vAlign w:val="center"/>
          </w:tcPr>
          <w:p w14:paraId="34D1241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MW960113</w:t>
            </w:r>
          </w:p>
        </w:tc>
        <w:tc>
          <w:tcPr>
            <w:tcW w:w="900" w:type="dxa"/>
            <w:tcBorders>
              <w:top w:val="nil"/>
              <w:left w:val="nil"/>
              <w:bottom w:val="nil"/>
              <w:right w:val="nil"/>
            </w:tcBorders>
            <w:vAlign w:val="center"/>
          </w:tcPr>
          <w:p w14:paraId="5663749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MZ131586</w:t>
            </w:r>
          </w:p>
        </w:tc>
        <w:tc>
          <w:tcPr>
            <w:tcW w:w="810" w:type="dxa"/>
            <w:tcBorders>
              <w:top w:val="nil"/>
              <w:left w:val="nil"/>
              <w:bottom w:val="nil"/>
              <w:right w:val="nil"/>
            </w:tcBorders>
            <w:vAlign w:val="center"/>
          </w:tcPr>
          <w:p w14:paraId="407D32C1"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MZ131577</w:t>
            </w:r>
          </w:p>
        </w:tc>
        <w:tc>
          <w:tcPr>
            <w:tcW w:w="720" w:type="dxa"/>
            <w:tcBorders>
              <w:top w:val="nil"/>
              <w:left w:val="nil"/>
              <w:bottom w:val="nil"/>
              <w:right w:val="nil"/>
            </w:tcBorders>
            <w:vAlign w:val="center"/>
          </w:tcPr>
          <w:p w14:paraId="1E10E4C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tcBorders>
              <w:top w:val="nil"/>
              <w:left w:val="nil"/>
              <w:bottom w:val="nil"/>
              <w:right w:val="nil"/>
            </w:tcBorders>
            <w:vAlign w:val="center"/>
          </w:tcPr>
          <w:p w14:paraId="0925E89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251FBF2A" w14:textId="77777777">
        <w:trPr>
          <w:trHeight w:val="528"/>
        </w:trPr>
        <w:tc>
          <w:tcPr>
            <w:tcW w:w="1137" w:type="dxa"/>
            <w:tcBorders>
              <w:top w:val="nil"/>
              <w:left w:val="nil"/>
              <w:bottom w:val="nil"/>
              <w:right w:val="nil"/>
            </w:tcBorders>
            <w:vAlign w:val="center"/>
          </w:tcPr>
          <w:p w14:paraId="72A9DD27"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C. luteo olivacea</w:t>
            </w:r>
          </w:p>
        </w:tc>
        <w:tc>
          <w:tcPr>
            <w:tcW w:w="843" w:type="dxa"/>
            <w:tcBorders>
              <w:top w:val="nil"/>
              <w:left w:val="nil"/>
              <w:bottom w:val="nil"/>
              <w:right w:val="nil"/>
            </w:tcBorders>
            <w:vAlign w:val="center"/>
          </w:tcPr>
          <w:p w14:paraId="799606E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 KM-147 </w:t>
            </w:r>
          </w:p>
        </w:tc>
        <w:tc>
          <w:tcPr>
            <w:tcW w:w="1080" w:type="dxa"/>
            <w:tcBorders>
              <w:top w:val="nil"/>
              <w:left w:val="nil"/>
              <w:bottom w:val="nil"/>
              <w:right w:val="nil"/>
            </w:tcBorders>
            <w:vAlign w:val="center"/>
          </w:tcPr>
          <w:p w14:paraId="0B9458F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Čile </w:t>
            </w:r>
          </w:p>
        </w:tc>
        <w:tc>
          <w:tcPr>
            <w:tcW w:w="1080" w:type="dxa"/>
            <w:tcBorders>
              <w:top w:val="nil"/>
              <w:left w:val="nil"/>
              <w:bottom w:val="nil"/>
              <w:right w:val="nil"/>
            </w:tcBorders>
            <w:vAlign w:val="center"/>
          </w:tcPr>
          <w:p w14:paraId="55269FE0"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A. chinensis</w:t>
            </w:r>
          </w:p>
        </w:tc>
        <w:tc>
          <w:tcPr>
            <w:tcW w:w="810" w:type="dxa"/>
            <w:tcBorders>
              <w:top w:val="nil"/>
              <w:left w:val="nil"/>
              <w:bottom w:val="nil"/>
              <w:right w:val="nil"/>
            </w:tcBorders>
            <w:vAlign w:val="center"/>
          </w:tcPr>
          <w:p w14:paraId="45D0368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2016</w:t>
            </w:r>
          </w:p>
        </w:tc>
        <w:tc>
          <w:tcPr>
            <w:tcW w:w="1080" w:type="dxa"/>
            <w:tcBorders>
              <w:top w:val="nil"/>
              <w:left w:val="nil"/>
              <w:bottom w:val="nil"/>
              <w:right w:val="nil"/>
            </w:tcBorders>
            <w:vAlign w:val="center"/>
          </w:tcPr>
          <w:p w14:paraId="5FC8D74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Diaz &amp; Ferrada</w:t>
            </w:r>
          </w:p>
        </w:tc>
        <w:tc>
          <w:tcPr>
            <w:tcW w:w="810" w:type="dxa"/>
            <w:tcBorders>
              <w:top w:val="nil"/>
              <w:left w:val="nil"/>
              <w:bottom w:val="nil"/>
              <w:right w:val="nil"/>
            </w:tcBorders>
            <w:vAlign w:val="center"/>
          </w:tcPr>
          <w:p w14:paraId="36F85AE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KU679345</w:t>
            </w:r>
          </w:p>
        </w:tc>
        <w:tc>
          <w:tcPr>
            <w:tcW w:w="900" w:type="dxa"/>
            <w:tcBorders>
              <w:top w:val="nil"/>
              <w:left w:val="nil"/>
              <w:bottom w:val="nil"/>
              <w:right w:val="nil"/>
            </w:tcBorders>
            <w:vAlign w:val="center"/>
          </w:tcPr>
          <w:p w14:paraId="70C4E12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KU695216</w:t>
            </w:r>
          </w:p>
        </w:tc>
        <w:tc>
          <w:tcPr>
            <w:tcW w:w="810" w:type="dxa"/>
            <w:tcBorders>
              <w:top w:val="nil"/>
              <w:left w:val="nil"/>
              <w:bottom w:val="nil"/>
              <w:right w:val="nil"/>
            </w:tcBorders>
            <w:vAlign w:val="center"/>
          </w:tcPr>
          <w:p w14:paraId="4BFF8C8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MN712462</w:t>
            </w:r>
          </w:p>
        </w:tc>
        <w:tc>
          <w:tcPr>
            <w:tcW w:w="720" w:type="dxa"/>
            <w:tcBorders>
              <w:top w:val="nil"/>
              <w:left w:val="nil"/>
              <w:bottom w:val="nil"/>
              <w:right w:val="nil"/>
            </w:tcBorders>
            <w:vAlign w:val="center"/>
          </w:tcPr>
          <w:p w14:paraId="25C024B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tcBorders>
              <w:top w:val="nil"/>
              <w:left w:val="nil"/>
              <w:bottom w:val="nil"/>
              <w:right w:val="nil"/>
            </w:tcBorders>
            <w:vAlign w:val="center"/>
          </w:tcPr>
          <w:p w14:paraId="574C4C8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06EC2114" w14:textId="77777777">
        <w:trPr>
          <w:trHeight w:val="528"/>
        </w:trPr>
        <w:tc>
          <w:tcPr>
            <w:tcW w:w="1137" w:type="dxa"/>
            <w:tcBorders>
              <w:top w:val="nil"/>
              <w:left w:val="nil"/>
              <w:bottom w:val="nil"/>
              <w:right w:val="nil"/>
            </w:tcBorders>
            <w:vAlign w:val="center"/>
          </w:tcPr>
          <w:p w14:paraId="4DF580FA"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C. luteo olivacea</w:t>
            </w:r>
          </w:p>
        </w:tc>
        <w:tc>
          <w:tcPr>
            <w:tcW w:w="843" w:type="dxa"/>
            <w:tcBorders>
              <w:top w:val="nil"/>
              <w:left w:val="nil"/>
              <w:bottom w:val="nil"/>
              <w:right w:val="nil"/>
            </w:tcBorders>
            <w:vAlign w:val="center"/>
          </w:tcPr>
          <w:p w14:paraId="5E61E50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CBS:357.51</w:t>
            </w:r>
          </w:p>
        </w:tc>
        <w:tc>
          <w:tcPr>
            <w:tcW w:w="1080" w:type="dxa"/>
            <w:tcBorders>
              <w:top w:val="nil"/>
              <w:left w:val="nil"/>
              <w:bottom w:val="nil"/>
              <w:right w:val="nil"/>
            </w:tcBorders>
            <w:vAlign w:val="center"/>
          </w:tcPr>
          <w:p w14:paraId="6C9C91E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Italija</w:t>
            </w:r>
          </w:p>
        </w:tc>
        <w:tc>
          <w:tcPr>
            <w:tcW w:w="1080" w:type="dxa"/>
            <w:tcBorders>
              <w:top w:val="nil"/>
              <w:left w:val="nil"/>
              <w:bottom w:val="nil"/>
              <w:right w:val="nil"/>
            </w:tcBorders>
            <w:vAlign w:val="center"/>
          </w:tcPr>
          <w:p w14:paraId="4D95A8D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Nepoznato </w:t>
            </w:r>
          </w:p>
        </w:tc>
        <w:tc>
          <w:tcPr>
            <w:tcW w:w="810" w:type="dxa"/>
            <w:tcBorders>
              <w:top w:val="nil"/>
              <w:left w:val="nil"/>
              <w:bottom w:val="nil"/>
              <w:right w:val="nil"/>
            </w:tcBorders>
            <w:vAlign w:val="center"/>
          </w:tcPr>
          <w:p w14:paraId="017A8E2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2017</w:t>
            </w:r>
          </w:p>
        </w:tc>
        <w:tc>
          <w:tcPr>
            <w:tcW w:w="1080" w:type="dxa"/>
            <w:tcBorders>
              <w:top w:val="nil"/>
              <w:left w:val="nil"/>
              <w:bottom w:val="nil"/>
              <w:right w:val="nil"/>
            </w:tcBorders>
            <w:vAlign w:val="center"/>
          </w:tcPr>
          <w:p w14:paraId="55AB5BE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Vu  </w:t>
            </w:r>
          </w:p>
        </w:tc>
        <w:tc>
          <w:tcPr>
            <w:tcW w:w="810" w:type="dxa"/>
            <w:tcBorders>
              <w:top w:val="nil"/>
              <w:left w:val="nil"/>
              <w:bottom w:val="nil"/>
              <w:right w:val="nil"/>
            </w:tcBorders>
            <w:vAlign w:val="center"/>
          </w:tcPr>
          <w:p w14:paraId="29F1BDE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MH856899</w:t>
            </w:r>
          </w:p>
        </w:tc>
        <w:tc>
          <w:tcPr>
            <w:tcW w:w="900" w:type="dxa"/>
            <w:tcBorders>
              <w:top w:val="nil"/>
              <w:left w:val="nil"/>
              <w:bottom w:val="nil"/>
              <w:right w:val="nil"/>
            </w:tcBorders>
            <w:vAlign w:val="center"/>
          </w:tcPr>
          <w:p w14:paraId="3A0F3E6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KF764611</w:t>
            </w:r>
          </w:p>
        </w:tc>
        <w:tc>
          <w:tcPr>
            <w:tcW w:w="810" w:type="dxa"/>
            <w:tcBorders>
              <w:top w:val="nil"/>
              <w:left w:val="nil"/>
              <w:bottom w:val="nil"/>
              <w:right w:val="nil"/>
            </w:tcBorders>
            <w:vAlign w:val="center"/>
          </w:tcPr>
          <w:p w14:paraId="75DAD0E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KF764682</w:t>
            </w:r>
          </w:p>
        </w:tc>
        <w:tc>
          <w:tcPr>
            <w:tcW w:w="720" w:type="dxa"/>
            <w:tcBorders>
              <w:top w:val="nil"/>
              <w:left w:val="nil"/>
              <w:bottom w:val="nil"/>
              <w:right w:val="nil"/>
            </w:tcBorders>
            <w:vAlign w:val="center"/>
          </w:tcPr>
          <w:p w14:paraId="668E4BE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tcBorders>
              <w:top w:val="nil"/>
              <w:left w:val="nil"/>
              <w:bottom w:val="nil"/>
              <w:right w:val="nil"/>
            </w:tcBorders>
            <w:vAlign w:val="center"/>
          </w:tcPr>
          <w:p w14:paraId="7C027FC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785CC528" w14:textId="77777777">
        <w:trPr>
          <w:trHeight w:val="528"/>
        </w:trPr>
        <w:tc>
          <w:tcPr>
            <w:tcW w:w="1137" w:type="dxa"/>
            <w:tcBorders>
              <w:top w:val="nil"/>
              <w:left w:val="nil"/>
              <w:bottom w:val="single" w:sz="4" w:space="0" w:color="auto"/>
              <w:right w:val="nil"/>
            </w:tcBorders>
            <w:vAlign w:val="center"/>
          </w:tcPr>
          <w:p w14:paraId="2BBDA973"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P. viticola</w:t>
            </w:r>
          </w:p>
        </w:tc>
        <w:tc>
          <w:tcPr>
            <w:tcW w:w="843" w:type="dxa"/>
            <w:tcBorders>
              <w:top w:val="nil"/>
              <w:left w:val="nil"/>
              <w:bottom w:val="single" w:sz="4" w:space="0" w:color="auto"/>
              <w:right w:val="nil"/>
            </w:tcBorders>
            <w:vAlign w:val="center"/>
          </w:tcPr>
          <w:p w14:paraId="261A689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Y271-03-1d </w:t>
            </w:r>
          </w:p>
        </w:tc>
        <w:tc>
          <w:tcPr>
            <w:tcW w:w="1080" w:type="dxa"/>
            <w:tcBorders>
              <w:top w:val="nil"/>
              <w:left w:val="nil"/>
              <w:bottom w:val="single" w:sz="4" w:space="0" w:color="auto"/>
              <w:right w:val="nil"/>
            </w:tcBorders>
            <w:vAlign w:val="center"/>
          </w:tcPr>
          <w:p w14:paraId="5E2A103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Španija</w:t>
            </w:r>
          </w:p>
        </w:tc>
        <w:tc>
          <w:tcPr>
            <w:tcW w:w="1080" w:type="dxa"/>
            <w:tcBorders>
              <w:top w:val="nil"/>
              <w:left w:val="nil"/>
              <w:bottom w:val="single" w:sz="4" w:space="0" w:color="auto"/>
              <w:right w:val="nil"/>
            </w:tcBorders>
            <w:vAlign w:val="center"/>
          </w:tcPr>
          <w:p w14:paraId="0EBDC948"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V. vinifera</w:t>
            </w:r>
          </w:p>
        </w:tc>
        <w:tc>
          <w:tcPr>
            <w:tcW w:w="810" w:type="dxa"/>
            <w:tcBorders>
              <w:top w:val="nil"/>
              <w:left w:val="nil"/>
              <w:bottom w:val="single" w:sz="4" w:space="0" w:color="auto"/>
              <w:right w:val="nil"/>
            </w:tcBorders>
            <w:vAlign w:val="center"/>
          </w:tcPr>
          <w:p w14:paraId="21DF8FD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2011</w:t>
            </w:r>
          </w:p>
        </w:tc>
        <w:tc>
          <w:tcPr>
            <w:tcW w:w="1080" w:type="dxa"/>
            <w:tcBorders>
              <w:top w:val="nil"/>
              <w:left w:val="nil"/>
              <w:bottom w:val="single" w:sz="4" w:space="0" w:color="auto"/>
              <w:right w:val="nil"/>
            </w:tcBorders>
            <w:vAlign w:val="center"/>
          </w:tcPr>
          <w:p w14:paraId="189D3BC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Martin &amp; Martin</w:t>
            </w:r>
          </w:p>
        </w:tc>
        <w:tc>
          <w:tcPr>
            <w:tcW w:w="810" w:type="dxa"/>
            <w:tcBorders>
              <w:top w:val="nil"/>
              <w:left w:val="nil"/>
              <w:bottom w:val="single" w:sz="4" w:space="0" w:color="auto"/>
              <w:right w:val="nil"/>
            </w:tcBorders>
            <w:vAlign w:val="center"/>
          </w:tcPr>
          <w:p w14:paraId="630A84D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JF275864</w:t>
            </w:r>
          </w:p>
        </w:tc>
        <w:tc>
          <w:tcPr>
            <w:tcW w:w="900" w:type="dxa"/>
            <w:tcBorders>
              <w:top w:val="nil"/>
              <w:left w:val="nil"/>
              <w:bottom w:val="single" w:sz="4" w:space="0" w:color="auto"/>
              <w:right w:val="nil"/>
            </w:tcBorders>
            <w:vAlign w:val="center"/>
          </w:tcPr>
          <w:p w14:paraId="25967C7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JF275901</w:t>
            </w:r>
          </w:p>
        </w:tc>
        <w:tc>
          <w:tcPr>
            <w:tcW w:w="810" w:type="dxa"/>
            <w:tcBorders>
              <w:top w:val="nil"/>
              <w:left w:val="nil"/>
              <w:bottom w:val="single" w:sz="4" w:space="0" w:color="auto"/>
              <w:right w:val="nil"/>
            </w:tcBorders>
            <w:vAlign w:val="center"/>
          </w:tcPr>
          <w:p w14:paraId="193133E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JF275882</w:t>
            </w:r>
          </w:p>
        </w:tc>
        <w:tc>
          <w:tcPr>
            <w:tcW w:w="720" w:type="dxa"/>
            <w:tcBorders>
              <w:top w:val="nil"/>
              <w:left w:val="nil"/>
              <w:bottom w:val="single" w:sz="4" w:space="0" w:color="auto"/>
              <w:right w:val="nil"/>
            </w:tcBorders>
            <w:vAlign w:val="center"/>
          </w:tcPr>
          <w:p w14:paraId="0FA0DC8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c>
          <w:tcPr>
            <w:tcW w:w="810" w:type="dxa"/>
            <w:tcBorders>
              <w:top w:val="nil"/>
              <w:left w:val="nil"/>
              <w:bottom w:val="single" w:sz="4" w:space="0" w:color="auto"/>
              <w:right w:val="nil"/>
            </w:tcBorders>
            <w:vAlign w:val="center"/>
          </w:tcPr>
          <w:p w14:paraId="2938854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bl>
    <w:p w14:paraId="1A0498BA" w14:textId="77777777" w:rsidR="003801E8" w:rsidRDefault="003801E8">
      <w:pPr>
        <w:spacing w:after="160" w:line="360" w:lineRule="auto"/>
        <w:jc w:val="both"/>
        <w:rPr>
          <w:rFonts w:ascii="Book Antiqua" w:hAnsi="Book Antiqua" w:cs="Times New Roman"/>
          <w:bCs/>
          <w:kern w:val="2"/>
          <w:sz w:val="22"/>
          <w:szCs w:val="22"/>
          <w:lang w:eastAsia="sr-Latn-ME"/>
        </w:rPr>
      </w:pPr>
    </w:p>
    <w:p w14:paraId="3D63E186" w14:textId="77777777" w:rsidR="003801E8" w:rsidRDefault="003801E8">
      <w:pPr>
        <w:spacing w:after="160" w:line="360" w:lineRule="auto"/>
        <w:jc w:val="both"/>
        <w:rPr>
          <w:rFonts w:ascii="Book Antiqua" w:hAnsi="Book Antiqua" w:cs="Times New Roman"/>
          <w:bCs/>
          <w:kern w:val="2"/>
          <w:sz w:val="22"/>
          <w:szCs w:val="22"/>
          <w:lang w:eastAsia="sr-Latn-ME"/>
        </w:rPr>
      </w:pPr>
    </w:p>
    <w:p w14:paraId="3BCFB63C" w14:textId="77777777" w:rsidR="003801E8" w:rsidRDefault="003801E8">
      <w:pPr>
        <w:spacing w:after="160" w:line="360" w:lineRule="auto"/>
        <w:jc w:val="both"/>
        <w:rPr>
          <w:rFonts w:ascii="Book Antiqua" w:hAnsi="Book Antiqua" w:cs="Times New Roman"/>
          <w:bCs/>
          <w:kern w:val="2"/>
          <w:sz w:val="22"/>
          <w:szCs w:val="22"/>
          <w:lang w:eastAsia="sr-Latn-ME"/>
        </w:rPr>
      </w:pPr>
    </w:p>
    <w:p w14:paraId="2A8EEC7F" w14:textId="77777777" w:rsidR="003801E8" w:rsidRDefault="003801E8">
      <w:pPr>
        <w:spacing w:after="160" w:line="360" w:lineRule="auto"/>
        <w:jc w:val="both"/>
        <w:rPr>
          <w:rFonts w:ascii="Book Antiqua" w:hAnsi="Book Antiqua" w:cs="Times New Roman"/>
          <w:bCs/>
          <w:kern w:val="2"/>
          <w:sz w:val="22"/>
          <w:szCs w:val="22"/>
          <w:lang w:eastAsia="sr-Latn-ME"/>
        </w:rPr>
      </w:pPr>
    </w:p>
    <w:p w14:paraId="48138FAA" w14:textId="77777777" w:rsidR="003801E8" w:rsidRDefault="003801E8">
      <w:pPr>
        <w:spacing w:after="160" w:line="360" w:lineRule="auto"/>
        <w:jc w:val="both"/>
        <w:rPr>
          <w:rFonts w:ascii="Book Antiqua" w:hAnsi="Book Antiqua" w:cs="Times New Roman"/>
          <w:bCs/>
          <w:kern w:val="2"/>
          <w:sz w:val="22"/>
          <w:szCs w:val="22"/>
          <w:lang w:eastAsia="sr-Latn-ME"/>
        </w:rPr>
      </w:pPr>
    </w:p>
    <w:p w14:paraId="317B4A32" w14:textId="77777777" w:rsidR="003801E8" w:rsidRDefault="003801E8">
      <w:pPr>
        <w:spacing w:after="160" w:line="360" w:lineRule="auto"/>
        <w:jc w:val="both"/>
        <w:rPr>
          <w:rFonts w:ascii="Book Antiqua" w:hAnsi="Book Antiqua" w:cs="Times New Roman"/>
          <w:bCs/>
          <w:kern w:val="2"/>
          <w:sz w:val="22"/>
          <w:szCs w:val="22"/>
          <w:lang w:eastAsia="sr-Latn-ME"/>
        </w:rPr>
      </w:pPr>
    </w:p>
    <w:p w14:paraId="61DA270B" w14:textId="77777777" w:rsidR="003801E8" w:rsidRDefault="003801E8">
      <w:pPr>
        <w:spacing w:after="160" w:line="360" w:lineRule="auto"/>
        <w:jc w:val="both"/>
        <w:rPr>
          <w:rFonts w:ascii="Book Antiqua" w:hAnsi="Book Antiqua" w:cs="Times New Roman"/>
          <w:bCs/>
          <w:kern w:val="2"/>
          <w:sz w:val="22"/>
          <w:szCs w:val="22"/>
          <w:lang w:eastAsia="sr-Latn-ME"/>
        </w:rPr>
      </w:pPr>
    </w:p>
    <w:p w14:paraId="0918CAC2" w14:textId="77777777" w:rsidR="003801E8" w:rsidRDefault="003801E8">
      <w:pPr>
        <w:spacing w:after="160" w:line="360" w:lineRule="auto"/>
        <w:jc w:val="both"/>
        <w:rPr>
          <w:rFonts w:ascii="Book Antiqua" w:hAnsi="Book Antiqua" w:cs="Times New Roman"/>
          <w:bCs/>
          <w:kern w:val="2"/>
          <w:sz w:val="22"/>
          <w:szCs w:val="22"/>
          <w:lang w:eastAsia="sr-Latn-ME"/>
        </w:rPr>
      </w:pPr>
    </w:p>
    <w:p w14:paraId="17272E53" w14:textId="77777777" w:rsidR="003801E8" w:rsidRDefault="003801E8">
      <w:pPr>
        <w:spacing w:after="160" w:line="360" w:lineRule="auto"/>
        <w:jc w:val="both"/>
        <w:rPr>
          <w:rFonts w:ascii="Book Antiqua" w:hAnsi="Book Antiqua" w:cs="Times New Roman"/>
          <w:bCs/>
          <w:kern w:val="2"/>
          <w:sz w:val="22"/>
          <w:szCs w:val="22"/>
          <w:lang w:eastAsia="sr-Latn-ME"/>
        </w:rPr>
      </w:pPr>
    </w:p>
    <w:p w14:paraId="5528E252" w14:textId="77777777" w:rsidR="003801E8" w:rsidRDefault="003801E8">
      <w:pPr>
        <w:spacing w:after="160" w:line="360" w:lineRule="auto"/>
        <w:jc w:val="both"/>
        <w:rPr>
          <w:rFonts w:ascii="Book Antiqua" w:hAnsi="Book Antiqua" w:cs="Times New Roman"/>
          <w:bCs/>
          <w:kern w:val="2"/>
          <w:sz w:val="22"/>
          <w:szCs w:val="22"/>
          <w:lang w:eastAsia="sr-Latn-ME"/>
        </w:rPr>
      </w:pPr>
    </w:p>
    <w:p w14:paraId="1C7F3829" w14:textId="77777777" w:rsidR="003801E8" w:rsidRDefault="003801E8">
      <w:pPr>
        <w:spacing w:after="160" w:line="360" w:lineRule="auto"/>
        <w:jc w:val="both"/>
        <w:rPr>
          <w:rFonts w:ascii="Book Antiqua" w:hAnsi="Book Antiqua" w:cs="Times New Roman"/>
          <w:bCs/>
          <w:kern w:val="2"/>
          <w:sz w:val="22"/>
          <w:szCs w:val="22"/>
          <w:lang w:eastAsia="sr-Latn-ME"/>
        </w:rPr>
      </w:pPr>
    </w:p>
    <w:p w14:paraId="579A449A" w14:textId="77777777" w:rsidR="003801E8" w:rsidRDefault="00E44AAE">
      <w:pPr>
        <w:spacing w:after="160" w:line="360" w:lineRule="auto"/>
        <w:jc w:val="both"/>
        <w:rPr>
          <w:rFonts w:ascii="Book Antiqua" w:hAnsi="Book Antiqua" w:cs="Times New Roman"/>
          <w:bCs/>
          <w:kern w:val="2"/>
          <w:sz w:val="22"/>
          <w:szCs w:val="22"/>
          <w:lang w:eastAsia="sr-Latn-ME"/>
        </w:rPr>
      </w:pPr>
      <w:r>
        <w:rPr>
          <w:rFonts w:ascii="Book Antiqua" w:hAnsi="Book Antiqua" w:cs="Times New Roman"/>
          <w:b/>
          <w:kern w:val="2"/>
          <w:sz w:val="22"/>
          <w:szCs w:val="22"/>
          <w:lang w:val="en-US" w:eastAsia="sr-Latn-ME"/>
        </w:rPr>
        <w:lastRenderedPageBreak/>
        <w:t>Tabela 14</w:t>
      </w:r>
      <w:r>
        <w:rPr>
          <w:rFonts w:ascii="Book Antiqua" w:hAnsi="Book Antiqua" w:cs="Times New Roman"/>
          <w:bCs/>
          <w:kern w:val="2"/>
          <w:sz w:val="22"/>
          <w:szCs w:val="22"/>
          <w:lang w:val="en-US" w:eastAsia="sr-Latn-ME"/>
        </w:rPr>
        <w:t xml:space="preserve">. </w:t>
      </w:r>
      <w:r>
        <w:rPr>
          <w:rFonts w:ascii="Book Antiqua" w:hAnsi="Book Antiqua" w:cs="Times New Roman"/>
          <w:bCs/>
          <w:kern w:val="2"/>
          <w:sz w:val="22"/>
          <w:szCs w:val="22"/>
          <w:lang w:eastAsia="sr-Latn-ME"/>
        </w:rPr>
        <w:t xml:space="preserve">Pristupni brojevi za ITS, TEF1a, TUB2, HIS i CAL sekvence mikroorganizama </w:t>
      </w:r>
      <w:r>
        <w:rPr>
          <w:rFonts w:ascii="Book Antiqua" w:hAnsi="Book Antiqua" w:cs="Times New Roman"/>
          <w:bCs/>
          <w:i/>
          <w:iCs/>
          <w:kern w:val="2"/>
          <w:sz w:val="22"/>
          <w:szCs w:val="22"/>
          <w:lang w:eastAsia="sr-Latn-ME"/>
        </w:rPr>
        <w:t>D. ampellina</w:t>
      </w:r>
      <w:r>
        <w:rPr>
          <w:rFonts w:ascii="Book Antiqua" w:hAnsi="Book Antiqua" w:cs="Times New Roman"/>
          <w:bCs/>
          <w:kern w:val="2"/>
          <w:sz w:val="22"/>
          <w:szCs w:val="22"/>
          <w:lang w:eastAsia="sr-Latn-ME"/>
        </w:rPr>
        <w:t xml:space="preserve"> i </w:t>
      </w:r>
      <w:r>
        <w:rPr>
          <w:rFonts w:ascii="Book Antiqua" w:hAnsi="Book Antiqua" w:cs="Times New Roman"/>
          <w:bCs/>
          <w:i/>
          <w:iCs/>
          <w:kern w:val="2"/>
          <w:sz w:val="22"/>
          <w:szCs w:val="22"/>
          <w:lang w:eastAsia="sr-Latn-ME"/>
        </w:rPr>
        <w:t>D. eres</w:t>
      </w:r>
      <w:r>
        <w:rPr>
          <w:rFonts w:ascii="Book Antiqua" w:hAnsi="Book Antiqua" w:cs="Times New Roman"/>
          <w:bCs/>
          <w:kern w:val="2"/>
          <w:sz w:val="22"/>
          <w:szCs w:val="22"/>
          <w:lang w:eastAsia="sr-Latn-ME"/>
        </w:rPr>
        <w:t xml:space="preserve"> preuzete iz GenBank kao i za sekvence dobijene u ovom istraživanju. Boldirani NCBI brojevi sekvenci korišćenih u filogenetskim analizama</w:t>
      </w:r>
    </w:p>
    <w:tbl>
      <w:tblPr>
        <w:tblW w:w="9900" w:type="dxa"/>
        <w:tblLayout w:type="fixed"/>
        <w:tblLook w:val="04A0" w:firstRow="1" w:lastRow="0" w:firstColumn="1" w:lastColumn="0" w:noHBand="0" w:noVBand="1"/>
      </w:tblPr>
      <w:tblGrid>
        <w:gridCol w:w="1137"/>
        <w:gridCol w:w="837"/>
        <w:gridCol w:w="1014"/>
        <w:gridCol w:w="1046"/>
        <w:gridCol w:w="836"/>
        <w:gridCol w:w="1120"/>
        <w:gridCol w:w="760"/>
        <w:gridCol w:w="900"/>
        <w:gridCol w:w="810"/>
        <w:gridCol w:w="720"/>
        <w:gridCol w:w="720"/>
      </w:tblGrid>
      <w:tr w:rsidR="003801E8" w14:paraId="060B2DCE" w14:textId="77777777">
        <w:trPr>
          <w:trHeight w:val="960"/>
        </w:trPr>
        <w:tc>
          <w:tcPr>
            <w:tcW w:w="1137" w:type="dxa"/>
            <w:tcBorders>
              <w:top w:val="single" w:sz="4" w:space="0" w:color="auto"/>
              <w:left w:val="nil"/>
              <w:bottom w:val="single" w:sz="4" w:space="0" w:color="auto"/>
              <w:right w:val="nil"/>
            </w:tcBorders>
            <w:vAlign w:val="center"/>
          </w:tcPr>
          <w:p w14:paraId="54469B4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Organizam</w:t>
            </w:r>
          </w:p>
        </w:tc>
        <w:tc>
          <w:tcPr>
            <w:tcW w:w="837" w:type="dxa"/>
            <w:tcBorders>
              <w:top w:val="single" w:sz="4" w:space="0" w:color="auto"/>
              <w:left w:val="nil"/>
              <w:bottom w:val="single" w:sz="4" w:space="0" w:color="auto"/>
              <w:right w:val="nil"/>
            </w:tcBorders>
            <w:vAlign w:val="center"/>
          </w:tcPr>
          <w:p w14:paraId="33BF58F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Izolat</w:t>
            </w:r>
          </w:p>
        </w:tc>
        <w:tc>
          <w:tcPr>
            <w:tcW w:w="1014" w:type="dxa"/>
            <w:tcBorders>
              <w:top w:val="single" w:sz="4" w:space="0" w:color="auto"/>
              <w:left w:val="nil"/>
              <w:bottom w:val="single" w:sz="4" w:space="0" w:color="auto"/>
              <w:right w:val="nil"/>
            </w:tcBorders>
            <w:vAlign w:val="center"/>
          </w:tcPr>
          <w:p w14:paraId="4EC3FC3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 xml:space="preserve">Zemlja porijekla </w:t>
            </w:r>
          </w:p>
        </w:tc>
        <w:tc>
          <w:tcPr>
            <w:tcW w:w="1046" w:type="dxa"/>
            <w:tcBorders>
              <w:top w:val="single" w:sz="4" w:space="0" w:color="auto"/>
              <w:left w:val="nil"/>
              <w:bottom w:val="single" w:sz="4" w:space="0" w:color="auto"/>
              <w:right w:val="nil"/>
            </w:tcBorders>
            <w:vAlign w:val="center"/>
          </w:tcPr>
          <w:p w14:paraId="4FAF2AE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Biljna vrsta (domaćin)</w:t>
            </w:r>
          </w:p>
        </w:tc>
        <w:tc>
          <w:tcPr>
            <w:tcW w:w="836" w:type="dxa"/>
            <w:tcBorders>
              <w:top w:val="single" w:sz="4" w:space="0" w:color="auto"/>
              <w:left w:val="nil"/>
              <w:bottom w:val="single" w:sz="4" w:space="0" w:color="auto"/>
              <w:right w:val="nil"/>
            </w:tcBorders>
            <w:vAlign w:val="center"/>
          </w:tcPr>
          <w:p w14:paraId="0E0D11B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Godina</w:t>
            </w:r>
          </w:p>
        </w:tc>
        <w:tc>
          <w:tcPr>
            <w:tcW w:w="1120" w:type="dxa"/>
            <w:tcBorders>
              <w:top w:val="single" w:sz="4" w:space="0" w:color="auto"/>
              <w:left w:val="nil"/>
              <w:bottom w:val="single" w:sz="4" w:space="0" w:color="auto"/>
              <w:right w:val="nil"/>
            </w:tcBorders>
            <w:vAlign w:val="center"/>
          </w:tcPr>
          <w:p w14:paraId="266C9B3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Autor (NCBI)</w:t>
            </w:r>
          </w:p>
        </w:tc>
        <w:tc>
          <w:tcPr>
            <w:tcW w:w="760" w:type="dxa"/>
            <w:tcBorders>
              <w:top w:val="single" w:sz="4" w:space="0" w:color="auto"/>
              <w:left w:val="nil"/>
              <w:bottom w:val="single" w:sz="4" w:space="0" w:color="auto"/>
              <w:right w:val="nil"/>
            </w:tcBorders>
            <w:vAlign w:val="center"/>
          </w:tcPr>
          <w:p w14:paraId="2F8BD77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(ITS)</w:t>
            </w:r>
          </w:p>
        </w:tc>
        <w:tc>
          <w:tcPr>
            <w:tcW w:w="900" w:type="dxa"/>
            <w:tcBorders>
              <w:top w:val="single" w:sz="4" w:space="0" w:color="auto"/>
              <w:left w:val="nil"/>
              <w:bottom w:val="single" w:sz="4" w:space="0" w:color="auto"/>
              <w:right w:val="nil"/>
            </w:tcBorders>
            <w:vAlign w:val="center"/>
          </w:tcPr>
          <w:p w14:paraId="22D4B59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(TEF1a)</w:t>
            </w:r>
          </w:p>
        </w:tc>
        <w:tc>
          <w:tcPr>
            <w:tcW w:w="810" w:type="dxa"/>
            <w:tcBorders>
              <w:top w:val="single" w:sz="4" w:space="0" w:color="auto"/>
              <w:left w:val="nil"/>
              <w:bottom w:val="single" w:sz="4" w:space="0" w:color="auto"/>
              <w:right w:val="nil"/>
            </w:tcBorders>
            <w:vAlign w:val="center"/>
          </w:tcPr>
          <w:p w14:paraId="5547036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(TUB2)</w:t>
            </w:r>
          </w:p>
        </w:tc>
        <w:tc>
          <w:tcPr>
            <w:tcW w:w="720" w:type="dxa"/>
            <w:tcBorders>
              <w:top w:val="single" w:sz="4" w:space="0" w:color="auto"/>
              <w:left w:val="nil"/>
              <w:bottom w:val="single" w:sz="4" w:space="0" w:color="auto"/>
              <w:right w:val="nil"/>
            </w:tcBorders>
            <w:vAlign w:val="center"/>
          </w:tcPr>
          <w:p w14:paraId="205B2E7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(HIS)</w:t>
            </w:r>
          </w:p>
        </w:tc>
        <w:tc>
          <w:tcPr>
            <w:tcW w:w="720" w:type="dxa"/>
            <w:tcBorders>
              <w:top w:val="single" w:sz="4" w:space="0" w:color="auto"/>
              <w:left w:val="nil"/>
              <w:bottom w:val="single" w:sz="4" w:space="0" w:color="auto"/>
              <w:right w:val="nil"/>
            </w:tcBorders>
            <w:vAlign w:val="center"/>
          </w:tcPr>
          <w:p w14:paraId="651231B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NCBI br (CAL)</w:t>
            </w:r>
          </w:p>
        </w:tc>
      </w:tr>
      <w:tr w:rsidR="003801E8" w14:paraId="37C8947C" w14:textId="77777777">
        <w:trPr>
          <w:trHeight w:val="528"/>
        </w:trPr>
        <w:tc>
          <w:tcPr>
            <w:tcW w:w="1137" w:type="dxa"/>
            <w:tcBorders>
              <w:top w:val="nil"/>
              <w:left w:val="nil"/>
              <w:bottom w:val="nil"/>
              <w:right w:val="nil"/>
            </w:tcBorders>
            <w:vAlign w:val="center"/>
          </w:tcPr>
          <w:p w14:paraId="75E8DAE6"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D. ampellina </w:t>
            </w:r>
          </w:p>
        </w:tc>
        <w:tc>
          <w:tcPr>
            <w:tcW w:w="837" w:type="dxa"/>
            <w:tcBorders>
              <w:top w:val="nil"/>
              <w:left w:val="nil"/>
              <w:bottom w:val="nil"/>
              <w:right w:val="nil"/>
            </w:tcBorders>
            <w:vAlign w:val="center"/>
          </w:tcPr>
          <w:p w14:paraId="0122AA1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MN001</w:t>
            </w:r>
          </w:p>
        </w:tc>
        <w:tc>
          <w:tcPr>
            <w:tcW w:w="1014" w:type="dxa"/>
            <w:tcBorders>
              <w:top w:val="nil"/>
              <w:left w:val="nil"/>
              <w:bottom w:val="nil"/>
              <w:right w:val="nil"/>
            </w:tcBorders>
            <w:vAlign w:val="center"/>
          </w:tcPr>
          <w:p w14:paraId="29E2C8B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Crna Gora </w:t>
            </w:r>
          </w:p>
        </w:tc>
        <w:tc>
          <w:tcPr>
            <w:tcW w:w="1046" w:type="dxa"/>
            <w:tcBorders>
              <w:top w:val="nil"/>
              <w:left w:val="nil"/>
              <w:bottom w:val="nil"/>
              <w:right w:val="nil"/>
            </w:tcBorders>
            <w:vAlign w:val="center"/>
          </w:tcPr>
          <w:p w14:paraId="7C3A97A0"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V. vinifera </w:t>
            </w:r>
          </w:p>
        </w:tc>
        <w:tc>
          <w:tcPr>
            <w:tcW w:w="836" w:type="dxa"/>
            <w:tcBorders>
              <w:top w:val="nil"/>
              <w:left w:val="nil"/>
              <w:bottom w:val="nil"/>
              <w:right w:val="nil"/>
            </w:tcBorders>
            <w:vAlign w:val="center"/>
          </w:tcPr>
          <w:p w14:paraId="6ED7D29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2023</w:t>
            </w:r>
          </w:p>
        </w:tc>
        <w:tc>
          <w:tcPr>
            <w:tcW w:w="1120" w:type="dxa"/>
            <w:tcBorders>
              <w:top w:val="nil"/>
              <w:left w:val="nil"/>
              <w:bottom w:val="nil"/>
              <w:right w:val="nil"/>
            </w:tcBorders>
            <w:vAlign w:val="center"/>
          </w:tcPr>
          <w:p w14:paraId="68B6DE0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Kandić</w:t>
            </w:r>
          </w:p>
        </w:tc>
        <w:tc>
          <w:tcPr>
            <w:tcW w:w="760" w:type="dxa"/>
            <w:tcBorders>
              <w:top w:val="nil"/>
              <w:left w:val="nil"/>
              <w:bottom w:val="nil"/>
              <w:right w:val="nil"/>
            </w:tcBorders>
            <w:vAlign w:val="center"/>
          </w:tcPr>
          <w:p w14:paraId="4A7046B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PX694708</w:t>
            </w:r>
          </w:p>
        </w:tc>
        <w:tc>
          <w:tcPr>
            <w:tcW w:w="900" w:type="dxa"/>
            <w:tcBorders>
              <w:top w:val="nil"/>
              <w:left w:val="nil"/>
              <w:bottom w:val="nil"/>
              <w:right w:val="nil"/>
            </w:tcBorders>
            <w:vAlign w:val="center"/>
          </w:tcPr>
          <w:p w14:paraId="5055158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PX763607</w:t>
            </w:r>
          </w:p>
        </w:tc>
        <w:tc>
          <w:tcPr>
            <w:tcW w:w="810" w:type="dxa"/>
            <w:tcBorders>
              <w:top w:val="nil"/>
              <w:left w:val="nil"/>
              <w:bottom w:val="nil"/>
              <w:right w:val="nil"/>
            </w:tcBorders>
            <w:vAlign w:val="center"/>
          </w:tcPr>
          <w:p w14:paraId="6B28718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PX763608</w:t>
            </w:r>
          </w:p>
        </w:tc>
        <w:tc>
          <w:tcPr>
            <w:tcW w:w="720" w:type="dxa"/>
            <w:tcBorders>
              <w:top w:val="nil"/>
              <w:left w:val="nil"/>
              <w:bottom w:val="nil"/>
              <w:right w:val="nil"/>
            </w:tcBorders>
            <w:vAlign w:val="center"/>
          </w:tcPr>
          <w:p w14:paraId="09972CF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PX763610</w:t>
            </w:r>
          </w:p>
        </w:tc>
        <w:tc>
          <w:tcPr>
            <w:tcW w:w="720" w:type="dxa"/>
            <w:tcBorders>
              <w:top w:val="nil"/>
              <w:left w:val="nil"/>
              <w:bottom w:val="nil"/>
              <w:right w:val="nil"/>
            </w:tcBorders>
            <w:vAlign w:val="center"/>
          </w:tcPr>
          <w:p w14:paraId="07A3F3B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PX763609</w:t>
            </w:r>
          </w:p>
        </w:tc>
      </w:tr>
      <w:tr w:rsidR="003801E8" w14:paraId="722C202D" w14:textId="77777777">
        <w:trPr>
          <w:trHeight w:val="528"/>
        </w:trPr>
        <w:tc>
          <w:tcPr>
            <w:tcW w:w="1137" w:type="dxa"/>
            <w:tcBorders>
              <w:top w:val="nil"/>
              <w:left w:val="nil"/>
              <w:bottom w:val="nil"/>
              <w:right w:val="nil"/>
            </w:tcBorders>
            <w:vAlign w:val="center"/>
          </w:tcPr>
          <w:p w14:paraId="24F521F4"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D. ampellina </w:t>
            </w:r>
          </w:p>
        </w:tc>
        <w:tc>
          <w:tcPr>
            <w:tcW w:w="837" w:type="dxa"/>
            <w:tcBorders>
              <w:top w:val="nil"/>
              <w:left w:val="nil"/>
              <w:bottom w:val="nil"/>
              <w:right w:val="nil"/>
            </w:tcBorders>
            <w:vAlign w:val="center"/>
          </w:tcPr>
          <w:p w14:paraId="6B245D5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EFA 460 </w:t>
            </w:r>
          </w:p>
        </w:tc>
        <w:tc>
          <w:tcPr>
            <w:tcW w:w="1014" w:type="dxa"/>
            <w:tcBorders>
              <w:top w:val="nil"/>
              <w:left w:val="nil"/>
              <w:bottom w:val="nil"/>
              <w:right w:val="nil"/>
            </w:tcBorders>
            <w:vAlign w:val="center"/>
          </w:tcPr>
          <w:p w14:paraId="6D1E9CD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Španija</w:t>
            </w:r>
          </w:p>
        </w:tc>
        <w:tc>
          <w:tcPr>
            <w:tcW w:w="1046" w:type="dxa"/>
            <w:tcBorders>
              <w:top w:val="nil"/>
              <w:left w:val="nil"/>
              <w:bottom w:val="nil"/>
              <w:right w:val="nil"/>
            </w:tcBorders>
            <w:vAlign w:val="center"/>
          </w:tcPr>
          <w:p w14:paraId="4A72C448"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V. vinifera </w:t>
            </w:r>
          </w:p>
        </w:tc>
        <w:tc>
          <w:tcPr>
            <w:tcW w:w="836" w:type="dxa"/>
            <w:tcBorders>
              <w:top w:val="nil"/>
              <w:left w:val="nil"/>
              <w:bottom w:val="nil"/>
              <w:right w:val="nil"/>
            </w:tcBorders>
            <w:vAlign w:val="center"/>
          </w:tcPr>
          <w:p w14:paraId="2FE0ED9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2018</w:t>
            </w:r>
          </w:p>
        </w:tc>
        <w:tc>
          <w:tcPr>
            <w:tcW w:w="1120" w:type="dxa"/>
            <w:tcBorders>
              <w:top w:val="nil"/>
              <w:left w:val="nil"/>
              <w:bottom w:val="nil"/>
              <w:right w:val="nil"/>
            </w:tcBorders>
            <w:vAlign w:val="center"/>
          </w:tcPr>
          <w:p w14:paraId="6306FE1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Varela </w:t>
            </w:r>
          </w:p>
        </w:tc>
        <w:tc>
          <w:tcPr>
            <w:tcW w:w="760" w:type="dxa"/>
            <w:tcBorders>
              <w:top w:val="nil"/>
              <w:left w:val="nil"/>
              <w:bottom w:val="nil"/>
              <w:right w:val="nil"/>
            </w:tcBorders>
            <w:vAlign w:val="center"/>
          </w:tcPr>
          <w:p w14:paraId="1E4D879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MH050429</w:t>
            </w:r>
          </w:p>
        </w:tc>
        <w:tc>
          <w:tcPr>
            <w:tcW w:w="900" w:type="dxa"/>
            <w:tcBorders>
              <w:top w:val="nil"/>
              <w:left w:val="nil"/>
              <w:bottom w:val="nil"/>
              <w:right w:val="nil"/>
            </w:tcBorders>
            <w:vAlign w:val="center"/>
          </w:tcPr>
          <w:p w14:paraId="1F57E5F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MH051278</w:t>
            </w:r>
          </w:p>
        </w:tc>
        <w:tc>
          <w:tcPr>
            <w:tcW w:w="810" w:type="dxa"/>
            <w:tcBorders>
              <w:top w:val="nil"/>
              <w:left w:val="nil"/>
              <w:bottom w:val="nil"/>
              <w:right w:val="nil"/>
            </w:tcBorders>
            <w:vAlign w:val="center"/>
          </w:tcPr>
          <w:p w14:paraId="0A1E892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MH051284</w:t>
            </w:r>
          </w:p>
        </w:tc>
        <w:tc>
          <w:tcPr>
            <w:tcW w:w="720" w:type="dxa"/>
            <w:tcBorders>
              <w:top w:val="nil"/>
              <w:left w:val="nil"/>
              <w:bottom w:val="nil"/>
              <w:right w:val="nil"/>
            </w:tcBorders>
            <w:vAlign w:val="center"/>
          </w:tcPr>
          <w:p w14:paraId="5080752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MH025965</w:t>
            </w:r>
          </w:p>
        </w:tc>
        <w:tc>
          <w:tcPr>
            <w:tcW w:w="720" w:type="dxa"/>
            <w:tcBorders>
              <w:top w:val="nil"/>
              <w:left w:val="nil"/>
              <w:bottom w:val="nil"/>
              <w:right w:val="nil"/>
            </w:tcBorders>
            <w:vAlign w:val="center"/>
          </w:tcPr>
          <w:p w14:paraId="6B1A7CA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27EE385E" w14:textId="77777777">
        <w:trPr>
          <w:trHeight w:val="528"/>
        </w:trPr>
        <w:tc>
          <w:tcPr>
            <w:tcW w:w="1137" w:type="dxa"/>
            <w:tcBorders>
              <w:top w:val="nil"/>
              <w:left w:val="nil"/>
              <w:bottom w:val="nil"/>
              <w:right w:val="nil"/>
            </w:tcBorders>
            <w:vAlign w:val="center"/>
          </w:tcPr>
          <w:p w14:paraId="21DB4992"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D. ampellina </w:t>
            </w:r>
          </w:p>
        </w:tc>
        <w:tc>
          <w:tcPr>
            <w:tcW w:w="837" w:type="dxa"/>
            <w:tcBorders>
              <w:top w:val="nil"/>
              <w:left w:val="nil"/>
              <w:bottom w:val="nil"/>
              <w:right w:val="nil"/>
            </w:tcBorders>
            <w:vAlign w:val="center"/>
          </w:tcPr>
          <w:p w14:paraId="74A23D2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CPC 30076</w:t>
            </w:r>
          </w:p>
        </w:tc>
        <w:tc>
          <w:tcPr>
            <w:tcW w:w="1014" w:type="dxa"/>
            <w:tcBorders>
              <w:top w:val="nil"/>
              <w:left w:val="nil"/>
              <w:bottom w:val="nil"/>
              <w:right w:val="nil"/>
            </w:tcBorders>
            <w:vAlign w:val="center"/>
          </w:tcPr>
          <w:p w14:paraId="0F11F11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Mađarska </w:t>
            </w:r>
          </w:p>
        </w:tc>
        <w:tc>
          <w:tcPr>
            <w:tcW w:w="1046" w:type="dxa"/>
            <w:tcBorders>
              <w:top w:val="nil"/>
              <w:left w:val="nil"/>
              <w:bottom w:val="nil"/>
              <w:right w:val="nil"/>
            </w:tcBorders>
            <w:vAlign w:val="center"/>
          </w:tcPr>
          <w:p w14:paraId="3E59ED9F"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V. vinifera </w:t>
            </w:r>
          </w:p>
        </w:tc>
        <w:tc>
          <w:tcPr>
            <w:tcW w:w="836" w:type="dxa"/>
            <w:tcBorders>
              <w:top w:val="nil"/>
              <w:left w:val="nil"/>
              <w:bottom w:val="nil"/>
              <w:right w:val="nil"/>
            </w:tcBorders>
            <w:vAlign w:val="center"/>
          </w:tcPr>
          <w:p w14:paraId="1AFDBB7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2018</w:t>
            </w:r>
          </w:p>
        </w:tc>
        <w:tc>
          <w:tcPr>
            <w:tcW w:w="1120" w:type="dxa"/>
            <w:tcBorders>
              <w:top w:val="nil"/>
              <w:left w:val="nil"/>
              <w:bottom w:val="nil"/>
              <w:right w:val="nil"/>
            </w:tcBorders>
            <w:vAlign w:val="center"/>
          </w:tcPr>
          <w:p w14:paraId="130C86E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Guarnaccia </w:t>
            </w:r>
          </w:p>
        </w:tc>
        <w:tc>
          <w:tcPr>
            <w:tcW w:w="760" w:type="dxa"/>
            <w:tcBorders>
              <w:top w:val="nil"/>
              <w:left w:val="nil"/>
              <w:bottom w:val="nil"/>
              <w:right w:val="nil"/>
            </w:tcBorders>
            <w:vAlign w:val="center"/>
          </w:tcPr>
          <w:p w14:paraId="629F8C1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MG281000</w:t>
            </w:r>
          </w:p>
        </w:tc>
        <w:tc>
          <w:tcPr>
            <w:tcW w:w="900" w:type="dxa"/>
            <w:tcBorders>
              <w:top w:val="nil"/>
              <w:left w:val="nil"/>
              <w:bottom w:val="nil"/>
              <w:right w:val="nil"/>
            </w:tcBorders>
            <w:vAlign w:val="center"/>
          </w:tcPr>
          <w:p w14:paraId="1DCDBE6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MG281521</w:t>
            </w:r>
          </w:p>
        </w:tc>
        <w:tc>
          <w:tcPr>
            <w:tcW w:w="810" w:type="dxa"/>
            <w:tcBorders>
              <w:top w:val="nil"/>
              <w:left w:val="nil"/>
              <w:bottom w:val="nil"/>
              <w:right w:val="nil"/>
            </w:tcBorders>
            <w:vAlign w:val="center"/>
          </w:tcPr>
          <w:p w14:paraId="790E0E71"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MG281173</w:t>
            </w:r>
          </w:p>
        </w:tc>
        <w:tc>
          <w:tcPr>
            <w:tcW w:w="720" w:type="dxa"/>
            <w:tcBorders>
              <w:top w:val="nil"/>
              <w:left w:val="nil"/>
              <w:bottom w:val="nil"/>
              <w:right w:val="nil"/>
            </w:tcBorders>
            <w:vAlign w:val="center"/>
          </w:tcPr>
          <w:p w14:paraId="2B4CF88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MG281346</w:t>
            </w:r>
          </w:p>
        </w:tc>
        <w:tc>
          <w:tcPr>
            <w:tcW w:w="720" w:type="dxa"/>
            <w:tcBorders>
              <w:top w:val="nil"/>
              <w:left w:val="nil"/>
              <w:bottom w:val="nil"/>
              <w:right w:val="nil"/>
            </w:tcBorders>
            <w:vAlign w:val="center"/>
          </w:tcPr>
          <w:p w14:paraId="42E6B65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079F211E" w14:textId="77777777">
        <w:trPr>
          <w:trHeight w:val="528"/>
        </w:trPr>
        <w:tc>
          <w:tcPr>
            <w:tcW w:w="1137" w:type="dxa"/>
            <w:tcBorders>
              <w:top w:val="nil"/>
              <w:left w:val="nil"/>
              <w:bottom w:val="nil"/>
              <w:right w:val="nil"/>
            </w:tcBorders>
            <w:vAlign w:val="center"/>
          </w:tcPr>
          <w:p w14:paraId="78F54549"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D. ampellina </w:t>
            </w:r>
          </w:p>
        </w:tc>
        <w:tc>
          <w:tcPr>
            <w:tcW w:w="837" w:type="dxa"/>
            <w:tcBorders>
              <w:top w:val="nil"/>
              <w:left w:val="nil"/>
              <w:bottom w:val="nil"/>
              <w:right w:val="nil"/>
            </w:tcBorders>
            <w:vAlign w:val="center"/>
          </w:tcPr>
          <w:p w14:paraId="74700B3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CBS 111888</w:t>
            </w:r>
          </w:p>
        </w:tc>
        <w:tc>
          <w:tcPr>
            <w:tcW w:w="1014" w:type="dxa"/>
            <w:tcBorders>
              <w:top w:val="nil"/>
              <w:left w:val="nil"/>
              <w:bottom w:val="nil"/>
              <w:right w:val="nil"/>
            </w:tcBorders>
            <w:vAlign w:val="center"/>
          </w:tcPr>
          <w:p w14:paraId="096BF79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SAD</w:t>
            </w:r>
          </w:p>
        </w:tc>
        <w:tc>
          <w:tcPr>
            <w:tcW w:w="1046" w:type="dxa"/>
            <w:tcBorders>
              <w:top w:val="nil"/>
              <w:left w:val="nil"/>
              <w:bottom w:val="nil"/>
              <w:right w:val="nil"/>
            </w:tcBorders>
            <w:vAlign w:val="center"/>
          </w:tcPr>
          <w:p w14:paraId="0E06C410"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V. vinifera </w:t>
            </w:r>
          </w:p>
        </w:tc>
        <w:tc>
          <w:tcPr>
            <w:tcW w:w="836" w:type="dxa"/>
            <w:tcBorders>
              <w:top w:val="nil"/>
              <w:left w:val="nil"/>
              <w:bottom w:val="nil"/>
              <w:right w:val="nil"/>
            </w:tcBorders>
            <w:vAlign w:val="center"/>
          </w:tcPr>
          <w:p w14:paraId="349C499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2012</w:t>
            </w:r>
          </w:p>
        </w:tc>
        <w:tc>
          <w:tcPr>
            <w:tcW w:w="1120" w:type="dxa"/>
            <w:tcBorders>
              <w:top w:val="nil"/>
              <w:left w:val="nil"/>
              <w:bottom w:val="nil"/>
              <w:right w:val="nil"/>
            </w:tcBorders>
            <w:vAlign w:val="center"/>
          </w:tcPr>
          <w:p w14:paraId="6AC107E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Gomes </w:t>
            </w:r>
          </w:p>
        </w:tc>
        <w:tc>
          <w:tcPr>
            <w:tcW w:w="760" w:type="dxa"/>
            <w:tcBorders>
              <w:top w:val="nil"/>
              <w:left w:val="nil"/>
              <w:bottom w:val="nil"/>
              <w:right w:val="nil"/>
            </w:tcBorders>
            <w:vAlign w:val="center"/>
          </w:tcPr>
          <w:p w14:paraId="0A58995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KC343016</w:t>
            </w:r>
          </w:p>
        </w:tc>
        <w:tc>
          <w:tcPr>
            <w:tcW w:w="900" w:type="dxa"/>
            <w:tcBorders>
              <w:top w:val="nil"/>
              <w:left w:val="nil"/>
              <w:bottom w:val="nil"/>
              <w:right w:val="nil"/>
            </w:tcBorders>
            <w:vAlign w:val="center"/>
          </w:tcPr>
          <w:p w14:paraId="03FF341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KC343742</w:t>
            </w:r>
          </w:p>
        </w:tc>
        <w:tc>
          <w:tcPr>
            <w:tcW w:w="810" w:type="dxa"/>
            <w:tcBorders>
              <w:top w:val="nil"/>
              <w:left w:val="nil"/>
              <w:bottom w:val="nil"/>
              <w:right w:val="nil"/>
            </w:tcBorders>
            <w:vAlign w:val="center"/>
          </w:tcPr>
          <w:p w14:paraId="707EF50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KC343984</w:t>
            </w:r>
          </w:p>
        </w:tc>
        <w:tc>
          <w:tcPr>
            <w:tcW w:w="720" w:type="dxa"/>
            <w:tcBorders>
              <w:top w:val="nil"/>
              <w:left w:val="nil"/>
              <w:bottom w:val="nil"/>
              <w:right w:val="nil"/>
            </w:tcBorders>
            <w:vAlign w:val="center"/>
          </w:tcPr>
          <w:p w14:paraId="518B0C19"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KC343500</w:t>
            </w:r>
          </w:p>
        </w:tc>
        <w:tc>
          <w:tcPr>
            <w:tcW w:w="720" w:type="dxa"/>
            <w:tcBorders>
              <w:top w:val="nil"/>
              <w:left w:val="nil"/>
              <w:bottom w:val="nil"/>
              <w:right w:val="nil"/>
            </w:tcBorders>
            <w:vAlign w:val="center"/>
          </w:tcPr>
          <w:p w14:paraId="5E5BECF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43526218" w14:textId="77777777">
        <w:trPr>
          <w:trHeight w:val="528"/>
        </w:trPr>
        <w:tc>
          <w:tcPr>
            <w:tcW w:w="1137" w:type="dxa"/>
            <w:tcBorders>
              <w:top w:val="nil"/>
              <w:left w:val="nil"/>
              <w:bottom w:val="nil"/>
              <w:right w:val="nil"/>
            </w:tcBorders>
            <w:vAlign w:val="center"/>
          </w:tcPr>
          <w:p w14:paraId="7EC63DC2"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D. ampellina </w:t>
            </w:r>
          </w:p>
        </w:tc>
        <w:tc>
          <w:tcPr>
            <w:tcW w:w="837" w:type="dxa"/>
            <w:tcBorders>
              <w:top w:val="nil"/>
              <w:left w:val="nil"/>
              <w:bottom w:val="nil"/>
              <w:right w:val="nil"/>
            </w:tcBorders>
            <w:vAlign w:val="center"/>
          </w:tcPr>
          <w:p w14:paraId="163C2EB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D3</w:t>
            </w:r>
          </w:p>
        </w:tc>
        <w:tc>
          <w:tcPr>
            <w:tcW w:w="1014" w:type="dxa"/>
            <w:tcBorders>
              <w:top w:val="nil"/>
              <w:left w:val="nil"/>
              <w:bottom w:val="nil"/>
              <w:right w:val="nil"/>
            </w:tcBorders>
            <w:vAlign w:val="center"/>
          </w:tcPr>
          <w:p w14:paraId="1DD90A6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Italija </w:t>
            </w:r>
          </w:p>
        </w:tc>
        <w:tc>
          <w:tcPr>
            <w:tcW w:w="1046" w:type="dxa"/>
            <w:tcBorders>
              <w:top w:val="nil"/>
              <w:left w:val="nil"/>
              <w:bottom w:val="nil"/>
              <w:right w:val="nil"/>
            </w:tcBorders>
            <w:vAlign w:val="center"/>
          </w:tcPr>
          <w:p w14:paraId="2A710F26"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V. vinifera </w:t>
            </w:r>
          </w:p>
        </w:tc>
        <w:tc>
          <w:tcPr>
            <w:tcW w:w="836" w:type="dxa"/>
            <w:tcBorders>
              <w:top w:val="nil"/>
              <w:left w:val="nil"/>
              <w:bottom w:val="nil"/>
              <w:right w:val="nil"/>
            </w:tcBorders>
            <w:vAlign w:val="center"/>
          </w:tcPr>
          <w:p w14:paraId="4E5EF6B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2024</w:t>
            </w:r>
          </w:p>
        </w:tc>
        <w:tc>
          <w:tcPr>
            <w:tcW w:w="1120" w:type="dxa"/>
            <w:tcBorders>
              <w:top w:val="nil"/>
              <w:left w:val="nil"/>
              <w:bottom w:val="nil"/>
              <w:right w:val="nil"/>
            </w:tcBorders>
            <w:vAlign w:val="center"/>
          </w:tcPr>
          <w:p w14:paraId="2C2B1F5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Fedele</w:t>
            </w:r>
          </w:p>
        </w:tc>
        <w:tc>
          <w:tcPr>
            <w:tcW w:w="760" w:type="dxa"/>
            <w:tcBorders>
              <w:top w:val="nil"/>
              <w:left w:val="nil"/>
              <w:bottom w:val="nil"/>
              <w:right w:val="nil"/>
            </w:tcBorders>
            <w:vAlign w:val="center"/>
          </w:tcPr>
          <w:p w14:paraId="0D5D7505"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PP803042</w:t>
            </w:r>
          </w:p>
        </w:tc>
        <w:tc>
          <w:tcPr>
            <w:tcW w:w="900" w:type="dxa"/>
            <w:tcBorders>
              <w:top w:val="nil"/>
              <w:left w:val="nil"/>
              <w:bottom w:val="nil"/>
              <w:right w:val="nil"/>
            </w:tcBorders>
            <w:vAlign w:val="center"/>
          </w:tcPr>
          <w:p w14:paraId="555EE75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PP803706</w:t>
            </w:r>
          </w:p>
        </w:tc>
        <w:tc>
          <w:tcPr>
            <w:tcW w:w="810" w:type="dxa"/>
            <w:tcBorders>
              <w:top w:val="nil"/>
              <w:left w:val="nil"/>
              <w:bottom w:val="nil"/>
              <w:right w:val="nil"/>
            </w:tcBorders>
            <w:vAlign w:val="center"/>
          </w:tcPr>
          <w:p w14:paraId="34DD694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PP786210</w:t>
            </w:r>
          </w:p>
        </w:tc>
        <w:tc>
          <w:tcPr>
            <w:tcW w:w="720" w:type="dxa"/>
            <w:tcBorders>
              <w:top w:val="nil"/>
              <w:left w:val="nil"/>
              <w:bottom w:val="nil"/>
              <w:right w:val="nil"/>
            </w:tcBorders>
            <w:vAlign w:val="center"/>
          </w:tcPr>
          <w:p w14:paraId="2D1D2BA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PP803726</w:t>
            </w:r>
          </w:p>
        </w:tc>
        <w:tc>
          <w:tcPr>
            <w:tcW w:w="720" w:type="dxa"/>
            <w:tcBorders>
              <w:top w:val="nil"/>
              <w:left w:val="nil"/>
              <w:bottom w:val="nil"/>
              <w:right w:val="nil"/>
            </w:tcBorders>
            <w:vAlign w:val="center"/>
          </w:tcPr>
          <w:p w14:paraId="532165F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w:t>
            </w:r>
          </w:p>
        </w:tc>
      </w:tr>
      <w:tr w:rsidR="003801E8" w14:paraId="1249F17C" w14:textId="77777777">
        <w:trPr>
          <w:trHeight w:val="528"/>
        </w:trPr>
        <w:tc>
          <w:tcPr>
            <w:tcW w:w="1137" w:type="dxa"/>
            <w:tcBorders>
              <w:top w:val="nil"/>
              <w:left w:val="nil"/>
              <w:bottom w:val="nil"/>
              <w:right w:val="nil"/>
            </w:tcBorders>
            <w:vAlign w:val="center"/>
          </w:tcPr>
          <w:p w14:paraId="4A89FBA0"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D. ampellina </w:t>
            </w:r>
          </w:p>
        </w:tc>
        <w:tc>
          <w:tcPr>
            <w:tcW w:w="837" w:type="dxa"/>
            <w:tcBorders>
              <w:top w:val="nil"/>
              <w:left w:val="nil"/>
              <w:bottom w:val="nil"/>
              <w:right w:val="nil"/>
            </w:tcBorders>
            <w:vAlign w:val="center"/>
          </w:tcPr>
          <w:p w14:paraId="2A86F8D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PHO1</w:t>
            </w:r>
          </w:p>
        </w:tc>
        <w:tc>
          <w:tcPr>
            <w:tcW w:w="1014" w:type="dxa"/>
            <w:tcBorders>
              <w:top w:val="nil"/>
              <w:left w:val="nil"/>
              <w:bottom w:val="nil"/>
              <w:right w:val="nil"/>
            </w:tcBorders>
            <w:vAlign w:val="center"/>
          </w:tcPr>
          <w:p w14:paraId="170580D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Crna Gora </w:t>
            </w:r>
          </w:p>
        </w:tc>
        <w:tc>
          <w:tcPr>
            <w:tcW w:w="1046" w:type="dxa"/>
            <w:tcBorders>
              <w:top w:val="nil"/>
              <w:left w:val="nil"/>
              <w:bottom w:val="nil"/>
              <w:right w:val="nil"/>
            </w:tcBorders>
            <w:vAlign w:val="center"/>
          </w:tcPr>
          <w:p w14:paraId="492D6491"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V. vinifera </w:t>
            </w:r>
          </w:p>
        </w:tc>
        <w:tc>
          <w:tcPr>
            <w:tcW w:w="836" w:type="dxa"/>
            <w:tcBorders>
              <w:top w:val="nil"/>
              <w:left w:val="nil"/>
              <w:bottom w:val="nil"/>
              <w:right w:val="nil"/>
            </w:tcBorders>
            <w:vAlign w:val="center"/>
          </w:tcPr>
          <w:p w14:paraId="6D77F70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2024</w:t>
            </w:r>
          </w:p>
        </w:tc>
        <w:tc>
          <w:tcPr>
            <w:tcW w:w="1120" w:type="dxa"/>
            <w:tcBorders>
              <w:top w:val="nil"/>
              <w:left w:val="nil"/>
              <w:bottom w:val="nil"/>
              <w:right w:val="nil"/>
            </w:tcBorders>
            <w:vAlign w:val="center"/>
          </w:tcPr>
          <w:p w14:paraId="2E4D888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Fedele </w:t>
            </w:r>
          </w:p>
        </w:tc>
        <w:tc>
          <w:tcPr>
            <w:tcW w:w="760" w:type="dxa"/>
            <w:tcBorders>
              <w:top w:val="nil"/>
              <w:left w:val="nil"/>
              <w:bottom w:val="nil"/>
              <w:right w:val="nil"/>
            </w:tcBorders>
            <w:vAlign w:val="center"/>
          </w:tcPr>
          <w:p w14:paraId="6F7BCF4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PP803051</w:t>
            </w:r>
          </w:p>
        </w:tc>
        <w:tc>
          <w:tcPr>
            <w:tcW w:w="900" w:type="dxa"/>
            <w:tcBorders>
              <w:top w:val="nil"/>
              <w:left w:val="nil"/>
              <w:bottom w:val="nil"/>
              <w:right w:val="nil"/>
            </w:tcBorders>
            <w:vAlign w:val="center"/>
          </w:tcPr>
          <w:p w14:paraId="7BCCAD8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PP803715</w:t>
            </w:r>
          </w:p>
        </w:tc>
        <w:tc>
          <w:tcPr>
            <w:tcW w:w="810" w:type="dxa"/>
            <w:tcBorders>
              <w:top w:val="nil"/>
              <w:left w:val="nil"/>
              <w:bottom w:val="nil"/>
              <w:right w:val="nil"/>
            </w:tcBorders>
            <w:vAlign w:val="center"/>
          </w:tcPr>
          <w:p w14:paraId="7629743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PP786219</w:t>
            </w:r>
          </w:p>
        </w:tc>
        <w:tc>
          <w:tcPr>
            <w:tcW w:w="720" w:type="dxa"/>
            <w:tcBorders>
              <w:top w:val="nil"/>
              <w:left w:val="nil"/>
              <w:bottom w:val="nil"/>
              <w:right w:val="nil"/>
            </w:tcBorders>
            <w:vAlign w:val="center"/>
          </w:tcPr>
          <w:p w14:paraId="2F5B9AE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PP803735</w:t>
            </w:r>
          </w:p>
        </w:tc>
        <w:tc>
          <w:tcPr>
            <w:tcW w:w="720" w:type="dxa"/>
            <w:tcBorders>
              <w:top w:val="nil"/>
              <w:left w:val="nil"/>
              <w:bottom w:val="nil"/>
              <w:right w:val="nil"/>
            </w:tcBorders>
            <w:vAlign w:val="center"/>
          </w:tcPr>
          <w:p w14:paraId="68514ED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PP803695</w:t>
            </w:r>
          </w:p>
        </w:tc>
      </w:tr>
      <w:tr w:rsidR="003801E8" w14:paraId="770ED92F" w14:textId="77777777">
        <w:trPr>
          <w:trHeight w:val="528"/>
        </w:trPr>
        <w:tc>
          <w:tcPr>
            <w:tcW w:w="1137" w:type="dxa"/>
            <w:tcBorders>
              <w:top w:val="nil"/>
              <w:left w:val="nil"/>
              <w:bottom w:val="nil"/>
              <w:right w:val="nil"/>
            </w:tcBorders>
            <w:vAlign w:val="center"/>
          </w:tcPr>
          <w:p w14:paraId="39C1ED0D"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D. ampellina </w:t>
            </w:r>
          </w:p>
        </w:tc>
        <w:tc>
          <w:tcPr>
            <w:tcW w:w="837" w:type="dxa"/>
            <w:tcBorders>
              <w:top w:val="nil"/>
              <w:left w:val="nil"/>
              <w:bottom w:val="nil"/>
              <w:right w:val="nil"/>
            </w:tcBorders>
            <w:vAlign w:val="center"/>
          </w:tcPr>
          <w:p w14:paraId="5FAFDEB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PHO4</w:t>
            </w:r>
          </w:p>
        </w:tc>
        <w:tc>
          <w:tcPr>
            <w:tcW w:w="1014" w:type="dxa"/>
            <w:tcBorders>
              <w:top w:val="nil"/>
              <w:left w:val="nil"/>
              <w:bottom w:val="nil"/>
              <w:right w:val="nil"/>
            </w:tcBorders>
            <w:vAlign w:val="center"/>
          </w:tcPr>
          <w:p w14:paraId="790102C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Crna Gora </w:t>
            </w:r>
          </w:p>
        </w:tc>
        <w:tc>
          <w:tcPr>
            <w:tcW w:w="1046" w:type="dxa"/>
            <w:tcBorders>
              <w:top w:val="nil"/>
              <w:left w:val="nil"/>
              <w:bottom w:val="nil"/>
              <w:right w:val="nil"/>
            </w:tcBorders>
            <w:vAlign w:val="center"/>
          </w:tcPr>
          <w:p w14:paraId="36D376E3"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V. vinifera </w:t>
            </w:r>
          </w:p>
        </w:tc>
        <w:tc>
          <w:tcPr>
            <w:tcW w:w="836" w:type="dxa"/>
            <w:tcBorders>
              <w:top w:val="nil"/>
              <w:left w:val="nil"/>
              <w:bottom w:val="nil"/>
              <w:right w:val="nil"/>
            </w:tcBorders>
            <w:vAlign w:val="center"/>
          </w:tcPr>
          <w:p w14:paraId="6984B51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2024</w:t>
            </w:r>
          </w:p>
        </w:tc>
        <w:tc>
          <w:tcPr>
            <w:tcW w:w="1120" w:type="dxa"/>
            <w:tcBorders>
              <w:top w:val="nil"/>
              <w:left w:val="nil"/>
              <w:bottom w:val="nil"/>
              <w:right w:val="nil"/>
            </w:tcBorders>
            <w:vAlign w:val="center"/>
          </w:tcPr>
          <w:p w14:paraId="2324DA6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Fedele </w:t>
            </w:r>
          </w:p>
        </w:tc>
        <w:tc>
          <w:tcPr>
            <w:tcW w:w="760" w:type="dxa"/>
            <w:tcBorders>
              <w:top w:val="nil"/>
              <w:left w:val="nil"/>
              <w:bottom w:val="nil"/>
              <w:right w:val="nil"/>
            </w:tcBorders>
            <w:vAlign w:val="center"/>
          </w:tcPr>
          <w:p w14:paraId="57DC469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PP803054</w:t>
            </w:r>
          </w:p>
        </w:tc>
        <w:tc>
          <w:tcPr>
            <w:tcW w:w="900" w:type="dxa"/>
            <w:tcBorders>
              <w:top w:val="nil"/>
              <w:left w:val="nil"/>
              <w:bottom w:val="nil"/>
              <w:right w:val="nil"/>
            </w:tcBorders>
            <w:vAlign w:val="center"/>
          </w:tcPr>
          <w:p w14:paraId="388DC5A9"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PP803718</w:t>
            </w:r>
          </w:p>
        </w:tc>
        <w:tc>
          <w:tcPr>
            <w:tcW w:w="810" w:type="dxa"/>
            <w:tcBorders>
              <w:top w:val="nil"/>
              <w:left w:val="nil"/>
              <w:bottom w:val="nil"/>
              <w:right w:val="nil"/>
            </w:tcBorders>
            <w:vAlign w:val="center"/>
          </w:tcPr>
          <w:p w14:paraId="31E4A8F5"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PP786222</w:t>
            </w:r>
          </w:p>
        </w:tc>
        <w:tc>
          <w:tcPr>
            <w:tcW w:w="720" w:type="dxa"/>
            <w:tcBorders>
              <w:top w:val="nil"/>
              <w:left w:val="nil"/>
              <w:bottom w:val="nil"/>
              <w:right w:val="nil"/>
            </w:tcBorders>
            <w:vAlign w:val="center"/>
          </w:tcPr>
          <w:p w14:paraId="2C327A3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PP803738</w:t>
            </w:r>
          </w:p>
        </w:tc>
        <w:tc>
          <w:tcPr>
            <w:tcW w:w="720" w:type="dxa"/>
            <w:tcBorders>
              <w:top w:val="nil"/>
              <w:left w:val="nil"/>
              <w:bottom w:val="nil"/>
              <w:right w:val="nil"/>
            </w:tcBorders>
            <w:vAlign w:val="center"/>
          </w:tcPr>
          <w:p w14:paraId="2786BD0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PP803698</w:t>
            </w:r>
          </w:p>
        </w:tc>
      </w:tr>
      <w:tr w:rsidR="003801E8" w14:paraId="32166467" w14:textId="77777777">
        <w:trPr>
          <w:trHeight w:val="528"/>
        </w:trPr>
        <w:tc>
          <w:tcPr>
            <w:tcW w:w="1137" w:type="dxa"/>
            <w:tcBorders>
              <w:top w:val="nil"/>
              <w:left w:val="nil"/>
              <w:bottom w:val="nil"/>
              <w:right w:val="nil"/>
            </w:tcBorders>
            <w:vAlign w:val="center"/>
          </w:tcPr>
          <w:p w14:paraId="0FAED4E4"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D. eres</w:t>
            </w:r>
          </w:p>
        </w:tc>
        <w:tc>
          <w:tcPr>
            <w:tcW w:w="837" w:type="dxa"/>
            <w:tcBorders>
              <w:top w:val="nil"/>
              <w:left w:val="nil"/>
              <w:bottom w:val="nil"/>
              <w:right w:val="nil"/>
            </w:tcBorders>
            <w:vAlign w:val="center"/>
          </w:tcPr>
          <w:p w14:paraId="4129E93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AR5193</w:t>
            </w:r>
          </w:p>
        </w:tc>
        <w:tc>
          <w:tcPr>
            <w:tcW w:w="1014" w:type="dxa"/>
            <w:tcBorders>
              <w:top w:val="nil"/>
              <w:left w:val="nil"/>
              <w:bottom w:val="nil"/>
              <w:right w:val="nil"/>
            </w:tcBorders>
            <w:vAlign w:val="center"/>
          </w:tcPr>
          <w:p w14:paraId="7FE4101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Njemačka</w:t>
            </w:r>
          </w:p>
        </w:tc>
        <w:tc>
          <w:tcPr>
            <w:tcW w:w="1046" w:type="dxa"/>
            <w:tcBorders>
              <w:top w:val="nil"/>
              <w:left w:val="nil"/>
              <w:bottom w:val="nil"/>
              <w:right w:val="nil"/>
            </w:tcBorders>
            <w:vAlign w:val="center"/>
          </w:tcPr>
          <w:p w14:paraId="6B4AE00E"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V. vinifera </w:t>
            </w:r>
          </w:p>
        </w:tc>
        <w:tc>
          <w:tcPr>
            <w:tcW w:w="836" w:type="dxa"/>
            <w:tcBorders>
              <w:top w:val="nil"/>
              <w:left w:val="nil"/>
              <w:bottom w:val="nil"/>
              <w:right w:val="nil"/>
            </w:tcBorders>
            <w:vAlign w:val="center"/>
          </w:tcPr>
          <w:p w14:paraId="328269D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2014</w:t>
            </w:r>
          </w:p>
        </w:tc>
        <w:tc>
          <w:tcPr>
            <w:tcW w:w="1120" w:type="dxa"/>
            <w:tcBorders>
              <w:top w:val="nil"/>
              <w:left w:val="nil"/>
              <w:bottom w:val="nil"/>
              <w:right w:val="nil"/>
            </w:tcBorders>
            <w:vAlign w:val="center"/>
          </w:tcPr>
          <w:p w14:paraId="5023B84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Udayanga </w:t>
            </w:r>
          </w:p>
        </w:tc>
        <w:tc>
          <w:tcPr>
            <w:tcW w:w="760" w:type="dxa"/>
            <w:tcBorders>
              <w:top w:val="nil"/>
              <w:left w:val="nil"/>
              <w:bottom w:val="nil"/>
              <w:right w:val="nil"/>
            </w:tcBorders>
            <w:vAlign w:val="center"/>
          </w:tcPr>
          <w:p w14:paraId="0561146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KJ210529</w:t>
            </w:r>
          </w:p>
        </w:tc>
        <w:tc>
          <w:tcPr>
            <w:tcW w:w="900" w:type="dxa"/>
            <w:tcBorders>
              <w:top w:val="nil"/>
              <w:left w:val="nil"/>
              <w:bottom w:val="nil"/>
              <w:right w:val="nil"/>
            </w:tcBorders>
            <w:vAlign w:val="center"/>
          </w:tcPr>
          <w:p w14:paraId="78574A2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KJ210550</w:t>
            </w:r>
          </w:p>
        </w:tc>
        <w:tc>
          <w:tcPr>
            <w:tcW w:w="810" w:type="dxa"/>
            <w:tcBorders>
              <w:top w:val="nil"/>
              <w:left w:val="nil"/>
              <w:bottom w:val="nil"/>
              <w:right w:val="nil"/>
            </w:tcBorders>
            <w:vAlign w:val="center"/>
          </w:tcPr>
          <w:p w14:paraId="47C51C4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KJ420799</w:t>
            </w:r>
          </w:p>
        </w:tc>
        <w:tc>
          <w:tcPr>
            <w:tcW w:w="720" w:type="dxa"/>
            <w:tcBorders>
              <w:top w:val="nil"/>
              <w:left w:val="nil"/>
              <w:bottom w:val="nil"/>
              <w:right w:val="nil"/>
            </w:tcBorders>
            <w:vAlign w:val="center"/>
          </w:tcPr>
          <w:p w14:paraId="6FDB974D"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KJ420850</w:t>
            </w:r>
          </w:p>
        </w:tc>
        <w:tc>
          <w:tcPr>
            <w:tcW w:w="720" w:type="dxa"/>
            <w:tcBorders>
              <w:top w:val="nil"/>
              <w:left w:val="nil"/>
              <w:bottom w:val="nil"/>
              <w:right w:val="nil"/>
            </w:tcBorders>
            <w:vAlign w:val="center"/>
          </w:tcPr>
          <w:p w14:paraId="5648634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KJ434999</w:t>
            </w:r>
          </w:p>
        </w:tc>
      </w:tr>
      <w:tr w:rsidR="003801E8" w14:paraId="6EED1CEA" w14:textId="77777777">
        <w:trPr>
          <w:trHeight w:val="792"/>
        </w:trPr>
        <w:tc>
          <w:tcPr>
            <w:tcW w:w="1137" w:type="dxa"/>
            <w:tcBorders>
              <w:top w:val="nil"/>
              <w:left w:val="nil"/>
              <w:bottom w:val="nil"/>
              <w:right w:val="nil"/>
            </w:tcBorders>
            <w:vAlign w:val="center"/>
          </w:tcPr>
          <w:p w14:paraId="20169EAF"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D. eres</w:t>
            </w:r>
          </w:p>
        </w:tc>
        <w:tc>
          <w:tcPr>
            <w:tcW w:w="837" w:type="dxa"/>
            <w:tcBorders>
              <w:top w:val="nil"/>
              <w:left w:val="nil"/>
              <w:bottom w:val="nil"/>
              <w:right w:val="nil"/>
            </w:tcBorders>
            <w:vAlign w:val="center"/>
          </w:tcPr>
          <w:p w14:paraId="1ED25C3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PVFi-M149</w:t>
            </w:r>
          </w:p>
        </w:tc>
        <w:tc>
          <w:tcPr>
            <w:tcW w:w="1014" w:type="dxa"/>
            <w:tcBorders>
              <w:top w:val="nil"/>
              <w:left w:val="nil"/>
              <w:bottom w:val="nil"/>
              <w:right w:val="nil"/>
            </w:tcBorders>
            <w:vAlign w:val="center"/>
          </w:tcPr>
          <w:p w14:paraId="07279B9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Italija </w:t>
            </w:r>
          </w:p>
        </w:tc>
        <w:tc>
          <w:tcPr>
            <w:tcW w:w="1046" w:type="dxa"/>
            <w:tcBorders>
              <w:top w:val="nil"/>
              <w:left w:val="nil"/>
              <w:bottom w:val="nil"/>
              <w:right w:val="nil"/>
            </w:tcBorders>
            <w:vAlign w:val="center"/>
          </w:tcPr>
          <w:p w14:paraId="1589D1BF"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V. vinifera </w:t>
            </w:r>
          </w:p>
        </w:tc>
        <w:tc>
          <w:tcPr>
            <w:tcW w:w="836" w:type="dxa"/>
            <w:tcBorders>
              <w:top w:val="nil"/>
              <w:left w:val="nil"/>
              <w:bottom w:val="nil"/>
              <w:right w:val="nil"/>
            </w:tcBorders>
            <w:vAlign w:val="center"/>
          </w:tcPr>
          <w:p w14:paraId="63403B9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2016</w:t>
            </w:r>
          </w:p>
        </w:tc>
        <w:tc>
          <w:tcPr>
            <w:tcW w:w="1120" w:type="dxa"/>
            <w:tcBorders>
              <w:top w:val="nil"/>
              <w:left w:val="nil"/>
              <w:bottom w:val="nil"/>
              <w:right w:val="nil"/>
            </w:tcBorders>
            <w:vAlign w:val="center"/>
          </w:tcPr>
          <w:p w14:paraId="323AFA5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Cinelli </w:t>
            </w:r>
          </w:p>
        </w:tc>
        <w:tc>
          <w:tcPr>
            <w:tcW w:w="760" w:type="dxa"/>
            <w:tcBorders>
              <w:top w:val="nil"/>
              <w:left w:val="nil"/>
              <w:bottom w:val="nil"/>
              <w:right w:val="nil"/>
            </w:tcBorders>
            <w:vAlign w:val="center"/>
          </w:tcPr>
          <w:p w14:paraId="1BA246A1"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KT369109</w:t>
            </w:r>
          </w:p>
        </w:tc>
        <w:tc>
          <w:tcPr>
            <w:tcW w:w="900" w:type="dxa"/>
            <w:tcBorders>
              <w:top w:val="nil"/>
              <w:left w:val="nil"/>
              <w:bottom w:val="nil"/>
              <w:right w:val="nil"/>
            </w:tcBorders>
            <w:vAlign w:val="center"/>
          </w:tcPr>
          <w:p w14:paraId="3B7C475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KT369111</w:t>
            </w:r>
          </w:p>
        </w:tc>
        <w:tc>
          <w:tcPr>
            <w:tcW w:w="810" w:type="dxa"/>
            <w:tcBorders>
              <w:top w:val="nil"/>
              <w:left w:val="nil"/>
              <w:bottom w:val="nil"/>
              <w:right w:val="nil"/>
            </w:tcBorders>
            <w:vAlign w:val="center"/>
          </w:tcPr>
          <w:p w14:paraId="29CA691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KT369113</w:t>
            </w:r>
          </w:p>
        </w:tc>
        <w:tc>
          <w:tcPr>
            <w:tcW w:w="720" w:type="dxa"/>
            <w:tcBorders>
              <w:top w:val="nil"/>
              <w:left w:val="nil"/>
              <w:bottom w:val="nil"/>
              <w:right w:val="nil"/>
            </w:tcBorders>
            <w:vAlign w:val="center"/>
          </w:tcPr>
          <w:p w14:paraId="552E7AE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MG281379</w:t>
            </w:r>
          </w:p>
        </w:tc>
        <w:tc>
          <w:tcPr>
            <w:tcW w:w="720" w:type="dxa"/>
            <w:tcBorders>
              <w:top w:val="nil"/>
              <w:left w:val="nil"/>
              <w:bottom w:val="nil"/>
              <w:right w:val="nil"/>
            </w:tcBorders>
            <w:vAlign w:val="center"/>
          </w:tcPr>
          <w:p w14:paraId="732F0C0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MG281728</w:t>
            </w:r>
          </w:p>
        </w:tc>
      </w:tr>
      <w:tr w:rsidR="003801E8" w14:paraId="554ED4FE" w14:textId="77777777">
        <w:trPr>
          <w:trHeight w:val="528"/>
        </w:trPr>
        <w:tc>
          <w:tcPr>
            <w:tcW w:w="1137" w:type="dxa"/>
            <w:tcBorders>
              <w:top w:val="nil"/>
              <w:left w:val="nil"/>
              <w:bottom w:val="nil"/>
              <w:right w:val="nil"/>
            </w:tcBorders>
            <w:vAlign w:val="center"/>
          </w:tcPr>
          <w:p w14:paraId="197B3C04"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D. eres</w:t>
            </w:r>
          </w:p>
        </w:tc>
        <w:tc>
          <w:tcPr>
            <w:tcW w:w="837" w:type="dxa"/>
            <w:tcBorders>
              <w:top w:val="nil"/>
              <w:left w:val="nil"/>
              <w:bottom w:val="nil"/>
              <w:right w:val="nil"/>
            </w:tcBorders>
            <w:vAlign w:val="center"/>
          </w:tcPr>
          <w:p w14:paraId="27BA146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D22</w:t>
            </w:r>
          </w:p>
        </w:tc>
        <w:tc>
          <w:tcPr>
            <w:tcW w:w="1014" w:type="dxa"/>
            <w:tcBorders>
              <w:top w:val="nil"/>
              <w:left w:val="nil"/>
              <w:bottom w:val="nil"/>
              <w:right w:val="nil"/>
            </w:tcBorders>
            <w:vAlign w:val="center"/>
          </w:tcPr>
          <w:p w14:paraId="28AEBBE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Italija </w:t>
            </w:r>
          </w:p>
        </w:tc>
        <w:tc>
          <w:tcPr>
            <w:tcW w:w="1046" w:type="dxa"/>
            <w:tcBorders>
              <w:top w:val="nil"/>
              <w:left w:val="nil"/>
              <w:bottom w:val="nil"/>
              <w:right w:val="nil"/>
            </w:tcBorders>
            <w:vAlign w:val="center"/>
          </w:tcPr>
          <w:p w14:paraId="526B044D"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V. vinifera </w:t>
            </w:r>
          </w:p>
        </w:tc>
        <w:tc>
          <w:tcPr>
            <w:tcW w:w="836" w:type="dxa"/>
            <w:tcBorders>
              <w:top w:val="nil"/>
              <w:left w:val="nil"/>
              <w:bottom w:val="nil"/>
              <w:right w:val="nil"/>
            </w:tcBorders>
            <w:vAlign w:val="center"/>
          </w:tcPr>
          <w:p w14:paraId="6E90DC1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2024</w:t>
            </w:r>
          </w:p>
        </w:tc>
        <w:tc>
          <w:tcPr>
            <w:tcW w:w="1120" w:type="dxa"/>
            <w:tcBorders>
              <w:top w:val="nil"/>
              <w:left w:val="nil"/>
              <w:bottom w:val="nil"/>
              <w:right w:val="nil"/>
            </w:tcBorders>
            <w:vAlign w:val="center"/>
          </w:tcPr>
          <w:p w14:paraId="4657F0D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Fedele </w:t>
            </w:r>
          </w:p>
        </w:tc>
        <w:tc>
          <w:tcPr>
            <w:tcW w:w="760" w:type="dxa"/>
            <w:tcBorders>
              <w:top w:val="nil"/>
              <w:left w:val="nil"/>
              <w:bottom w:val="nil"/>
              <w:right w:val="nil"/>
            </w:tcBorders>
            <w:vAlign w:val="center"/>
          </w:tcPr>
          <w:p w14:paraId="36C0230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PP803048</w:t>
            </w:r>
          </w:p>
        </w:tc>
        <w:tc>
          <w:tcPr>
            <w:tcW w:w="900" w:type="dxa"/>
            <w:tcBorders>
              <w:top w:val="nil"/>
              <w:left w:val="nil"/>
              <w:bottom w:val="nil"/>
              <w:right w:val="nil"/>
            </w:tcBorders>
            <w:vAlign w:val="center"/>
          </w:tcPr>
          <w:p w14:paraId="040CAE1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PP803712</w:t>
            </w:r>
          </w:p>
        </w:tc>
        <w:tc>
          <w:tcPr>
            <w:tcW w:w="810" w:type="dxa"/>
            <w:tcBorders>
              <w:top w:val="nil"/>
              <w:left w:val="nil"/>
              <w:bottom w:val="nil"/>
              <w:right w:val="nil"/>
            </w:tcBorders>
            <w:vAlign w:val="center"/>
          </w:tcPr>
          <w:p w14:paraId="757F8D6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PP786216</w:t>
            </w:r>
          </w:p>
        </w:tc>
        <w:tc>
          <w:tcPr>
            <w:tcW w:w="720" w:type="dxa"/>
            <w:tcBorders>
              <w:top w:val="nil"/>
              <w:left w:val="nil"/>
              <w:bottom w:val="nil"/>
              <w:right w:val="nil"/>
            </w:tcBorders>
            <w:vAlign w:val="center"/>
          </w:tcPr>
          <w:p w14:paraId="3961B67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PP803732</w:t>
            </w:r>
          </w:p>
        </w:tc>
        <w:tc>
          <w:tcPr>
            <w:tcW w:w="720" w:type="dxa"/>
            <w:tcBorders>
              <w:top w:val="nil"/>
              <w:left w:val="nil"/>
              <w:bottom w:val="nil"/>
              <w:right w:val="nil"/>
            </w:tcBorders>
            <w:vAlign w:val="center"/>
          </w:tcPr>
          <w:p w14:paraId="74A0BBB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PP803693</w:t>
            </w:r>
          </w:p>
        </w:tc>
      </w:tr>
      <w:tr w:rsidR="003801E8" w14:paraId="5EECC6A9" w14:textId="77777777">
        <w:trPr>
          <w:trHeight w:val="288"/>
        </w:trPr>
        <w:tc>
          <w:tcPr>
            <w:tcW w:w="1137" w:type="dxa"/>
            <w:tcBorders>
              <w:top w:val="nil"/>
              <w:left w:val="nil"/>
              <w:bottom w:val="nil"/>
              <w:right w:val="nil"/>
            </w:tcBorders>
            <w:vAlign w:val="center"/>
          </w:tcPr>
          <w:p w14:paraId="4C4DE904"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D. eres</w:t>
            </w:r>
          </w:p>
        </w:tc>
        <w:tc>
          <w:tcPr>
            <w:tcW w:w="837" w:type="dxa"/>
            <w:tcBorders>
              <w:top w:val="nil"/>
              <w:left w:val="nil"/>
              <w:bottom w:val="nil"/>
              <w:right w:val="nil"/>
            </w:tcBorders>
            <w:vAlign w:val="center"/>
          </w:tcPr>
          <w:p w14:paraId="63F1290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MN001</w:t>
            </w:r>
          </w:p>
        </w:tc>
        <w:tc>
          <w:tcPr>
            <w:tcW w:w="1014" w:type="dxa"/>
            <w:tcBorders>
              <w:top w:val="nil"/>
              <w:left w:val="nil"/>
              <w:bottom w:val="nil"/>
              <w:right w:val="nil"/>
            </w:tcBorders>
            <w:vAlign w:val="center"/>
          </w:tcPr>
          <w:p w14:paraId="35BECA1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Crna Gora </w:t>
            </w:r>
          </w:p>
        </w:tc>
        <w:tc>
          <w:tcPr>
            <w:tcW w:w="1046" w:type="dxa"/>
            <w:tcBorders>
              <w:top w:val="nil"/>
              <w:left w:val="nil"/>
              <w:bottom w:val="nil"/>
              <w:right w:val="nil"/>
            </w:tcBorders>
            <w:vAlign w:val="center"/>
          </w:tcPr>
          <w:p w14:paraId="735B3C60"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 xml:space="preserve">V. vinifera </w:t>
            </w:r>
          </w:p>
        </w:tc>
        <w:tc>
          <w:tcPr>
            <w:tcW w:w="836" w:type="dxa"/>
            <w:tcBorders>
              <w:top w:val="nil"/>
              <w:left w:val="nil"/>
              <w:bottom w:val="nil"/>
              <w:right w:val="nil"/>
            </w:tcBorders>
            <w:vAlign w:val="center"/>
          </w:tcPr>
          <w:p w14:paraId="0E282A4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2023</w:t>
            </w:r>
          </w:p>
        </w:tc>
        <w:tc>
          <w:tcPr>
            <w:tcW w:w="1120" w:type="dxa"/>
            <w:tcBorders>
              <w:top w:val="nil"/>
              <w:left w:val="nil"/>
              <w:bottom w:val="nil"/>
              <w:right w:val="nil"/>
            </w:tcBorders>
            <w:vAlign w:val="center"/>
          </w:tcPr>
          <w:p w14:paraId="35EAEC4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Kandić</w:t>
            </w:r>
          </w:p>
        </w:tc>
        <w:tc>
          <w:tcPr>
            <w:tcW w:w="760" w:type="dxa"/>
            <w:tcBorders>
              <w:top w:val="nil"/>
              <w:left w:val="nil"/>
              <w:bottom w:val="nil"/>
              <w:right w:val="nil"/>
            </w:tcBorders>
            <w:vAlign w:val="center"/>
          </w:tcPr>
          <w:p w14:paraId="1077AE7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PQ865493</w:t>
            </w:r>
          </w:p>
        </w:tc>
        <w:tc>
          <w:tcPr>
            <w:tcW w:w="900" w:type="dxa"/>
            <w:tcBorders>
              <w:top w:val="nil"/>
              <w:left w:val="nil"/>
              <w:bottom w:val="nil"/>
              <w:right w:val="nil"/>
            </w:tcBorders>
            <w:vAlign w:val="center"/>
          </w:tcPr>
          <w:p w14:paraId="5A6C23E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PX766072</w:t>
            </w:r>
          </w:p>
        </w:tc>
        <w:tc>
          <w:tcPr>
            <w:tcW w:w="810" w:type="dxa"/>
            <w:tcBorders>
              <w:top w:val="nil"/>
              <w:left w:val="nil"/>
              <w:bottom w:val="nil"/>
              <w:right w:val="nil"/>
            </w:tcBorders>
            <w:vAlign w:val="center"/>
          </w:tcPr>
          <w:p w14:paraId="01AA429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PX766073</w:t>
            </w:r>
          </w:p>
        </w:tc>
        <w:tc>
          <w:tcPr>
            <w:tcW w:w="720" w:type="dxa"/>
            <w:tcBorders>
              <w:top w:val="nil"/>
              <w:left w:val="nil"/>
              <w:bottom w:val="nil"/>
              <w:right w:val="nil"/>
            </w:tcBorders>
            <w:vAlign w:val="center"/>
          </w:tcPr>
          <w:p w14:paraId="7BCA57E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PX766071</w:t>
            </w:r>
          </w:p>
        </w:tc>
        <w:tc>
          <w:tcPr>
            <w:tcW w:w="720" w:type="dxa"/>
            <w:tcBorders>
              <w:top w:val="nil"/>
              <w:left w:val="nil"/>
              <w:bottom w:val="nil"/>
              <w:right w:val="nil"/>
            </w:tcBorders>
            <w:vAlign w:val="center"/>
          </w:tcPr>
          <w:p w14:paraId="1C9A1A3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PX766070</w:t>
            </w:r>
          </w:p>
        </w:tc>
      </w:tr>
      <w:tr w:rsidR="003801E8" w14:paraId="28D319FB" w14:textId="77777777">
        <w:trPr>
          <w:trHeight w:val="792"/>
        </w:trPr>
        <w:tc>
          <w:tcPr>
            <w:tcW w:w="1137" w:type="dxa"/>
            <w:tcBorders>
              <w:top w:val="nil"/>
              <w:left w:val="nil"/>
              <w:bottom w:val="single" w:sz="4" w:space="0" w:color="auto"/>
              <w:right w:val="nil"/>
            </w:tcBorders>
            <w:vAlign w:val="center"/>
          </w:tcPr>
          <w:p w14:paraId="3C8E25F3"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D. foeniculacea</w:t>
            </w:r>
          </w:p>
        </w:tc>
        <w:tc>
          <w:tcPr>
            <w:tcW w:w="837" w:type="dxa"/>
            <w:tcBorders>
              <w:top w:val="nil"/>
              <w:left w:val="nil"/>
              <w:bottom w:val="single" w:sz="4" w:space="0" w:color="auto"/>
              <w:right w:val="nil"/>
            </w:tcBorders>
            <w:vAlign w:val="center"/>
          </w:tcPr>
          <w:p w14:paraId="3452ABF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CBS 187.27 </w:t>
            </w:r>
          </w:p>
        </w:tc>
        <w:tc>
          <w:tcPr>
            <w:tcW w:w="1014" w:type="dxa"/>
            <w:tcBorders>
              <w:top w:val="nil"/>
              <w:left w:val="nil"/>
              <w:bottom w:val="single" w:sz="4" w:space="0" w:color="auto"/>
              <w:right w:val="nil"/>
            </w:tcBorders>
            <w:vAlign w:val="center"/>
          </w:tcPr>
          <w:p w14:paraId="629C615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Italija </w:t>
            </w:r>
          </w:p>
        </w:tc>
        <w:tc>
          <w:tcPr>
            <w:tcW w:w="1046" w:type="dxa"/>
            <w:tcBorders>
              <w:top w:val="nil"/>
              <w:left w:val="nil"/>
              <w:bottom w:val="single" w:sz="4" w:space="0" w:color="auto"/>
              <w:right w:val="nil"/>
            </w:tcBorders>
            <w:vAlign w:val="center"/>
          </w:tcPr>
          <w:p w14:paraId="244F70C5" w14:textId="77777777" w:rsidR="003801E8" w:rsidRDefault="00E44AAE">
            <w:pPr>
              <w:spacing w:after="0" w:line="240" w:lineRule="auto"/>
              <w:jc w:val="center"/>
              <w:rPr>
                <w:rFonts w:ascii="Book Antiqua" w:eastAsia="Times New Roman" w:hAnsi="Book Antiqua" w:cs="Calibri"/>
                <w:i/>
                <w:iCs/>
                <w:color w:val="000000"/>
                <w:sz w:val="18"/>
                <w:szCs w:val="18"/>
                <w:lang w:val="en-US"/>
              </w:rPr>
            </w:pPr>
            <w:r>
              <w:rPr>
                <w:rFonts w:ascii="Book Antiqua" w:eastAsia="Times New Roman" w:hAnsi="Book Antiqua" w:cs="Calibri"/>
                <w:i/>
                <w:iCs/>
                <w:color w:val="000000"/>
                <w:sz w:val="18"/>
                <w:szCs w:val="18"/>
                <w:lang w:val="en-US"/>
              </w:rPr>
              <w:t>Camellia sinensis</w:t>
            </w:r>
          </w:p>
        </w:tc>
        <w:tc>
          <w:tcPr>
            <w:tcW w:w="836" w:type="dxa"/>
            <w:tcBorders>
              <w:top w:val="nil"/>
              <w:left w:val="nil"/>
              <w:bottom w:val="single" w:sz="4" w:space="0" w:color="auto"/>
              <w:right w:val="nil"/>
            </w:tcBorders>
            <w:vAlign w:val="center"/>
          </w:tcPr>
          <w:p w14:paraId="16A5FC7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2012</w:t>
            </w:r>
          </w:p>
        </w:tc>
        <w:tc>
          <w:tcPr>
            <w:tcW w:w="1120" w:type="dxa"/>
            <w:tcBorders>
              <w:top w:val="nil"/>
              <w:left w:val="nil"/>
              <w:bottom w:val="single" w:sz="4" w:space="0" w:color="auto"/>
              <w:right w:val="nil"/>
            </w:tcBorders>
            <w:vAlign w:val="center"/>
          </w:tcPr>
          <w:p w14:paraId="78D29B2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 xml:space="preserve">Gomes </w:t>
            </w:r>
          </w:p>
        </w:tc>
        <w:tc>
          <w:tcPr>
            <w:tcW w:w="760" w:type="dxa"/>
            <w:tcBorders>
              <w:top w:val="nil"/>
              <w:left w:val="nil"/>
              <w:bottom w:val="single" w:sz="4" w:space="0" w:color="auto"/>
              <w:right w:val="nil"/>
            </w:tcBorders>
            <w:vAlign w:val="center"/>
          </w:tcPr>
          <w:p w14:paraId="4297C731" w14:textId="77777777" w:rsidR="003801E8" w:rsidRDefault="00E44AAE">
            <w:pPr>
              <w:spacing w:after="0" w:line="240" w:lineRule="auto"/>
              <w:jc w:val="center"/>
              <w:rPr>
                <w:rFonts w:ascii="Book Antiqua" w:eastAsia="Times New Roman" w:hAnsi="Book Antiqua" w:cs="Calibri"/>
                <w:b/>
                <w:bCs/>
                <w:sz w:val="18"/>
                <w:szCs w:val="18"/>
                <w:lang w:val="en-US"/>
              </w:rPr>
            </w:pPr>
            <w:hyperlink r:id="rId11" w:history="1">
              <w:r>
                <w:rPr>
                  <w:rFonts w:ascii="Book Antiqua" w:eastAsia="Times New Roman" w:hAnsi="Book Antiqua" w:cs="Calibri"/>
                  <w:b/>
                  <w:bCs/>
                  <w:sz w:val="18"/>
                  <w:szCs w:val="18"/>
                  <w:lang w:val="en-US"/>
                </w:rPr>
                <w:t>KC343107</w:t>
              </w:r>
            </w:hyperlink>
          </w:p>
        </w:tc>
        <w:tc>
          <w:tcPr>
            <w:tcW w:w="900" w:type="dxa"/>
            <w:tcBorders>
              <w:top w:val="nil"/>
              <w:left w:val="nil"/>
              <w:bottom w:val="single" w:sz="4" w:space="0" w:color="auto"/>
              <w:right w:val="nil"/>
            </w:tcBorders>
            <w:vAlign w:val="center"/>
          </w:tcPr>
          <w:p w14:paraId="53C18555" w14:textId="77777777" w:rsidR="003801E8" w:rsidRDefault="00E44AAE">
            <w:pPr>
              <w:spacing w:after="0" w:line="240" w:lineRule="auto"/>
              <w:jc w:val="center"/>
              <w:rPr>
                <w:rFonts w:ascii="Book Antiqua" w:eastAsia="Times New Roman" w:hAnsi="Book Antiqua" w:cs="Calibri"/>
                <w:b/>
                <w:bCs/>
                <w:sz w:val="18"/>
                <w:szCs w:val="18"/>
                <w:lang w:val="en-US"/>
              </w:rPr>
            </w:pPr>
            <w:hyperlink r:id="rId12" w:history="1">
              <w:r>
                <w:rPr>
                  <w:rFonts w:ascii="Book Antiqua" w:eastAsia="Times New Roman" w:hAnsi="Book Antiqua" w:cs="Calibri"/>
                  <w:b/>
                  <w:bCs/>
                  <w:sz w:val="18"/>
                  <w:szCs w:val="18"/>
                  <w:lang w:val="en-US"/>
                </w:rPr>
                <w:t>KC343833</w:t>
              </w:r>
            </w:hyperlink>
          </w:p>
        </w:tc>
        <w:tc>
          <w:tcPr>
            <w:tcW w:w="810" w:type="dxa"/>
            <w:tcBorders>
              <w:top w:val="nil"/>
              <w:left w:val="nil"/>
              <w:bottom w:val="single" w:sz="4" w:space="0" w:color="auto"/>
              <w:right w:val="nil"/>
            </w:tcBorders>
            <w:vAlign w:val="center"/>
          </w:tcPr>
          <w:p w14:paraId="4224E240" w14:textId="77777777" w:rsidR="003801E8" w:rsidRDefault="00E44AAE">
            <w:pPr>
              <w:rPr>
                <w:rFonts w:ascii="Book Antiqua" w:hAnsi="Book Antiqua" w:cs="Calibri"/>
                <w:b/>
                <w:bCs/>
                <w:sz w:val="18"/>
                <w:szCs w:val="18"/>
              </w:rPr>
            </w:pPr>
            <w:hyperlink r:id="rId13" w:history="1">
              <w:r>
                <w:rPr>
                  <w:rStyle w:val="Hyperlink"/>
                  <w:rFonts w:ascii="Book Antiqua" w:hAnsi="Book Antiqua" w:cs="Calibri"/>
                  <w:b/>
                  <w:bCs/>
                  <w:color w:val="auto"/>
                  <w:sz w:val="18"/>
                  <w:szCs w:val="18"/>
                  <w:u w:val="none"/>
                </w:rPr>
                <w:t>KC344075</w:t>
              </w:r>
            </w:hyperlink>
          </w:p>
          <w:p w14:paraId="1C0878F5" w14:textId="77777777" w:rsidR="003801E8" w:rsidRDefault="003801E8">
            <w:pPr>
              <w:spacing w:after="0" w:line="240" w:lineRule="auto"/>
              <w:jc w:val="center"/>
              <w:rPr>
                <w:rFonts w:ascii="Book Antiqua" w:eastAsia="Times New Roman" w:hAnsi="Book Antiqua" w:cs="Calibri"/>
                <w:b/>
                <w:bCs/>
                <w:sz w:val="18"/>
                <w:szCs w:val="18"/>
                <w:lang w:val="en-US"/>
              </w:rPr>
            </w:pPr>
          </w:p>
        </w:tc>
        <w:tc>
          <w:tcPr>
            <w:tcW w:w="720" w:type="dxa"/>
            <w:tcBorders>
              <w:top w:val="nil"/>
              <w:left w:val="nil"/>
              <w:bottom w:val="single" w:sz="4" w:space="0" w:color="auto"/>
              <w:right w:val="nil"/>
            </w:tcBorders>
            <w:vAlign w:val="center"/>
          </w:tcPr>
          <w:p w14:paraId="0C152254" w14:textId="77777777" w:rsidR="003801E8" w:rsidRDefault="00E44AAE">
            <w:pPr>
              <w:spacing w:after="0" w:line="240" w:lineRule="auto"/>
              <w:jc w:val="center"/>
              <w:rPr>
                <w:rFonts w:ascii="Book Antiqua" w:eastAsia="Times New Roman" w:hAnsi="Book Antiqua" w:cs="Calibri"/>
                <w:b/>
                <w:bCs/>
                <w:sz w:val="18"/>
                <w:szCs w:val="18"/>
                <w:lang w:val="en-US"/>
              </w:rPr>
            </w:pPr>
            <w:r>
              <w:rPr>
                <w:rFonts w:ascii="Book Antiqua" w:eastAsia="Times New Roman" w:hAnsi="Book Antiqua" w:cs="Calibri"/>
                <w:b/>
                <w:bCs/>
                <w:sz w:val="18"/>
                <w:szCs w:val="18"/>
                <w:lang w:val="en-US"/>
              </w:rPr>
              <w:t xml:space="preserve"> KC343591</w:t>
            </w:r>
          </w:p>
        </w:tc>
        <w:tc>
          <w:tcPr>
            <w:tcW w:w="720" w:type="dxa"/>
            <w:tcBorders>
              <w:top w:val="nil"/>
              <w:left w:val="nil"/>
              <w:bottom w:val="single" w:sz="4" w:space="0" w:color="auto"/>
              <w:right w:val="nil"/>
            </w:tcBorders>
            <w:vAlign w:val="center"/>
          </w:tcPr>
          <w:p w14:paraId="21D2A365" w14:textId="77777777" w:rsidR="003801E8" w:rsidRDefault="00E44AAE">
            <w:pPr>
              <w:spacing w:after="0" w:line="240" w:lineRule="auto"/>
              <w:jc w:val="center"/>
              <w:rPr>
                <w:rFonts w:ascii="Book Antiqua" w:eastAsia="Times New Roman" w:hAnsi="Book Antiqua" w:cs="Calibri"/>
                <w:sz w:val="18"/>
                <w:szCs w:val="18"/>
                <w:lang w:val="en-US"/>
              </w:rPr>
            </w:pPr>
            <w:r>
              <w:rPr>
                <w:rFonts w:ascii="Book Antiqua" w:eastAsia="Times New Roman" w:hAnsi="Book Antiqua" w:cs="Calibri"/>
                <w:sz w:val="18"/>
                <w:szCs w:val="18"/>
                <w:lang w:val="en-US"/>
              </w:rPr>
              <w:t>-</w:t>
            </w:r>
          </w:p>
        </w:tc>
      </w:tr>
    </w:tbl>
    <w:p w14:paraId="4598862E" w14:textId="77777777" w:rsidR="003801E8" w:rsidRDefault="003801E8">
      <w:pPr>
        <w:spacing w:after="160" w:line="360" w:lineRule="auto"/>
        <w:jc w:val="both"/>
        <w:rPr>
          <w:rFonts w:ascii="Book Antiqua" w:hAnsi="Book Antiqua" w:cs="Times New Roman"/>
          <w:bCs/>
          <w:kern w:val="2"/>
          <w:sz w:val="22"/>
          <w:szCs w:val="22"/>
          <w:lang w:eastAsia="sr-Latn-ME"/>
        </w:rPr>
      </w:pPr>
    </w:p>
    <w:p w14:paraId="07605DF1" w14:textId="77777777" w:rsidR="003801E8" w:rsidRDefault="003801E8">
      <w:pPr>
        <w:spacing w:after="160" w:line="360" w:lineRule="auto"/>
        <w:jc w:val="both"/>
        <w:rPr>
          <w:rFonts w:ascii="Book Antiqua" w:hAnsi="Book Antiqua" w:cs="Times New Roman"/>
          <w:bCs/>
          <w:kern w:val="2"/>
          <w:sz w:val="22"/>
          <w:szCs w:val="22"/>
          <w:lang w:eastAsia="sr-Latn-ME"/>
        </w:rPr>
      </w:pPr>
    </w:p>
    <w:p w14:paraId="1700A81E" w14:textId="77777777" w:rsidR="003801E8" w:rsidRDefault="003801E8">
      <w:pPr>
        <w:spacing w:after="160" w:line="360" w:lineRule="auto"/>
        <w:jc w:val="both"/>
        <w:rPr>
          <w:rFonts w:ascii="Book Antiqua" w:hAnsi="Book Antiqua" w:cs="Times New Roman"/>
          <w:bCs/>
          <w:kern w:val="2"/>
          <w:sz w:val="22"/>
          <w:szCs w:val="22"/>
          <w:lang w:eastAsia="sr-Latn-ME"/>
        </w:rPr>
      </w:pPr>
    </w:p>
    <w:p w14:paraId="0F3E37E8" w14:textId="77777777" w:rsidR="003801E8" w:rsidRDefault="003801E8">
      <w:pPr>
        <w:spacing w:after="160" w:line="360" w:lineRule="auto"/>
        <w:jc w:val="both"/>
        <w:rPr>
          <w:rFonts w:ascii="Book Antiqua" w:hAnsi="Book Antiqua" w:cs="Times New Roman"/>
          <w:bCs/>
          <w:kern w:val="2"/>
          <w:sz w:val="22"/>
          <w:szCs w:val="22"/>
          <w:lang w:eastAsia="sr-Latn-ME"/>
        </w:rPr>
      </w:pPr>
    </w:p>
    <w:p w14:paraId="60F36AD0" w14:textId="77777777" w:rsidR="003801E8" w:rsidRDefault="003801E8">
      <w:pPr>
        <w:spacing w:after="160" w:line="360" w:lineRule="auto"/>
        <w:jc w:val="both"/>
        <w:rPr>
          <w:rFonts w:ascii="Book Antiqua" w:hAnsi="Book Antiqua" w:cs="Times New Roman"/>
          <w:bCs/>
          <w:kern w:val="2"/>
          <w:sz w:val="22"/>
          <w:szCs w:val="22"/>
          <w:lang w:eastAsia="sr-Latn-ME"/>
        </w:rPr>
      </w:pPr>
    </w:p>
    <w:p w14:paraId="75559BDB" w14:textId="77777777" w:rsidR="003801E8" w:rsidRDefault="003801E8">
      <w:pPr>
        <w:spacing w:after="160" w:line="360" w:lineRule="auto"/>
        <w:jc w:val="both"/>
        <w:rPr>
          <w:rFonts w:ascii="Book Antiqua" w:hAnsi="Book Antiqua" w:cs="Times New Roman"/>
          <w:bCs/>
          <w:kern w:val="2"/>
          <w:sz w:val="22"/>
          <w:szCs w:val="22"/>
          <w:lang w:eastAsia="sr-Latn-ME"/>
        </w:rPr>
      </w:pPr>
    </w:p>
    <w:p w14:paraId="704908C8" w14:textId="77777777" w:rsidR="003801E8" w:rsidRDefault="003801E8">
      <w:pPr>
        <w:spacing w:after="160" w:line="360" w:lineRule="auto"/>
        <w:jc w:val="both"/>
        <w:rPr>
          <w:rFonts w:ascii="Book Antiqua" w:hAnsi="Book Antiqua" w:cs="Times New Roman"/>
          <w:b/>
          <w:bCs/>
          <w:sz w:val="24"/>
          <w:szCs w:val="24"/>
        </w:rPr>
      </w:pPr>
    </w:p>
    <w:p w14:paraId="3CE2D3F9" w14:textId="77777777" w:rsidR="003801E8" w:rsidRDefault="00E44AAE">
      <w:pPr>
        <w:spacing w:after="160" w:line="360" w:lineRule="auto"/>
        <w:jc w:val="both"/>
        <w:rPr>
          <w:rFonts w:ascii="Book Antiqua" w:hAnsi="Book Antiqua" w:cs="Times New Roman"/>
          <w:b/>
          <w:bCs/>
          <w:i/>
          <w:iCs/>
          <w:kern w:val="2"/>
          <w:sz w:val="24"/>
          <w:szCs w:val="24"/>
          <w:lang w:val="en-US" w:eastAsia="sr-Latn-ME"/>
        </w:rPr>
      </w:pPr>
      <w:r>
        <w:rPr>
          <w:rFonts w:ascii="Book Antiqua" w:hAnsi="Book Antiqua" w:cs="Times New Roman"/>
          <w:b/>
          <w:bCs/>
          <w:sz w:val="24"/>
          <w:szCs w:val="24"/>
        </w:rPr>
        <w:lastRenderedPageBreak/>
        <w:t xml:space="preserve">4.5 </w:t>
      </w:r>
      <w:r>
        <w:rPr>
          <w:rFonts w:ascii="Book Antiqua" w:hAnsi="Book Antiqua" w:cs="Times New Roman"/>
          <w:b/>
          <w:bCs/>
          <w:iCs/>
          <w:sz w:val="24"/>
          <w:szCs w:val="24"/>
        </w:rPr>
        <w:t>Razvoj i morfološke karakteristike izolovanih mikroorganizama</w:t>
      </w:r>
      <w:r>
        <w:rPr>
          <w:rFonts w:ascii="Book Antiqua" w:hAnsi="Book Antiqua" w:cs="Times New Roman"/>
          <w:b/>
          <w:bCs/>
          <w:i/>
          <w:iCs/>
          <w:kern w:val="2"/>
          <w:sz w:val="24"/>
          <w:szCs w:val="24"/>
          <w:lang w:val="en-US" w:eastAsia="sr-Latn-ME"/>
        </w:rPr>
        <w:t xml:space="preserve"> </w:t>
      </w:r>
    </w:p>
    <w:p w14:paraId="64EABFE9"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 xml:space="preserve">Morfološka karakterizacija i brzina porasta ispitivanih izolata fitopatogenih gljiva, obavljena su nakon 24 i 48 sati, odnosno nakon 10 i 20 dana od zasijavanja. Ispitivani izolati su zasijani micelijskim fragmentom prečnika 5 mm i inkubirani na KDA u termostatu na 24°C. Srednja vrednost prečnika kolonije dobijena je mjerenjem dva  uporedna prečnika za svaku koloniju. Prosječan dnevni porast kolonije izračunavan je prema formuli datoj od </w:t>
      </w:r>
      <w:r>
        <w:rPr>
          <w:rFonts w:ascii="Book Antiqua" w:hAnsi="Book Antiqua" w:cs="Times New Roman"/>
          <w:b/>
          <w:kern w:val="2"/>
          <w:sz w:val="24"/>
          <w:szCs w:val="24"/>
          <w:lang w:val="en-US" w:eastAsia="sr-Latn-ME"/>
        </w:rPr>
        <w:t>Brasier &amp; Weber (1987</w:t>
      </w:r>
      <w:r>
        <w:rPr>
          <w:rFonts w:ascii="Book Antiqua" w:hAnsi="Book Antiqua" w:cs="Times New Roman"/>
          <w:bCs/>
          <w:kern w:val="2"/>
          <w:sz w:val="24"/>
          <w:szCs w:val="24"/>
          <w:lang w:val="en-US" w:eastAsia="sr-Latn-ME"/>
        </w:rPr>
        <w:t xml:space="preserve">): (D1-D2)/(T1-T2) gdje su D1 i D2 prečnici kolonije (izraženi u milimetrima), nakon prvog odnosno poslednjeg mjerenja, a T1 i T2 dani protekli od zasijavanja do prvog odnosno poslednjeg mjerenja. Mjerenje svakog izolata rađeno je u šest ponavljanja. </w:t>
      </w:r>
    </w:p>
    <w:p w14:paraId="1CD1404A"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 xml:space="preserve">Opisana je specifična boja i izgled kolonije, kao i oblik i veličina sporonosnih organa patogena. U cilju morfološkog opisa sporonosnih organa izolata gljiva iz roda </w:t>
      </w:r>
      <w:r>
        <w:rPr>
          <w:rFonts w:ascii="Book Antiqua" w:hAnsi="Book Antiqua" w:cs="Times New Roman"/>
          <w:bCs/>
          <w:i/>
          <w:iCs/>
          <w:kern w:val="2"/>
          <w:sz w:val="24"/>
          <w:szCs w:val="24"/>
          <w:lang w:val="en-US" w:eastAsia="sr-Latn-ME"/>
        </w:rPr>
        <w:t>Botryosphaeria,</w:t>
      </w:r>
      <w:r>
        <w:rPr>
          <w:rFonts w:ascii="Book Antiqua" w:hAnsi="Book Antiqua" w:cs="Times New Roman"/>
          <w:bCs/>
          <w:kern w:val="2"/>
          <w:sz w:val="24"/>
          <w:szCs w:val="24"/>
          <w:lang w:val="en-US" w:eastAsia="sr-Latn-ME"/>
        </w:rPr>
        <w:t xml:space="preserve"> postavljeni su fragmenti micelije (5 mm) proučavanih izolata u Petri kutije na vodeni agar sa borovim iglicama (</w:t>
      </w:r>
      <w:r>
        <w:rPr>
          <w:rFonts w:ascii="Book Antiqua" w:hAnsi="Book Antiqua" w:cs="Times New Roman"/>
          <w:bCs/>
          <w:i/>
          <w:iCs/>
          <w:kern w:val="2"/>
          <w:sz w:val="24"/>
          <w:szCs w:val="24"/>
          <w:lang w:val="en-US" w:eastAsia="sr-Latn-ME"/>
        </w:rPr>
        <w:t xml:space="preserve">Pinus </w:t>
      </w:r>
      <w:r>
        <w:rPr>
          <w:rFonts w:ascii="Book Antiqua" w:hAnsi="Book Antiqua" w:cs="Times New Roman"/>
          <w:bCs/>
          <w:kern w:val="2"/>
          <w:sz w:val="24"/>
          <w:szCs w:val="24"/>
          <w:lang w:val="en-US" w:eastAsia="sr-Latn-ME"/>
        </w:rPr>
        <w:t>spp). Petri kutije su inkubirane u termostatu na 24°C. Mikroskopiranje i fotografisanje konidija i piknida obavljeno je pomoću stereo lupe (Zeiss Discovery 8) i mikroskopa (Zeiss Axioskop 2).</w:t>
      </w:r>
    </w:p>
    <w:p w14:paraId="229C06EA" w14:textId="77777777" w:rsidR="003801E8" w:rsidRDefault="003801E8">
      <w:pPr>
        <w:spacing w:after="160" w:line="360" w:lineRule="auto"/>
        <w:jc w:val="both"/>
        <w:rPr>
          <w:rFonts w:ascii="Book Antiqua" w:hAnsi="Book Antiqua" w:cs="Times New Roman"/>
          <w:bCs/>
          <w:kern w:val="2"/>
          <w:sz w:val="24"/>
          <w:szCs w:val="24"/>
          <w:lang w:val="en-US" w:eastAsia="sr-Latn-ME"/>
        </w:rPr>
      </w:pPr>
    </w:p>
    <w:p w14:paraId="56C2030B" w14:textId="77777777" w:rsidR="003801E8" w:rsidRDefault="003801E8">
      <w:pPr>
        <w:spacing w:after="160" w:line="360" w:lineRule="auto"/>
        <w:jc w:val="both"/>
        <w:rPr>
          <w:rFonts w:ascii="Book Antiqua" w:hAnsi="Book Antiqua" w:cs="Times New Roman"/>
          <w:bCs/>
          <w:kern w:val="2"/>
          <w:sz w:val="24"/>
          <w:szCs w:val="24"/>
          <w:lang w:val="en-US" w:eastAsia="sr-Latn-ME"/>
        </w:rPr>
      </w:pPr>
    </w:p>
    <w:p w14:paraId="6BFB9423" w14:textId="77777777" w:rsidR="003801E8" w:rsidRDefault="003801E8">
      <w:pPr>
        <w:spacing w:after="160" w:line="360" w:lineRule="auto"/>
        <w:jc w:val="both"/>
        <w:rPr>
          <w:rFonts w:ascii="Book Antiqua" w:hAnsi="Book Antiqua" w:cs="Times New Roman"/>
          <w:bCs/>
          <w:kern w:val="2"/>
          <w:sz w:val="24"/>
          <w:szCs w:val="24"/>
          <w:lang w:val="en-US" w:eastAsia="sr-Latn-ME"/>
        </w:rPr>
      </w:pPr>
    </w:p>
    <w:p w14:paraId="2D6EE612" w14:textId="77777777" w:rsidR="003801E8" w:rsidRDefault="003801E8">
      <w:pPr>
        <w:spacing w:after="160" w:line="360" w:lineRule="auto"/>
        <w:jc w:val="both"/>
        <w:rPr>
          <w:rFonts w:ascii="Book Antiqua" w:hAnsi="Book Antiqua" w:cs="Times New Roman"/>
          <w:bCs/>
          <w:kern w:val="2"/>
          <w:sz w:val="24"/>
          <w:szCs w:val="24"/>
          <w:lang w:val="en-US" w:eastAsia="sr-Latn-ME"/>
        </w:rPr>
      </w:pPr>
    </w:p>
    <w:p w14:paraId="127D14FD" w14:textId="77777777" w:rsidR="003801E8" w:rsidRDefault="003801E8">
      <w:pPr>
        <w:spacing w:after="160" w:line="360" w:lineRule="auto"/>
        <w:jc w:val="both"/>
        <w:rPr>
          <w:rFonts w:ascii="Book Antiqua" w:hAnsi="Book Antiqua" w:cs="Times New Roman"/>
          <w:bCs/>
          <w:kern w:val="2"/>
          <w:sz w:val="24"/>
          <w:szCs w:val="24"/>
          <w:lang w:val="en-US" w:eastAsia="sr-Latn-ME"/>
        </w:rPr>
      </w:pPr>
    </w:p>
    <w:p w14:paraId="639AD638" w14:textId="77777777" w:rsidR="003801E8" w:rsidRDefault="003801E8">
      <w:pPr>
        <w:spacing w:after="160" w:line="360" w:lineRule="auto"/>
        <w:jc w:val="both"/>
        <w:rPr>
          <w:rFonts w:ascii="Book Antiqua" w:hAnsi="Book Antiqua" w:cs="Times New Roman"/>
          <w:bCs/>
          <w:kern w:val="2"/>
          <w:sz w:val="24"/>
          <w:szCs w:val="24"/>
          <w:lang w:val="en-US" w:eastAsia="sr-Latn-ME"/>
        </w:rPr>
      </w:pPr>
    </w:p>
    <w:p w14:paraId="461917E8" w14:textId="77777777" w:rsidR="003801E8" w:rsidRDefault="003801E8">
      <w:pPr>
        <w:spacing w:after="160" w:line="360" w:lineRule="auto"/>
        <w:jc w:val="both"/>
        <w:rPr>
          <w:rFonts w:ascii="Book Antiqua" w:hAnsi="Book Antiqua" w:cs="Times New Roman"/>
          <w:bCs/>
          <w:kern w:val="2"/>
          <w:sz w:val="24"/>
          <w:szCs w:val="24"/>
          <w:lang w:val="en-US" w:eastAsia="sr-Latn-ME"/>
        </w:rPr>
      </w:pPr>
    </w:p>
    <w:p w14:paraId="4BB6F8E5" w14:textId="77777777" w:rsidR="003801E8" w:rsidRDefault="003801E8">
      <w:pPr>
        <w:spacing w:after="160" w:line="360" w:lineRule="auto"/>
        <w:jc w:val="both"/>
        <w:rPr>
          <w:rFonts w:ascii="Book Antiqua" w:hAnsi="Book Antiqua" w:cs="Times New Roman"/>
          <w:b/>
          <w:kern w:val="2"/>
          <w:sz w:val="24"/>
          <w:szCs w:val="24"/>
          <w:lang w:val="en-US" w:eastAsia="sr-Latn-ME"/>
        </w:rPr>
      </w:pPr>
    </w:p>
    <w:p w14:paraId="45774C52" w14:textId="77777777" w:rsidR="003801E8" w:rsidRDefault="00E44AAE">
      <w:pPr>
        <w:spacing w:after="160" w:line="360" w:lineRule="auto"/>
        <w:jc w:val="both"/>
        <w:rPr>
          <w:rFonts w:ascii="Book Antiqua" w:hAnsi="Book Antiqua" w:cs="Times New Roman"/>
          <w:b/>
          <w:i/>
          <w:iCs/>
          <w:kern w:val="2"/>
          <w:sz w:val="24"/>
          <w:szCs w:val="24"/>
          <w:lang w:val="en-US" w:eastAsia="sr-Latn-ME"/>
        </w:rPr>
      </w:pPr>
      <w:r>
        <w:rPr>
          <w:rFonts w:ascii="Book Antiqua" w:hAnsi="Book Antiqua" w:cs="Times New Roman"/>
          <w:b/>
          <w:kern w:val="2"/>
          <w:sz w:val="24"/>
          <w:szCs w:val="24"/>
          <w:lang w:val="en-US" w:eastAsia="sr-Latn-ME"/>
        </w:rPr>
        <w:lastRenderedPageBreak/>
        <w:t xml:space="preserve">4.6 </w:t>
      </w:r>
      <w:r>
        <w:rPr>
          <w:rFonts w:ascii="Book Antiqua" w:hAnsi="Book Antiqua" w:cs="Times New Roman"/>
          <w:b/>
          <w:iCs/>
          <w:kern w:val="2"/>
          <w:sz w:val="24"/>
          <w:szCs w:val="24"/>
          <w:lang w:val="en-US" w:eastAsia="sr-Latn-ME"/>
        </w:rPr>
        <w:t xml:space="preserve">Test patogenosti </w:t>
      </w:r>
    </w:p>
    <w:p w14:paraId="0CB7CB8C"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Provjera patogenosti dva odabrana izolata koja se literaturno povezuju sa eska oboljenjem izvedena je u fitopatološkoj laboratoriji Biotehničkog fakulteta u Podgorici na biljkama vinove loze autohtone sorte Vranac. Tokom februara 2023. godine koristeći sterilan supstrat, posađene su sadnice vinove loze  u saksije zapremine 3 litre. Eksperimentalne biljke su uzgajane u plasteniku pri temperaturi 26-28°C i relativnoj vlažnosti vazduha 60-70%. D</w:t>
      </w:r>
      <w:r>
        <w:rPr>
          <w:rFonts w:ascii="Book Antiqua" w:hAnsi="Book Antiqua" w:cs="Times New Roman"/>
          <w:bCs/>
          <w:kern w:val="2"/>
          <w:sz w:val="24"/>
          <w:szCs w:val="24"/>
          <w:lang w:eastAsia="sr-Latn-ME"/>
        </w:rPr>
        <w:t>užina</w:t>
      </w:r>
      <w:r>
        <w:rPr>
          <w:rFonts w:ascii="Book Antiqua" w:hAnsi="Book Antiqua" w:cs="Times New Roman"/>
          <w:bCs/>
          <w:kern w:val="2"/>
          <w:sz w:val="24"/>
          <w:szCs w:val="24"/>
          <w:lang w:val="en-US" w:eastAsia="sr-Latn-ME"/>
        </w:rPr>
        <w:t xml:space="preserve"> lastara u trenutku inokulacije iznosila je 100-120 cm sa prosječnom debljinom u bazalnom dijelu 7-9 mm. </w:t>
      </w:r>
    </w:p>
    <w:p w14:paraId="0208609A"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 xml:space="preserve">Prema metodi opisanoj od strane </w:t>
      </w:r>
      <w:r>
        <w:rPr>
          <w:rFonts w:ascii="Book Antiqua" w:hAnsi="Book Antiqua" w:cs="Times New Roman"/>
          <w:b/>
          <w:kern w:val="2"/>
          <w:sz w:val="24"/>
          <w:szCs w:val="24"/>
          <w:lang w:val="en-US" w:eastAsia="sr-Latn-ME"/>
        </w:rPr>
        <w:t>Feliciano et al. (2004)</w:t>
      </w:r>
      <w:r>
        <w:rPr>
          <w:rFonts w:ascii="Book Antiqua" w:hAnsi="Book Antiqua" w:cs="Times New Roman"/>
          <w:bCs/>
          <w:kern w:val="2"/>
          <w:sz w:val="24"/>
          <w:szCs w:val="24"/>
          <w:lang w:val="en-US" w:eastAsia="sr-Latn-ME"/>
        </w:rPr>
        <w:t xml:space="preserve"> na lastaru je sterilnim makazama napravljen presjek. Na mjestu presjeka lastari su inokulisani sa fitopatogenim gljivama </w:t>
      </w:r>
      <w:r>
        <w:rPr>
          <w:rFonts w:ascii="Book Antiqua" w:hAnsi="Book Antiqua" w:cs="Times New Roman"/>
          <w:bCs/>
          <w:i/>
          <w:iCs/>
          <w:kern w:val="2"/>
          <w:sz w:val="24"/>
          <w:szCs w:val="24"/>
          <w:lang w:val="en-US" w:eastAsia="sr-Latn-ME"/>
        </w:rPr>
        <w:t xml:space="preserve">P. minimum </w:t>
      </w:r>
      <w:r>
        <w:rPr>
          <w:rFonts w:ascii="Book Antiqua" w:hAnsi="Book Antiqua" w:cs="Times New Roman"/>
          <w:bCs/>
          <w:kern w:val="2"/>
          <w:sz w:val="24"/>
          <w:szCs w:val="24"/>
          <w:lang w:val="en-US" w:eastAsia="sr-Latn-ME"/>
        </w:rPr>
        <w:t>i</w:t>
      </w:r>
      <w:r>
        <w:rPr>
          <w:rFonts w:ascii="Book Antiqua" w:hAnsi="Book Antiqua" w:cs="Times New Roman"/>
          <w:bCs/>
          <w:i/>
          <w:iCs/>
          <w:kern w:val="2"/>
          <w:sz w:val="24"/>
          <w:szCs w:val="24"/>
          <w:lang w:val="en-US" w:eastAsia="sr-Latn-ME"/>
        </w:rPr>
        <w:t xml:space="preserve"> P</w:t>
      </w:r>
      <w:r>
        <w:rPr>
          <w:rFonts w:ascii="Book Antiqua" w:hAnsi="Book Antiqua" w:cs="Times New Roman"/>
          <w:bCs/>
          <w:kern w:val="2"/>
          <w:sz w:val="24"/>
          <w:szCs w:val="24"/>
          <w:lang w:val="en-US" w:eastAsia="sr-Latn-ME"/>
        </w:rPr>
        <w:t>.</w:t>
      </w:r>
      <w:r>
        <w:rPr>
          <w:rFonts w:ascii="Book Antiqua" w:hAnsi="Book Antiqua" w:cs="Times New Roman"/>
          <w:bCs/>
          <w:i/>
          <w:iCs/>
          <w:kern w:val="2"/>
          <w:sz w:val="24"/>
          <w:szCs w:val="24"/>
          <w:lang w:val="en-US" w:eastAsia="sr-Latn-ME"/>
        </w:rPr>
        <w:t xml:space="preserve"> chlamydospora </w:t>
      </w:r>
      <w:r>
        <w:rPr>
          <w:rFonts w:ascii="Book Antiqua" w:hAnsi="Book Antiqua" w:cs="Times New Roman"/>
          <w:bCs/>
          <w:kern w:val="2"/>
          <w:sz w:val="24"/>
          <w:szCs w:val="24"/>
          <w:lang w:val="en-US" w:eastAsia="sr-Latn-ME"/>
        </w:rPr>
        <w:t>koristeći 0,1 ml suspenzije spora (koncentracije 10</w:t>
      </w:r>
      <w:r>
        <w:rPr>
          <w:rFonts w:ascii="Cambria Math" w:hAnsi="Cambria Math" w:cs="Cambria Math"/>
          <w:bCs/>
          <w:kern w:val="2"/>
          <w:sz w:val="24"/>
          <w:szCs w:val="24"/>
          <w:lang w:val="en-US" w:eastAsia="sr-Latn-ME"/>
        </w:rPr>
        <w:t>⁶ spora/ml</w:t>
      </w:r>
      <w:r>
        <w:rPr>
          <w:rFonts w:ascii="Book Antiqua" w:hAnsi="Book Antiqua" w:cs="Times New Roman"/>
          <w:bCs/>
          <w:kern w:val="2"/>
          <w:sz w:val="24"/>
          <w:szCs w:val="24"/>
          <w:lang w:val="en-US" w:eastAsia="sr-Latn-ME"/>
        </w:rPr>
        <w:t>)</w:t>
      </w:r>
      <w:r>
        <w:rPr>
          <w:rFonts w:ascii="Book Antiqua" w:hAnsi="Book Antiqua" w:cs="Times New Roman"/>
          <w:bCs/>
          <w:i/>
          <w:iCs/>
          <w:kern w:val="2"/>
          <w:sz w:val="24"/>
          <w:szCs w:val="24"/>
          <w:lang w:val="en-US" w:eastAsia="sr-Latn-ME"/>
        </w:rPr>
        <w:t xml:space="preserve">. </w:t>
      </w:r>
      <w:r>
        <w:rPr>
          <w:rFonts w:ascii="Book Antiqua" w:hAnsi="Book Antiqua" w:cs="Times New Roman"/>
          <w:bCs/>
          <w:kern w:val="2"/>
          <w:sz w:val="24"/>
          <w:szCs w:val="24"/>
          <w:lang w:val="en-US" w:eastAsia="sr-Latn-ME"/>
        </w:rPr>
        <w:t>Za inokulaciju su korišćeni izolati pod šiframa MN002 (</w:t>
      </w:r>
      <w:r>
        <w:rPr>
          <w:rFonts w:ascii="Book Antiqua" w:hAnsi="Book Antiqua" w:cs="Times New Roman"/>
          <w:bCs/>
          <w:i/>
          <w:iCs/>
          <w:kern w:val="2"/>
          <w:sz w:val="24"/>
          <w:szCs w:val="24"/>
          <w:lang w:val="en-US" w:eastAsia="sr-Latn-ME"/>
        </w:rPr>
        <w:t>P. minimum</w:t>
      </w:r>
      <w:r>
        <w:rPr>
          <w:rFonts w:ascii="Book Antiqua" w:hAnsi="Book Antiqua" w:cs="Times New Roman"/>
          <w:bCs/>
          <w:kern w:val="2"/>
          <w:sz w:val="24"/>
          <w:szCs w:val="24"/>
          <w:lang w:val="en-US" w:eastAsia="sr-Latn-ME"/>
        </w:rPr>
        <w:t>) i MN011</w:t>
      </w:r>
      <w:r>
        <w:rPr>
          <w:rFonts w:ascii="Book Antiqua" w:hAnsi="Book Antiqua" w:cs="Times New Roman"/>
          <w:bCs/>
          <w:i/>
          <w:iCs/>
          <w:kern w:val="2"/>
          <w:sz w:val="24"/>
          <w:szCs w:val="24"/>
          <w:lang w:val="en-US" w:eastAsia="sr-Latn-ME"/>
        </w:rPr>
        <w:t xml:space="preserve"> </w:t>
      </w:r>
      <w:r>
        <w:rPr>
          <w:rFonts w:ascii="Book Antiqua" w:hAnsi="Book Antiqua" w:cs="Times New Roman"/>
          <w:bCs/>
          <w:kern w:val="2"/>
          <w:sz w:val="24"/>
          <w:szCs w:val="24"/>
          <w:lang w:val="en-US" w:eastAsia="sr-Latn-ME"/>
        </w:rPr>
        <w:t>(</w:t>
      </w:r>
      <w:r>
        <w:rPr>
          <w:rFonts w:ascii="Book Antiqua" w:hAnsi="Book Antiqua" w:cs="Times New Roman"/>
          <w:bCs/>
          <w:i/>
          <w:iCs/>
          <w:kern w:val="2"/>
          <w:sz w:val="24"/>
          <w:szCs w:val="24"/>
          <w:lang w:val="en-US" w:eastAsia="sr-Latn-ME"/>
        </w:rPr>
        <w:t>P. chlamydospora</w:t>
      </w:r>
      <w:r>
        <w:rPr>
          <w:rFonts w:ascii="Book Antiqua" w:hAnsi="Book Antiqua" w:cs="Times New Roman"/>
          <w:bCs/>
          <w:kern w:val="2"/>
          <w:sz w:val="24"/>
          <w:szCs w:val="24"/>
          <w:lang w:val="en-US" w:eastAsia="sr-Latn-ME"/>
        </w:rPr>
        <w:t xml:space="preserve">). Kao negativna kontrola korišćene su biljke inokulisane sterilnom destilovanom vodom. </w:t>
      </w:r>
    </w:p>
    <w:p w14:paraId="166EA3E7"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 xml:space="preserve">Sedam mjeseci nakon inokulacije, prema </w:t>
      </w:r>
      <w:r>
        <w:rPr>
          <w:rFonts w:ascii="Book Antiqua" w:hAnsi="Book Antiqua" w:cs="Times New Roman"/>
          <w:b/>
          <w:kern w:val="2"/>
          <w:sz w:val="24"/>
          <w:szCs w:val="24"/>
          <w:lang w:val="en-US" w:eastAsia="sr-Latn-ME"/>
        </w:rPr>
        <w:t>Sofia (2018)</w:t>
      </w:r>
      <w:r>
        <w:rPr>
          <w:rFonts w:ascii="Book Antiqua" w:hAnsi="Book Antiqua" w:cs="Times New Roman"/>
          <w:bCs/>
          <w:kern w:val="2"/>
          <w:sz w:val="24"/>
          <w:szCs w:val="24"/>
          <w:lang w:val="en-US" w:eastAsia="sr-Latn-ME"/>
        </w:rPr>
        <w:t xml:space="preserve"> inokulisani lastari su orezani i isprani pod mlazom tekuće vode, a zatim potopljeni u 1,5% rastvor natrijum hipohlorita. Nakon toga svaki lastar je sterilnim makazama uzdužno presiječen i pregledan na prisustvo uzdužnih lezija, pri čemu je obavljeno njihovo mjerenje. U cilju reizolacije patogena, u zoni svake lezije prikupljeno je šest fragmenata drveta koji su sterilisani u 1,5% natrijum hipohloritu u trajanju od 1 minuta, 30 sekundi u 70% etanolu, a zatim dvostruko isprani u sterilnoj destilovanoj vodi. Nakon sušenja na sterilnom filter papiru svaki fragment je podijeljen na četiri dijela i postavljen na KDA. Petri kutije umotane parafilmom i inkubirane u termostatu na 24 C°. Provjera uspješnosti reizolacije je obavljena nakon 7, 10 i 15  dana. Zabilježen je procenat reizolacije, a razlike u patogenosti ispitivanih izolata su utvrđene procjenom dužine nekroze sprovodnih sudova. </w:t>
      </w:r>
    </w:p>
    <w:p w14:paraId="2D9291FD" w14:textId="77777777" w:rsidR="003801E8" w:rsidRDefault="003801E8">
      <w:pPr>
        <w:spacing w:after="160" w:line="360" w:lineRule="auto"/>
        <w:jc w:val="both"/>
        <w:rPr>
          <w:rFonts w:ascii="Book Antiqua" w:hAnsi="Book Antiqua" w:cs="Times New Roman"/>
          <w:bCs/>
          <w:kern w:val="2"/>
          <w:sz w:val="24"/>
          <w:szCs w:val="24"/>
          <w:lang w:val="en-US" w:eastAsia="sr-Latn-ME"/>
        </w:rPr>
      </w:pPr>
    </w:p>
    <w:p w14:paraId="6AF762CF" w14:textId="77777777" w:rsidR="003801E8" w:rsidRDefault="00E44AAE">
      <w:pPr>
        <w:spacing w:after="160" w:line="360" w:lineRule="auto"/>
        <w:jc w:val="both"/>
        <w:rPr>
          <w:rFonts w:ascii="Book Antiqua" w:hAnsi="Book Antiqua" w:cs="Times New Roman"/>
          <w:b/>
          <w:iCs/>
          <w:kern w:val="2"/>
          <w:sz w:val="24"/>
          <w:szCs w:val="24"/>
          <w:lang w:val="en-US" w:eastAsia="sr-Latn-ME"/>
        </w:rPr>
      </w:pPr>
      <w:r>
        <w:rPr>
          <w:rFonts w:ascii="Book Antiqua" w:hAnsi="Book Antiqua" w:cs="Times New Roman"/>
          <w:b/>
          <w:kern w:val="2"/>
          <w:sz w:val="24"/>
          <w:szCs w:val="24"/>
          <w:lang w:val="en-US" w:eastAsia="sr-Latn-ME"/>
        </w:rPr>
        <w:lastRenderedPageBreak/>
        <w:t xml:space="preserve">4.7 </w:t>
      </w:r>
      <w:r>
        <w:rPr>
          <w:rFonts w:ascii="Book Antiqua" w:hAnsi="Book Antiqua" w:cs="Times New Roman"/>
          <w:b/>
          <w:iCs/>
          <w:kern w:val="2"/>
          <w:sz w:val="24"/>
          <w:szCs w:val="24"/>
          <w:lang w:val="en-US" w:eastAsia="sr-Latn-ME"/>
        </w:rPr>
        <w:t xml:space="preserve">Direktni </w:t>
      </w:r>
      <w:r>
        <w:rPr>
          <w:rFonts w:ascii="Book Antiqua" w:hAnsi="Book Antiqua" w:cs="Times New Roman"/>
          <w:b/>
          <w:i/>
          <w:iCs/>
          <w:kern w:val="2"/>
          <w:sz w:val="24"/>
          <w:szCs w:val="24"/>
          <w:lang w:val="en-US" w:eastAsia="sr-Latn-ME"/>
        </w:rPr>
        <w:t>in vitro</w:t>
      </w:r>
      <w:r>
        <w:rPr>
          <w:rFonts w:ascii="Book Antiqua" w:hAnsi="Book Antiqua" w:cs="Times New Roman"/>
          <w:b/>
          <w:iCs/>
          <w:kern w:val="2"/>
          <w:sz w:val="24"/>
          <w:szCs w:val="24"/>
          <w:lang w:val="en-US" w:eastAsia="sr-Latn-ME"/>
        </w:rPr>
        <w:t xml:space="preserve"> test</w:t>
      </w:r>
      <w:r>
        <w:rPr>
          <w:rFonts w:ascii="Book Antiqua" w:hAnsi="Book Antiqua" w:cs="Times New Roman"/>
          <w:b/>
          <w:i/>
          <w:iCs/>
          <w:kern w:val="2"/>
          <w:sz w:val="24"/>
          <w:szCs w:val="24"/>
          <w:lang w:val="en-US" w:eastAsia="sr-Latn-ME"/>
        </w:rPr>
        <w:t xml:space="preserve"> T. citrinoviride </w:t>
      </w:r>
      <w:r>
        <w:rPr>
          <w:rFonts w:ascii="Book Antiqua" w:hAnsi="Book Antiqua" w:cs="Times New Roman"/>
          <w:b/>
          <w:kern w:val="2"/>
          <w:sz w:val="24"/>
          <w:szCs w:val="24"/>
          <w:lang w:val="en-US" w:eastAsia="sr-Latn-ME"/>
        </w:rPr>
        <w:t>T-CG</w:t>
      </w:r>
      <w:r>
        <w:rPr>
          <w:rFonts w:ascii="Book Antiqua" w:hAnsi="Book Antiqua" w:cs="Times New Roman"/>
          <w:b/>
          <w:iCs/>
          <w:kern w:val="2"/>
          <w:sz w:val="24"/>
          <w:szCs w:val="24"/>
          <w:lang w:val="en-US" w:eastAsia="sr-Latn-ME"/>
        </w:rPr>
        <w:t xml:space="preserve"> i</w:t>
      </w:r>
      <w:r>
        <w:rPr>
          <w:rFonts w:ascii="Book Antiqua" w:hAnsi="Book Antiqua" w:cs="Times New Roman"/>
          <w:b/>
          <w:i/>
          <w:iCs/>
          <w:kern w:val="2"/>
          <w:sz w:val="24"/>
          <w:szCs w:val="24"/>
          <w:lang w:val="en-US" w:eastAsia="sr-Latn-ME"/>
        </w:rPr>
        <w:t xml:space="preserve"> T. atroviride </w:t>
      </w:r>
      <w:r>
        <w:rPr>
          <w:rFonts w:ascii="Book Antiqua" w:hAnsi="Book Antiqua" w:cs="Times New Roman"/>
          <w:b/>
          <w:iCs/>
          <w:kern w:val="2"/>
          <w:sz w:val="24"/>
          <w:szCs w:val="24"/>
          <w:lang w:val="en-US" w:eastAsia="sr-Latn-ME"/>
        </w:rPr>
        <w:t xml:space="preserve">SC1 prema eska patogenima i </w:t>
      </w:r>
      <w:r>
        <w:rPr>
          <w:rFonts w:ascii="Book Antiqua" w:hAnsi="Book Antiqua" w:cs="Times New Roman"/>
          <w:b/>
          <w:kern w:val="2"/>
          <w:sz w:val="24"/>
          <w:szCs w:val="24"/>
          <w:lang w:val="en-US" w:eastAsia="sr-Latn-ME"/>
        </w:rPr>
        <w:t xml:space="preserve"> drugim </w:t>
      </w:r>
      <w:r>
        <w:rPr>
          <w:rFonts w:ascii="Book Antiqua" w:hAnsi="Book Antiqua" w:cs="Times New Roman"/>
          <w:b/>
          <w:iCs/>
          <w:kern w:val="2"/>
          <w:sz w:val="24"/>
          <w:szCs w:val="24"/>
          <w:lang w:val="en-US" w:eastAsia="sr-Latn-ME"/>
        </w:rPr>
        <w:t>p</w:t>
      </w:r>
      <w:r>
        <w:rPr>
          <w:rFonts w:ascii="Book Antiqua" w:hAnsi="Book Antiqua" w:cs="Times New Roman"/>
          <w:b/>
          <w:kern w:val="2"/>
          <w:sz w:val="24"/>
          <w:szCs w:val="24"/>
          <w:lang w:val="en-US" w:eastAsia="sr-Latn-ME"/>
        </w:rPr>
        <w:t>atogenima drveta vinove loze</w:t>
      </w:r>
    </w:p>
    <w:p w14:paraId="2F969F7A"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 xml:space="preserve">Proučavanje antagonističkog potencijala </w:t>
      </w:r>
      <w:r>
        <w:rPr>
          <w:rFonts w:ascii="Book Antiqua" w:hAnsi="Book Antiqua" w:cs="Times New Roman"/>
          <w:bCs/>
          <w:i/>
          <w:iCs/>
          <w:kern w:val="2"/>
          <w:sz w:val="24"/>
          <w:szCs w:val="24"/>
          <w:lang w:val="en-US" w:eastAsia="sr-Latn-ME"/>
        </w:rPr>
        <w:t>T. citrinoviride</w:t>
      </w:r>
      <w:r>
        <w:rPr>
          <w:rFonts w:ascii="Book Antiqua" w:hAnsi="Book Antiqua" w:cs="Times New Roman"/>
          <w:bCs/>
          <w:kern w:val="2"/>
          <w:sz w:val="24"/>
          <w:szCs w:val="24"/>
          <w:lang w:val="en-US" w:eastAsia="sr-Latn-ME"/>
        </w:rPr>
        <w:t xml:space="preserve"> T-CG i  </w:t>
      </w:r>
      <w:r>
        <w:rPr>
          <w:rFonts w:ascii="Book Antiqua" w:hAnsi="Book Antiqua" w:cs="Times New Roman"/>
          <w:bCs/>
          <w:i/>
          <w:iCs/>
          <w:kern w:val="2"/>
          <w:sz w:val="24"/>
          <w:szCs w:val="24"/>
          <w:lang w:val="en-US" w:eastAsia="sr-Latn-ME"/>
        </w:rPr>
        <w:t>T. atroviride</w:t>
      </w:r>
      <w:r>
        <w:rPr>
          <w:rFonts w:ascii="Book Antiqua" w:hAnsi="Book Antiqua" w:cs="Times New Roman"/>
          <w:bCs/>
          <w:kern w:val="2"/>
          <w:sz w:val="24"/>
          <w:szCs w:val="24"/>
          <w:lang w:val="en-US" w:eastAsia="sr-Latn-ME"/>
        </w:rPr>
        <w:t xml:space="preserve"> SC1 (Vintec®), prema izolatima esca patogena </w:t>
      </w:r>
      <w:r>
        <w:rPr>
          <w:rFonts w:ascii="Book Antiqua" w:hAnsi="Book Antiqua" w:cs="Times New Roman"/>
          <w:bCs/>
          <w:i/>
          <w:iCs/>
          <w:kern w:val="2"/>
          <w:sz w:val="24"/>
          <w:szCs w:val="24"/>
          <w:lang w:val="en-US" w:eastAsia="sr-Latn-ME"/>
        </w:rPr>
        <w:t xml:space="preserve">P. minimum </w:t>
      </w:r>
      <w:r>
        <w:rPr>
          <w:rFonts w:ascii="Book Antiqua" w:hAnsi="Book Antiqua" w:cs="Times New Roman"/>
          <w:bCs/>
          <w:kern w:val="2"/>
          <w:sz w:val="24"/>
          <w:szCs w:val="24"/>
          <w:lang w:val="en-US" w:eastAsia="sr-Latn-ME"/>
        </w:rPr>
        <w:t xml:space="preserve">MN002, </w:t>
      </w:r>
      <w:r>
        <w:rPr>
          <w:rFonts w:ascii="Book Antiqua" w:hAnsi="Book Antiqua" w:cs="Times New Roman"/>
          <w:bCs/>
          <w:i/>
          <w:iCs/>
          <w:kern w:val="2"/>
          <w:sz w:val="24"/>
          <w:szCs w:val="24"/>
          <w:lang w:val="en-US" w:eastAsia="sr-Latn-ME"/>
        </w:rPr>
        <w:t xml:space="preserve">P. chlamydospora </w:t>
      </w:r>
      <w:r>
        <w:rPr>
          <w:rFonts w:ascii="Book Antiqua" w:hAnsi="Book Antiqua" w:cs="Times New Roman"/>
          <w:bCs/>
          <w:kern w:val="2"/>
          <w:sz w:val="24"/>
          <w:szCs w:val="24"/>
          <w:lang w:val="en-US" w:eastAsia="sr-Latn-ME"/>
        </w:rPr>
        <w:t xml:space="preserve">MN011 i </w:t>
      </w:r>
      <w:r>
        <w:rPr>
          <w:rFonts w:ascii="Book Antiqua" w:hAnsi="Book Antiqua" w:cs="Times New Roman"/>
          <w:bCs/>
          <w:i/>
          <w:iCs/>
          <w:kern w:val="2"/>
          <w:sz w:val="24"/>
          <w:szCs w:val="24"/>
          <w:lang w:val="en-US" w:eastAsia="sr-Latn-ME"/>
        </w:rPr>
        <w:t>F. mediterranea</w:t>
      </w:r>
      <w:r>
        <w:rPr>
          <w:rFonts w:ascii="Book Antiqua" w:hAnsi="Book Antiqua" w:cs="Times New Roman"/>
          <w:bCs/>
          <w:kern w:val="2"/>
          <w:sz w:val="24"/>
          <w:szCs w:val="24"/>
          <w:lang w:val="en-US" w:eastAsia="sr-Latn-ME"/>
        </w:rPr>
        <w:t xml:space="preserve"> MN008 i izolatima patogena drveta vinove loze: </w:t>
      </w:r>
      <w:r>
        <w:rPr>
          <w:rFonts w:ascii="Book Antiqua" w:hAnsi="Book Antiqua" w:cs="Times New Roman"/>
          <w:bCs/>
          <w:i/>
          <w:iCs/>
          <w:kern w:val="2"/>
          <w:sz w:val="24"/>
          <w:szCs w:val="24"/>
          <w:lang w:val="en-US" w:eastAsia="sr-Latn-ME"/>
        </w:rPr>
        <w:t xml:space="preserve">N. parvum </w:t>
      </w:r>
      <w:r>
        <w:rPr>
          <w:rFonts w:ascii="Book Antiqua" w:hAnsi="Book Antiqua" w:cs="Times New Roman"/>
          <w:bCs/>
          <w:kern w:val="2"/>
          <w:sz w:val="24"/>
          <w:szCs w:val="24"/>
          <w:lang w:val="en-US" w:eastAsia="sr-Latn-ME"/>
        </w:rPr>
        <w:t>mnsm23</w:t>
      </w:r>
      <w:r>
        <w:rPr>
          <w:rFonts w:ascii="Book Antiqua" w:hAnsi="Book Antiqua" w:cs="Times New Roman"/>
          <w:bCs/>
          <w:i/>
          <w:iCs/>
          <w:kern w:val="2"/>
          <w:sz w:val="24"/>
          <w:szCs w:val="24"/>
          <w:lang w:val="en-US" w:eastAsia="sr-Latn-ME"/>
        </w:rPr>
        <w:t xml:space="preserve">, D. seriata </w:t>
      </w:r>
      <w:r>
        <w:rPr>
          <w:rFonts w:ascii="Book Antiqua" w:hAnsi="Book Antiqua" w:cs="Times New Roman"/>
          <w:bCs/>
          <w:kern w:val="2"/>
          <w:sz w:val="24"/>
          <w:szCs w:val="24"/>
          <w:lang w:val="en-US" w:eastAsia="sr-Latn-ME"/>
        </w:rPr>
        <w:t>MN001</w:t>
      </w:r>
      <w:r>
        <w:rPr>
          <w:rFonts w:ascii="Book Antiqua" w:hAnsi="Book Antiqua" w:cs="Times New Roman"/>
          <w:bCs/>
          <w:i/>
          <w:iCs/>
          <w:kern w:val="2"/>
          <w:sz w:val="24"/>
          <w:szCs w:val="24"/>
          <w:lang w:val="en-US" w:eastAsia="sr-Latn-ME"/>
        </w:rPr>
        <w:t xml:space="preserve">, B. dothidaea </w:t>
      </w:r>
      <w:r>
        <w:rPr>
          <w:rFonts w:ascii="Book Antiqua" w:hAnsi="Book Antiqua" w:cs="Times New Roman"/>
          <w:bCs/>
          <w:kern w:val="2"/>
          <w:sz w:val="24"/>
          <w:szCs w:val="24"/>
          <w:lang w:val="en-US" w:eastAsia="sr-Latn-ME"/>
        </w:rPr>
        <w:t>MN001</w:t>
      </w:r>
      <w:r>
        <w:rPr>
          <w:rFonts w:ascii="Book Antiqua" w:hAnsi="Book Antiqua" w:cs="Times New Roman"/>
          <w:bCs/>
          <w:i/>
          <w:iCs/>
          <w:kern w:val="2"/>
          <w:sz w:val="24"/>
          <w:szCs w:val="24"/>
          <w:lang w:val="en-US" w:eastAsia="sr-Latn-ME"/>
        </w:rPr>
        <w:t xml:space="preserve">, B. mediterranea </w:t>
      </w:r>
      <w:r>
        <w:rPr>
          <w:rFonts w:ascii="Book Antiqua" w:hAnsi="Book Antiqua" w:cs="Times New Roman"/>
          <w:bCs/>
          <w:kern w:val="2"/>
          <w:sz w:val="24"/>
          <w:szCs w:val="24"/>
          <w:lang w:val="en-US" w:eastAsia="sr-Latn-ME"/>
        </w:rPr>
        <w:t>MN001 i</w:t>
      </w:r>
      <w:r>
        <w:rPr>
          <w:rFonts w:ascii="Book Antiqua" w:hAnsi="Book Antiqua" w:cs="Times New Roman"/>
          <w:bCs/>
          <w:i/>
          <w:iCs/>
          <w:kern w:val="2"/>
          <w:sz w:val="24"/>
          <w:szCs w:val="24"/>
          <w:lang w:val="en-US" w:eastAsia="sr-Latn-ME"/>
        </w:rPr>
        <w:t xml:space="preserve"> C. luteo olivacea </w:t>
      </w:r>
      <w:r>
        <w:rPr>
          <w:rFonts w:ascii="Book Antiqua" w:hAnsi="Book Antiqua" w:cs="Times New Roman"/>
          <w:bCs/>
          <w:kern w:val="2"/>
          <w:sz w:val="24"/>
          <w:szCs w:val="24"/>
          <w:lang w:val="en-US" w:eastAsia="sr-Latn-ME"/>
        </w:rPr>
        <w:t>MN001</w:t>
      </w:r>
      <w:r>
        <w:rPr>
          <w:rFonts w:ascii="Book Antiqua" w:hAnsi="Book Antiqua" w:cs="Times New Roman"/>
          <w:bCs/>
          <w:i/>
          <w:iCs/>
          <w:kern w:val="2"/>
          <w:sz w:val="24"/>
          <w:szCs w:val="24"/>
          <w:lang w:val="en-US" w:eastAsia="sr-Latn-ME"/>
        </w:rPr>
        <w:t xml:space="preserve">, </w:t>
      </w:r>
      <w:r>
        <w:rPr>
          <w:rFonts w:ascii="Book Antiqua" w:hAnsi="Book Antiqua" w:cs="Times New Roman"/>
          <w:bCs/>
          <w:kern w:val="2"/>
          <w:sz w:val="24"/>
          <w:szCs w:val="24"/>
          <w:lang w:val="en-US" w:eastAsia="sr-Latn-ME"/>
        </w:rPr>
        <w:t xml:space="preserve">direktnim </w:t>
      </w:r>
      <w:r>
        <w:rPr>
          <w:rFonts w:ascii="Book Antiqua" w:hAnsi="Book Antiqua" w:cs="Times New Roman"/>
          <w:bCs/>
          <w:i/>
          <w:iCs/>
          <w:kern w:val="2"/>
          <w:sz w:val="24"/>
          <w:szCs w:val="24"/>
          <w:lang w:val="en-US" w:eastAsia="sr-Latn-ME"/>
        </w:rPr>
        <w:t>in vitro</w:t>
      </w:r>
      <w:r>
        <w:rPr>
          <w:rFonts w:ascii="Book Antiqua" w:hAnsi="Book Antiqua" w:cs="Times New Roman"/>
          <w:bCs/>
          <w:kern w:val="2"/>
          <w:sz w:val="24"/>
          <w:szCs w:val="24"/>
          <w:lang w:val="en-US" w:eastAsia="sr-Latn-ME"/>
        </w:rPr>
        <w:t xml:space="preserve"> testom, obavljeno je u laboratoriji Biotehničkog fakulteta u Podgorici. Kinetičkim testom određena je brzina rasta gljiva nakon 24 i 48 sati, odnosno nakon 5 i 7 dana inkubacije u termostatu na 24°C. U direktnom </w:t>
      </w:r>
      <w:r>
        <w:rPr>
          <w:rFonts w:ascii="Book Antiqua" w:hAnsi="Book Antiqua" w:cs="Times New Roman"/>
          <w:bCs/>
          <w:i/>
          <w:iCs/>
          <w:kern w:val="2"/>
          <w:sz w:val="24"/>
          <w:szCs w:val="24"/>
          <w:lang w:val="en-US" w:eastAsia="sr-Latn-ME"/>
        </w:rPr>
        <w:t>in vitro</w:t>
      </w:r>
      <w:r>
        <w:rPr>
          <w:rFonts w:ascii="Book Antiqua" w:hAnsi="Book Antiqua" w:cs="Times New Roman"/>
          <w:bCs/>
          <w:kern w:val="2"/>
          <w:sz w:val="24"/>
          <w:szCs w:val="24"/>
          <w:lang w:val="en-US" w:eastAsia="sr-Latn-ME"/>
        </w:rPr>
        <w:t xml:space="preserve"> testu sa jedne strane Petri kutije stavljen micelijski isječak patogenih izolata, prečnika 5 mm (</w:t>
      </w:r>
      <w:r>
        <w:rPr>
          <w:rFonts w:ascii="Book Antiqua" w:hAnsi="Book Antiqua" w:cs="Times New Roman"/>
          <w:bCs/>
          <w:i/>
          <w:iCs/>
          <w:kern w:val="2"/>
          <w:sz w:val="24"/>
          <w:szCs w:val="24"/>
          <w:lang w:val="en-US" w:eastAsia="sr-Latn-ME"/>
        </w:rPr>
        <w:t>P. minimum</w:t>
      </w:r>
      <w:r>
        <w:rPr>
          <w:rFonts w:ascii="Book Antiqua" w:hAnsi="Book Antiqua" w:cs="Times New Roman"/>
          <w:bCs/>
          <w:kern w:val="2"/>
          <w:sz w:val="24"/>
          <w:szCs w:val="24"/>
          <w:lang w:val="en-US" w:eastAsia="sr-Latn-ME"/>
        </w:rPr>
        <w:t xml:space="preserve">, </w:t>
      </w:r>
      <w:r>
        <w:rPr>
          <w:rFonts w:ascii="Book Antiqua" w:hAnsi="Book Antiqua" w:cs="Times New Roman"/>
          <w:bCs/>
          <w:i/>
          <w:iCs/>
          <w:kern w:val="2"/>
          <w:sz w:val="24"/>
          <w:szCs w:val="24"/>
          <w:lang w:val="en-US" w:eastAsia="sr-Latn-ME"/>
        </w:rPr>
        <w:t>P. chlamydospora</w:t>
      </w:r>
      <w:r>
        <w:rPr>
          <w:rFonts w:ascii="Book Antiqua" w:hAnsi="Book Antiqua" w:cs="Times New Roman"/>
          <w:bCs/>
          <w:kern w:val="2"/>
          <w:sz w:val="24"/>
          <w:szCs w:val="24"/>
          <w:lang w:val="en-US" w:eastAsia="sr-Latn-ME"/>
        </w:rPr>
        <w:t xml:space="preserve">, </w:t>
      </w:r>
      <w:r>
        <w:rPr>
          <w:rFonts w:ascii="Book Antiqua" w:hAnsi="Book Antiqua" w:cs="Times New Roman"/>
          <w:bCs/>
          <w:i/>
          <w:iCs/>
          <w:kern w:val="2"/>
          <w:sz w:val="24"/>
          <w:szCs w:val="24"/>
          <w:lang w:val="en-US" w:eastAsia="sr-Latn-ME"/>
        </w:rPr>
        <w:t>F. mediterranea</w:t>
      </w:r>
      <w:r>
        <w:rPr>
          <w:rFonts w:ascii="Book Antiqua" w:hAnsi="Book Antiqua" w:cs="Times New Roman"/>
          <w:bCs/>
          <w:kern w:val="2"/>
          <w:sz w:val="24"/>
          <w:szCs w:val="24"/>
          <w:lang w:val="en-US" w:eastAsia="sr-Latn-ME"/>
        </w:rPr>
        <w:t xml:space="preserve">), a na drugoj strani micelijski isječak gljiva iz roda </w:t>
      </w:r>
      <w:r>
        <w:rPr>
          <w:rFonts w:ascii="Book Antiqua" w:hAnsi="Book Antiqua" w:cs="Times New Roman"/>
          <w:bCs/>
          <w:i/>
          <w:iCs/>
          <w:kern w:val="2"/>
          <w:sz w:val="24"/>
          <w:szCs w:val="24"/>
          <w:lang w:val="en-US" w:eastAsia="sr-Latn-ME"/>
        </w:rPr>
        <w:t xml:space="preserve">Trichoderma </w:t>
      </w:r>
      <w:r>
        <w:rPr>
          <w:rFonts w:ascii="Book Antiqua" w:hAnsi="Book Antiqua" w:cs="Times New Roman"/>
          <w:bCs/>
          <w:kern w:val="2"/>
          <w:sz w:val="24"/>
          <w:szCs w:val="24"/>
          <w:lang w:val="en-US" w:eastAsia="sr-Latn-ME"/>
        </w:rPr>
        <w:t xml:space="preserve">(prečnika 5 mm). Isti metodološki postupak sproveden je i za ostale identifikovane patogene prouzrokovače bolesti stabla vinove loze. Na osnovu brzine porasta ispitivanih patogena, određeno je da se sojevi gljiva iz roda </w:t>
      </w:r>
      <w:r>
        <w:rPr>
          <w:rFonts w:ascii="Book Antiqua" w:hAnsi="Book Antiqua" w:cs="Times New Roman"/>
          <w:bCs/>
          <w:i/>
          <w:iCs/>
          <w:kern w:val="2"/>
          <w:sz w:val="24"/>
          <w:szCs w:val="24"/>
          <w:lang w:val="en-US" w:eastAsia="sr-Latn-ME"/>
        </w:rPr>
        <w:t>Trichoderma</w:t>
      </w:r>
      <w:r>
        <w:rPr>
          <w:rFonts w:ascii="Book Antiqua" w:hAnsi="Book Antiqua" w:cs="Times New Roman"/>
          <w:bCs/>
          <w:kern w:val="2"/>
          <w:sz w:val="24"/>
          <w:szCs w:val="24"/>
          <w:lang w:val="en-US" w:eastAsia="sr-Latn-ME"/>
        </w:rPr>
        <w:t xml:space="preserve"> stavljaju u Petri posudu 3 dana nakon </w:t>
      </w:r>
      <w:r>
        <w:rPr>
          <w:rFonts w:ascii="Book Antiqua" w:hAnsi="Book Antiqua" w:cs="Times New Roman"/>
          <w:bCs/>
          <w:i/>
          <w:iCs/>
          <w:kern w:val="2"/>
          <w:sz w:val="24"/>
          <w:szCs w:val="24"/>
          <w:lang w:val="en-US" w:eastAsia="sr-Latn-ME"/>
        </w:rPr>
        <w:t>P. minimum,</w:t>
      </w:r>
      <w:r>
        <w:rPr>
          <w:rFonts w:ascii="Book Antiqua" w:hAnsi="Book Antiqua" w:cs="Times New Roman"/>
          <w:bCs/>
          <w:kern w:val="2"/>
          <w:sz w:val="24"/>
          <w:szCs w:val="24"/>
          <w:lang w:val="en-US" w:eastAsia="sr-Latn-ME"/>
        </w:rPr>
        <w:t xml:space="preserve"> 5 dana nakon </w:t>
      </w:r>
      <w:r>
        <w:rPr>
          <w:rFonts w:ascii="Book Antiqua" w:hAnsi="Book Antiqua" w:cs="Times New Roman"/>
          <w:bCs/>
          <w:i/>
          <w:iCs/>
          <w:kern w:val="2"/>
          <w:sz w:val="24"/>
          <w:szCs w:val="24"/>
          <w:lang w:val="en-US" w:eastAsia="sr-Latn-ME"/>
        </w:rPr>
        <w:t>P. chlamydospora</w:t>
      </w:r>
      <w:r>
        <w:rPr>
          <w:rFonts w:ascii="Book Antiqua" w:hAnsi="Book Antiqua" w:cs="Times New Roman"/>
          <w:bCs/>
          <w:kern w:val="2"/>
          <w:sz w:val="24"/>
          <w:szCs w:val="24"/>
          <w:lang w:val="en-US" w:eastAsia="sr-Latn-ME"/>
        </w:rPr>
        <w:t xml:space="preserve">, odnosno 2 dana nakon </w:t>
      </w:r>
      <w:r>
        <w:rPr>
          <w:rFonts w:ascii="Book Antiqua" w:hAnsi="Book Antiqua" w:cs="Times New Roman"/>
          <w:bCs/>
          <w:i/>
          <w:iCs/>
          <w:kern w:val="2"/>
          <w:sz w:val="24"/>
          <w:szCs w:val="24"/>
          <w:lang w:val="en-US" w:eastAsia="sr-Latn-ME"/>
        </w:rPr>
        <w:t xml:space="preserve">F. mediterranea, </w:t>
      </w:r>
      <w:r>
        <w:rPr>
          <w:rFonts w:ascii="Book Antiqua" w:hAnsi="Book Antiqua" w:cs="Times New Roman"/>
          <w:bCs/>
          <w:kern w:val="2"/>
          <w:sz w:val="24"/>
          <w:szCs w:val="24"/>
          <w:lang w:val="en-US" w:eastAsia="sr-Latn-ME"/>
        </w:rPr>
        <w:t xml:space="preserve">8 sati nakon patogena iz porodice </w:t>
      </w:r>
      <w:r>
        <w:rPr>
          <w:rFonts w:ascii="Book Antiqua" w:hAnsi="Book Antiqua" w:cs="Times New Roman"/>
          <w:bCs/>
          <w:i/>
          <w:iCs/>
          <w:kern w:val="2"/>
          <w:sz w:val="24"/>
          <w:szCs w:val="24"/>
          <w:lang w:val="en-US" w:eastAsia="sr-Latn-ME"/>
        </w:rPr>
        <w:t>Botryosphaeriace</w:t>
      </w:r>
      <w:r>
        <w:rPr>
          <w:rFonts w:ascii="Book Antiqua" w:hAnsi="Book Antiqua" w:cs="Times New Roman"/>
          <w:bCs/>
          <w:kern w:val="2"/>
          <w:sz w:val="24"/>
          <w:szCs w:val="24"/>
          <w:lang w:val="en-US" w:eastAsia="sr-Latn-ME"/>
        </w:rPr>
        <w:t xml:space="preserve">, 1 dan nakon </w:t>
      </w:r>
      <w:r>
        <w:rPr>
          <w:rFonts w:ascii="Book Antiqua" w:hAnsi="Book Antiqua" w:cs="Times New Roman"/>
          <w:bCs/>
          <w:i/>
          <w:iCs/>
          <w:kern w:val="2"/>
          <w:sz w:val="24"/>
          <w:szCs w:val="24"/>
          <w:lang w:val="en-US" w:eastAsia="sr-Latn-ME"/>
        </w:rPr>
        <w:t xml:space="preserve">B. mediterranea, </w:t>
      </w:r>
      <w:r>
        <w:rPr>
          <w:rFonts w:ascii="Book Antiqua" w:hAnsi="Book Antiqua" w:cs="Times New Roman"/>
          <w:bCs/>
          <w:kern w:val="2"/>
          <w:sz w:val="24"/>
          <w:szCs w:val="24"/>
          <w:lang w:val="en-US" w:eastAsia="sr-Latn-ME"/>
        </w:rPr>
        <w:t xml:space="preserve">i 3 dana nakon </w:t>
      </w:r>
      <w:r>
        <w:rPr>
          <w:rFonts w:ascii="Book Antiqua" w:hAnsi="Book Antiqua" w:cs="Times New Roman"/>
          <w:bCs/>
          <w:i/>
          <w:iCs/>
          <w:kern w:val="2"/>
          <w:sz w:val="24"/>
          <w:szCs w:val="24"/>
          <w:lang w:val="en-US" w:eastAsia="sr-Latn-ME"/>
        </w:rPr>
        <w:t>C. luteo olivacea</w:t>
      </w:r>
      <w:r>
        <w:rPr>
          <w:rFonts w:ascii="Book Antiqua" w:hAnsi="Book Antiqua" w:cs="Times New Roman"/>
          <w:bCs/>
          <w:kern w:val="2"/>
          <w:sz w:val="24"/>
          <w:szCs w:val="24"/>
          <w:lang w:val="en-US" w:eastAsia="sr-Latn-ME"/>
        </w:rPr>
        <w:t xml:space="preserve">.  U kontroli, na jedan kraj Petri posude stavljen je micelijski čep patogenog izolata gljive bez dodavanja izolata </w:t>
      </w:r>
      <w:r>
        <w:rPr>
          <w:rFonts w:ascii="Book Antiqua" w:hAnsi="Book Antiqua" w:cs="Times New Roman"/>
          <w:bCs/>
          <w:i/>
          <w:iCs/>
          <w:kern w:val="2"/>
          <w:sz w:val="24"/>
          <w:szCs w:val="24"/>
          <w:lang w:val="en-US" w:eastAsia="sr-Latn-ME"/>
        </w:rPr>
        <w:t>T. citrinoviride</w:t>
      </w:r>
      <w:r>
        <w:rPr>
          <w:rFonts w:ascii="Book Antiqua" w:hAnsi="Book Antiqua" w:cs="Times New Roman"/>
          <w:bCs/>
          <w:kern w:val="2"/>
          <w:sz w:val="24"/>
          <w:szCs w:val="24"/>
          <w:lang w:val="en-US" w:eastAsia="sr-Latn-ME"/>
        </w:rPr>
        <w:t xml:space="preserve">. Ogled je postavljen u tri nezavisna eksperimenta sa četiri ponavljanja. Sve Petri kutije su inkubirane u mraku na temperaturi od 24°C. Nakon 3 i 6 dana od inokulacije izmjeren je radijalni rast izolata patogenih gljiva. Prema </w:t>
      </w:r>
      <w:r>
        <w:rPr>
          <w:rFonts w:ascii="Book Antiqua" w:hAnsi="Book Antiqua" w:cs="Times New Roman"/>
          <w:b/>
          <w:kern w:val="2"/>
          <w:sz w:val="24"/>
          <w:szCs w:val="24"/>
          <w:lang w:val="en-US" w:eastAsia="sr-Latn-ME"/>
        </w:rPr>
        <w:t xml:space="preserve">Di Marco et al. (2022) </w:t>
      </w:r>
      <w:r>
        <w:rPr>
          <w:rFonts w:ascii="Book Antiqua" w:hAnsi="Book Antiqua" w:cs="Times New Roman"/>
          <w:bCs/>
          <w:kern w:val="2"/>
          <w:sz w:val="24"/>
          <w:szCs w:val="24"/>
          <w:lang w:val="en-US" w:eastAsia="sr-Latn-ME"/>
        </w:rPr>
        <w:t xml:space="preserve">procenat inhibicije je izračunat dijeljenjem prečnika kolonije u tretmanu sa prečnikom kolonije u kontroli i množenjem sa 100: </w:t>
      </w:r>
    </w:p>
    <w:p w14:paraId="4070E3F6" w14:textId="77777777" w:rsidR="003801E8" w:rsidRDefault="00E44AAE">
      <w:pPr>
        <w:tabs>
          <w:tab w:val="left" w:pos="3315"/>
        </w:tabs>
        <w:spacing w:line="360" w:lineRule="auto"/>
        <w:jc w:val="both"/>
        <w:rPr>
          <w:rFonts w:ascii="Book Antiqua" w:hAnsi="Book Antiqua" w:cs="Times New Roman"/>
          <w:sz w:val="24"/>
          <w:szCs w:val="24"/>
        </w:rPr>
      </w:pPr>
      <m:oMathPara>
        <m:oMath>
          <m:r>
            <m:rPr>
              <m:sty m:val="p"/>
            </m:rPr>
            <w:rPr>
              <w:rFonts w:ascii="Cambria Math" w:hAnsi="Cambria Math" w:cs="Times New Roman"/>
              <w:sz w:val="24"/>
              <w:szCs w:val="24"/>
            </w:rPr>
            <m:t>I</m:t>
          </m:r>
          <m:d>
            <m:dPr>
              <m:ctrlPr>
                <w:rPr>
                  <w:rFonts w:ascii="Cambria Math" w:hAnsi="Cambria Math" w:cs="Times New Roman"/>
                  <w:sz w:val="24"/>
                  <w:szCs w:val="24"/>
                </w:rPr>
              </m:ctrlPr>
            </m:dPr>
            <m:e>
              <m:r>
                <m:rPr>
                  <m:sty m:val="p"/>
                </m:rPr>
                <w:rPr>
                  <w:rFonts w:ascii="Cambria Math" w:hAnsi="Cambria Math" w:cs="Times New Roman"/>
                  <w:sz w:val="24"/>
                  <w:szCs w:val="24"/>
                </w:rPr>
                <m:t>%</m:t>
              </m:r>
            </m:e>
          </m:d>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tretman</m:t>
              </m:r>
            </m:num>
            <m:den>
              <m:r>
                <w:rPr>
                  <w:rFonts w:ascii="Cambria Math" w:hAnsi="Cambria Math" w:cs="Times New Roman"/>
                  <w:sz w:val="24"/>
                  <w:szCs w:val="24"/>
                </w:rPr>
                <m:t>kontrola</m:t>
              </m:r>
            </m:den>
          </m:f>
          <m:r>
            <w:rPr>
              <w:rFonts w:ascii="Cambria Math" w:hAnsi="Cambria Math" w:cs="Times New Roman"/>
              <w:sz w:val="24"/>
              <w:szCs w:val="24"/>
            </w:rPr>
            <m:t>x100</m:t>
          </m:r>
        </m:oMath>
      </m:oMathPara>
    </w:p>
    <w:p w14:paraId="45E629A3" w14:textId="77777777" w:rsidR="003801E8" w:rsidRDefault="003801E8">
      <w:pPr>
        <w:tabs>
          <w:tab w:val="left" w:pos="3315"/>
        </w:tabs>
        <w:spacing w:line="360" w:lineRule="auto"/>
        <w:jc w:val="both"/>
        <w:rPr>
          <w:rFonts w:ascii="Book Antiqua" w:hAnsi="Book Antiqua" w:cs="Times New Roman"/>
          <w:sz w:val="24"/>
          <w:szCs w:val="24"/>
        </w:rPr>
      </w:pPr>
    </w:p>
    <w:p w14:paraId="29D820D1"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lastRenderedPageBreak/>
        <w:t xml:space="preserve">Analiza varijanse (ANOVA) i Bonferonijeva metoda korekcije su korišćeni u cilju utvrđivanja antagonističkog efekta </w:t>
      </w:r>
      <w:r>
        <w:rPr>
          <w:rFonts w:ascii="Book Antiqua" w:hAnsi="Book Antiqua" w:cs="Times New Roman"/>
          <w:i/>
          <w:iCs/>
          <w:sz w:val="24"/>
          <w:szCs w:val="24"/>
        </w:rPr>
        <w:t>T. citrinoviride</w:t>
      </w:r>
      <w:r>
        <w:rPr>
          <w:rFonts w:ascii="Book Antiqua" w:hAnsi="Book Antiqua" w:cs="Times New Roman"/>
          <w:sz w:val="24"/>
          <w:szCs w:val="24"/>
        </w:rPr>
        <w:t xml:space="preserve"> T-CG i </w:t>
      </w:r>
      <w:r>
        <w:rPr>
          <w:rFonts w:ascii="Book Antiqua" w:hAnsi="Book Antiqua" w:cs="Times New Roman"/>
          <w:i/>
          <w:iCs/>
          <w:sz w:val="24"/>
          <w:szCs w:val="24"/>
        </w:rPr>
        <w:t>T. atroviride</w:t>
      </w:r>
      <w:r>
        <w:rPr>
          <w:rFonts w:ascii="Book Antiqua" w:hAnsi="Book Antiqua" w:cs="Times New Roman"/>
          <w:sz w:val="24"/>
          <w:szCs w:val="24"/>
        </w:rPr>
        <w:t xml:space="preserve"> SC1 prema ispitivanim patogenim izolatima. Nivo statističke značajnosti je postavljen na p=0.05. </w:t>
      </w:r>
    </w:p>
    <w:p w14:paraId="636FBA28" w14:textId="77777777" w:rsidR="003801E8" w:rsidRDefault="003801E8">
      <w:pPr>
        <w:spacing w:after="160" w:line="360" w:lineRule="auto"/>
        <w:jc w:val="both"/>
        <w:rPr>
          <w:rFonts w:ascii="Book Antiqua" w:hAnsi="Book Antiqua" w:cs="Times New Roman"/>
          <w:b/>
          <w:bCs/>
          <w:kern w:val="2"/>
          <w:sz w:val="24"/>
          <w:szCs w:val="24"/>
          <w:lang w:val="en-US" w:eastAsia="sr-Latn-ME"/>
        </w:rPr>
      </w:pPr>
    </w:p>
    <w:p w14:paraId="50456E44" w14:textId="77777777" w:rsidR="003801E8" w:rsidRDefault="00E44AAE">
      <w:pPr>
        <w:spacing w:after="160" w:line="360" w:lineRule="auto"/>
        <w:jc w:val="both"/>
        <w:rPr>
          <w:rFonts w:ascii="Book Antiqua" w:hAnsi="Book Antiqua"/>
          <w:b/>
          <w:sz w:val="24"/>
          <w:szCs w:val="24"/>
        </w:rPr>
      </w:pPr>
      <w:r>
        <w:rPr>
          <w:rFonts w:ascii="Book Antiqua" w:hAnsi="Book Antiqua" w:cs="Times New Roman"/>
          <w:b/>
          <w:bCs/>
          <w:kern w:val="2"/>
          <w:sz w:val="24"/>
          <w:szCs w:val="24"/>
          <w:lang w:val="en-US" w:eastAsia="sr-Latn-ME"/>
        </w:rPr>
        <w:t xml:space="preserve">4.8 </w:t>
      </w:r>
      <w:r>
        <w:rPr>
          <w:rFonts w:ascii="Book Antiqua" w:hAnsi="Book Antiqua"/>
          <w:b/>
          <w:sz w:val="24"/>
          <w:szCs w:val="24"/>
        </w:rPr>
        <w:t xml:space="preserve">Indirektni </w:t>
      </w:r>
      <w:r>
        <w:rPr>
          <w:rFonts w:ascii="Book Antiqua" w:hAnsi="Book Antiqua"/>
          <w:b/>
          <w:i/>
          <w:sz w:val="24"/>
          <w:szCs w:val="24"/>
        </w:rPr>
        <w:t>in vitro</w:t>
      </w:r>
      <w:r>
        <w:rPr>
          <w:rFonts w:ascii="Book Antiqua" w:hAnsi="Book Antiqua"/>
          <w:b/>
          <w:sz w:val="24"/>
          <w:szCs w:val="24"/>
        </w:rPr>
        <w:t xml:space="preserve"> test </w:t>
      </w:r>
      <w:r>
        <w:rPr>
          <w:rFonts w:ascii="Book Antiqua" w:hAnsi="Book Antiqua"/>
          <w:b/>
          <w:i/>
          <w:sz w:val="24"/>
          <w:szCs w:val="24"/>
        </w:rPr>
        <w:t xml:space="preserve">T. citrinoviride </w:t>
      </w:r>
      <w:r>
        <w:rPr>
          <w:rFonts w:ascii="Book Antiqua" w:hAnsi="Book Antiqua"/>
          <w:b/>
          <w:sz w:val="24"/>
          <w:szCs w:val="24"/>
        </w:rPr>
        <w:t xml:space="preserve">T-CG, </w:t>
      </w:r>
      <w:r>
        <w:rPr>
          <w:rFonts w:ascii="Book Antiqua" w:hAnsi="Book Antiqua"/>
          <w:b/>
          <w:i/>
          <w:sz w:val="24"/>
          <w:szCs w:val="24"/>
        </w:rPr>
        <w:t>T. atroviride</w:t>
      </w:r>
      <w:r>
        <w:rPr>
          <w:rFonts w:ascii="Book Antiqua" w:hAnsi="Book Antiqua"/>
          <w:b/>
          <w:sz w:val="24"/>
          <w:szCs w:val="24"/>
        </w:rPr>
        <w:t xml:space="preserve"> SC1 i bakra prema eska patogenima</w:t>
      </w:r>
    </w:p>
    <w:p w14:paraId="12A40976" w14:textId="77777777" w:rsidR="003801E8" w:rsidRDefault="00E44AAE">
      <w:pPr>
        <w:spacing w:before="100" w:beforeAutospacing="1" w:after="100" w:afterAutospacing="1" w:line="360" w:lineRule="auto"/>
        <w:jc w:val="both"/>
        <w:rPr>
          <w:rFonts w:ascii="Book Antiqua" w:hAnsi="Book Antiqua"/>
          <w:sz w:val="24"/>
          <w:szCs w:val="24"/>
        </w:rPr>
      </w:pPr>
      <w:r>
        <w:rPr>
          <w:rFonts w:ascii="Book Antiqua" w:eastAsia="Times New Roman" w:hAnsi="Book Antiqua" w:cs="Times New Roman"/>
          <w:sz w:val="24"/>
          <w:szCs w:val="24"/>
          <w:lang w:val="en-US"/>
        </w:rPr>
        <w:t xml:space="preserve">Prema metodologiji Mondello et al. (2019), biološka aktivnost sekundarnih metabolita </w:t>
      </w:r>
      <w:r>
        <w:rPr>
          <w:rFonts w:ascii="Book Antiqua" w:eastAsia="Times New Roman" w:hAnsi="Book Antiqua" w:cs="Times New Roman"/>
          <w:bCs/>
          <w:i/>
          <w:sz w:val="24"/>
          <w:szCs w:val="24"/>
          <w:lang w:val="en-US"/>
        </w:rPr>
        <w:t>T. citrinoviride</w:t>
      </w:r>
      <w:r>
        <w:rPr>
          <w:rFonts w:ascii="Book Antiqua" w:eastAsia="Times New Roman" w:hAnsi="Book Antiqua" w:cs="Times New Roman"/>
          <w:sz w:val="24"/>
          <w:szCs w:val="24"/>
          <w:lang w:val="en-US"/>
        </w:rPr>
        <w:t xml:space="preserve"> T-CG i </w:t>
      </w:r>
      <w:r>
        <w:rPr>
          <w:rFonts w:ascii="Book Antiqua" w:eastAsia="Times New Roman" w:hAnsi="Book Antiqua" w:cs="Times New Roman"/>
          <w:bCs/>
          <w:i/>
          <w:sz w:val="24"/>
          <w:szCs w:val="24"/>
          <w:lang w:val="en-US"/>
        </w:rPr>
        <w:t>T. atroviride</w:t>
      </w:r>
      <w:r>
        <w:rPr>
          <w:rFonts w:ascii="Book Antiqua" w:eastAsia="Times New Roman" w:hAnsi="Book Antiqua" w:cs="Times New Roman"/>
          <w:b/>
          <w:bCs/>
          <w:sz w:val="24"/>
          <w:szCs w:val="24"/>
          <w:lang w:val="en-US"/>
        </w:rPr>
        <w:t xml:space="preserve"> </w:t>
      </w:r>
      <w:r>
        <w:rPr>
          <w:rFonts w:ascii="Book Antiqua" w:eastAsia="Times New Roman" w:hAnsi="Book Antiqua" w:cs="Times New Roman"/>
          <w:bCs/>
          <w:sz w:val="24"/>
          <w:szCs w:val="24"/>
          <w:lang w:val="en-US"/>
        </w:rPr>
        <w:t>SC1</w:t>
      </w:r>
      <w:r>
        <w:rPr>
          <w:rFonts w:ascii="Book Antiqua" w:eastAsia="Times New Roman" w:hAnsi="Book Antiqua" w:cs="Times New Roman"/>
          <w:sz w:val="24"/>
          <w:szCs w:val="24"/>
          <w:lang w:val="en-US"/>
        </w:rPr>
        <w:t xml:space="preserve"> procijenjena je na osnovu inhibicije rasta </w:t>
      </w:r>
      <w:r>
        <w:rPr>
          <w:rFonts w:ascii="Book Antiqua" w:eastAsia="Times New Roman" w:hAnsi="Book Antiqua" w:cs="Times New Roman"/>
          <w:i/>
          <w:iCs/>
          <w:sz w:val="24"/>
          <w:szCs w:val="24"/>
          <w:lang w:val="en-US"/>
        </w:rPr>
        <w:t xml:space="preserve">P. minimum </w:t>
      </w:r>
      <w:r>
        <w:rPr>
          <w:rFonts w:ascii="Book Antiqua" w:eastAsia="Times New Roman" w:hAnsi="Book Antiqua" w:cs="Times New Roman"/>
          <w:iCs/>
          <w:sz w:val="24"/>
          <w:szCs w:val="24"/>
          <w:lang w:val="en-US"/>
        </w:rPr>
        <w:t>MN002</w:t>
      </w:r>
      <w:r>
        <w:rPr>
          <w:rFonts w:ascii="Book Antiqua" w:eastAsia="Times New Roman" w:hAnsi="Book Antiqua" w:cs="Times New Roman"/>
          <w:i/>
          <w:iCs/>
          <w:sz w:val="24"/>
          <w:szCs w:val="24"/>
          <w:lang w:val="en-US"/>
        </w:rPr>
        <w:t xml:space="preserve">, P. chlamydospora </w:t>
      </w:r>
      <w:r>
        <w:rPr>
          <w:rFonts w:ascii="Book Antiqua" w:eastAsia="Times New Roman" w:hAnsi="Book Antiqua" w:cs="Times New Roman"/>
          <w:iCs/>
          <w:sz w:val="24"/>
          <w:szCs w:val="24"/>
          <w:lang w:val="en-US"/>
        </w:rPr>
        <w:t>MN011</w:t>
      </w:r>
      <w:r>
        <w:rPr>
          <w:rFonts w:ascii="Book Antiqua" w:eastAsia="Times New Roman" w:hAnsi="Book Antiqua" w:cs="Times New Roman"/>
          <w:i/>
          <w:iCs/>
          <w:sz w:val="24"/>
          <w:szCs w:val="24"/>
          <w:lang w:val="en-US"/>
        </w:rPr>
        <w:t xml:space="preserve">, F. mediterranea </w:t>
      </w:r>
      <w:r>
        <w:rPr>
          <w:rFonts w:ascii="Book Antiqua" w:eastAsia="Times New Roman" w:hAnsi="Book Antiqua" w:cs="Times New Roman"/>
          <w:iCs/>
          <w:sz w:val="24"/>
          <w:szCs w:val="24"/>
          <w:lang w:val="en-US"/>
        </w:rPr>
        <w:t>MN008</w:t>
      </w:r>
      <w:r>
        <w:rPr>
          <w:rFonts w:ascii="Book Antiqua" w:eastAsia="Times New Roman" w:hAnsi="Book Antiqua" w:cs="Times New Roman"/>
          <w:i/>
          <w:iCs/>
          <w:sz w:val="24"/>
          <w:szCs w:val="24"/>
          <w:lang w:val="en-US"/>
        </w:rPr>
        <w:t xml:space="preserve"> </w:t>
      </w:r>
      <w:r>
        <w:rPr>
          <w:rFonts w:ascii="Book Antiqua" w:eastAsia="Times New Roman" w:hAnsi="Book Antiqua" w:cs="Times New Roman"/>
          <w:sz w:val="24"/>
          <w:szCs w:val="24"/>
          <w:lang w:val="en-US"/>
        </w:rPr>
        <w:t xml:space="preserve">na KDA, </w:t>
      </w:r>
      <w:r>
        <w:rPr>
          <w:rFonts w:ascii="Book Antiqua" w:hAnsi="Book Antiqua"/>
          <w:sz w:val="24"/>
          <w:szCs w:val="24"/>
        </w:rPr>
        <w:t xml:space="preserve">dopunjenoj filtratima kulture proučavanih bioloških agensa. </w:t>
      </w:r>
    </w:p>
    <w:p w14:paraId="3A0BB6C7"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 xml:space="preserve">Trodnevni micelijski fragmenti (po jedan čep od 5 mm u svakoj boci od 100 mL) prenešeni su u sterilni </w:t>
      </w:r>
      <w:r>
        <w:rPr>
          <w:rFonts w:ascii="Book Antiqua" w:eastAsia="Times New Roman" w:hAnsi="Book Antiqua" w:cs="Times New Roman"/>
          <w:bCs/>
          <w:sz w:val="24"/>
          <w:szCs w:val="24"/>
          <w:lang w:val="en-US"/>
        </w:rPr>
        <w:t>tečni KDA</w:t>
      </w:r>
      <w:r>
        <w:rPr>
          <w:rFonts w:ascii="Book Antiqua" w:eastAsia="Times New Roman" w:hAnsi="Book Antiqua" w:cs="Times New Roman"/>
          <w:sz w:val="24"/>
          <w:szCs w:val="24"/>
          <w:lang w:val="en-US"/>
        </w:rPr>
        <w:t xml:space="preserve"> i inkubirani uz miješanje (100 rpm) </w:t>
      </w:r>
      <w:r>
        <w:rPr>
          <w:rFonts w:ascii="Book Antiqua" w:eastAsia="Times New Roman" w:hAnsi="Book Antiqua" w:cs="Times New Roman"/>
          <w:bCs/>
          <w:sz w:val="24"/>
          <w:szCs w:val="24"/>
          <w:lang w:val="en-US"/>
        </w:rPr>
        <w:t>14 dana na 24 °C u mraku</w:t>
      </w:r>
      <w:r>
        <w:rPr>
          <w:rFonts w:ascii="Book Antiqua" w:eastAsia="Times New Roman" w:hAnsi="Book Antiqua" w:cs="Times New Roman"/>
          <w:sz w:val="24"/>
          <w:szCs w:val="24"/>
          <w:lang w:val="en-US"/>
        </w:rPr>
        <w:t>. Filtrati kultura su odvojeni od micelije grubom filtracijom, a zatim korišćenjem filtera (poroznosti 0,45 μm i 0,22 μm).</w:t>
      </w:r>
    </w:p>
    <w:p w14:paraId="6E6FD1FF" w14:textId="77777777" w:rsidR="003801E8" w:rsidRDefault="00E44AAE">
      <w:pPr>
        <w:spacing w:before="100" w:beforeAutospacing="1" w:after="100" w:afterAutospacing="1" w:line="360" w:lineRule="auto"/>
        <w:jc w:val="both"/>
        <w:rPr>
          <w:rFonts w:ascii="Book Antiqua" w:eastAsia="Times New Roman" w:hAnsi="Book Antiqua" w:cs="Times New Roman"/>
          <w:bCs/>
          <w:sz w:val="24"/>
          <w:szCs w:val="24"/>
          <w:lang w:val="en-US"/>
        </w:rPr>
      </w:pPr>
      <w:r>
        <w:rPr>
          <w:rFonts w:ascii="Book Antiqua" w:eastAsia="Times New Roman" w:hAnsi="Book Antiqua" w:cs="Times New Roman"/>
          <w:sz w:val="24"/>
          <w:szCs w:val="24"/>
          <w:lang w:val="en-US"/>
        </w:rPr>
        <w:t xml:space="preserve">Da bi se dobila konačna koncentracija filtrata od </w:t>
      </w:r>
      <w:r>
        <w:rPr>
          <w:rFonts w:ascii="Book Antiqua" w:eastAsia="Times New Roman" w:hAnsi="Book Antiqua" w:cs="Times New Roman"/>
          <w:bCs/>
          <w:sz w:val="24"/>
          <w:szCs w:val="24"/>
          <w:lang w:val="en-US"/>
        </w:rPr>
        <w:t>50%</w:t>
      </w:r>
      <w:r>
        <w:rPr>
          <w:rFonts w:ascii="Book Antiqua" w:eastAsia="Times New Roman" w:hAnsi="Book Antiqua" w:cs="Times New Roman"/>
          <w:b/>
          <w:bCs/>
          <w:sz w:val="24"/>
          <w:szCs w:val="24"/>
          <w:lang w:val="en-US"/>
        </w:rPr>
        <w:t xml:space="preserve"> </w:t>
      </w:r>
      <w:r>
        <w:rPr>
          <w:rFonts w:ascii="Book Antiqua" w:eastAsia="Times New Roman" w:hAnsi="Book Antiqua" w:cs="Times New Roman"/>
          <w:bCs/>
          <w:sz w:val="24"/>
          <w:szCs w:val="24"/>
          <w:lang w:val="en-US"/>
        </w:rPr>
        <w:t>u KDA</w:t>
      </w:r>
      <w:r>
        <w:rPr>
          <w:rFonts w:ascii="Book Antiqua" w:eastAsia="Times New Roman" w:hAnsi="Book Antiqua" w:cs="Times New Roman"/>
          <w:sz w:val="24"/>
          <w:szCs w:val="24"/>
          <w:lang w:val="en-US"/>
        </w:rPr>
        <w:t xml:space="preserve">, sterilni filtrati </w:t>
      </w:r>
      <w:r>
        <w:rPr>
          <w:rFonts w:ascii="Book Antiqua" w:eastAsia="Times New Roman" w:hAnsi="Book Antiqua" w:cs="Times New Roman"/>
          <w:bCs/>
          <w:i/>
          <w:sz w:val="24"/>
          <w:szCs w:val="24"/>
          <w:lang w:val="en-US"/>
        </w:rPr>
        <w:t>T. atroviride</w:t>
      </w:r>
      <w:r>
        <w:rPr>
          <w:rFonts w:ascii="Book Antiqua" w:eastAsia="Times New Roman" w:hAnsi="Book Antiqua" w:cs="Times New Roman"/>
          <w:bCs/>
          <w:sz w:val="24"/>
          <w:szCs w:val="24"/>
          <w:lang w:val="en-US"/>
        </w:rPr>
        <w:t xml:space="preserve"> SC1</w:t>
      </w:r>
      <w:r>
        <w:rPr>
          <w:rFonts w:ascii="Book Antiqua" w:eastAsia="Times New Roman" w:hAnsi="Book Antiqua" w:cs="Times New Roman"/>
          <w:sz w:val="24"/>
          <w:szCs w:val="24"/>
          <w:lang w:val="en-US"/>
        </w:rPr>
        <w:t xml:space="preserve"> i izolata </w:t>
      </w:r>
      <w:r>
        <w:rPr>
          <w:rFonts w:ascii="Book Antiqua" w:eastAsia="Times New Roman" w:hAnsi="Book Antiqua" w:cs="Times New Roman"/>
          <w:bCs/>
          <w:i/>
          <w:sz w:val="24"/>
          <w:szCs w:val="24"/>
          <w:lang w:val="en-US"/>
        </w:rPr>
        <w:t>T. citrinoviride</w:t>
      </w:r>
      <w:r>
        <w:rPr>
          <w:rFonts w:ascii="Book Antiqua" w:eastAsia="Times New Roman" w:hAnsi="Book Antiqua" w:cs="Times New Roman"/>
          <w:b/>
          <w:bCs/>
          <w:sz w:val="24"/>
          <w:szCs w:val="24"/>
          <w:lang w:val="en-US"/>
        </w:rPr>
        <w:t xml:space="preserve"> </w:t>
      </w:r>
      <w:r>
        <w:rPr>
          <w:rFonts w:ascii="Book Antiqua" w:eastAsia="Times New Roman" w:hAnsi="Book Antiqua" w:cs="Times New Roman"/>
          <w:sz w:val="24"/>
          <w:szCs w:val="24"/>
          <w:lang w:val="en-US"/>
        </w:rPr>
        <w:t>T-CG</w:t>
      </w:r>
      <w:r>
        <w:rPr>
          <w:rFonts w:ascii="Book Antiqua" w:eastAsia="Times New Roman" w:hAnsi="Book Antiqua" w:cs="Times New Roman"/>
          <w:b/>
          <w:bCs/>
          <w:sz w:val="24"/>
          <w:szCs w:val="24"/>
          <w:lang w:val="en-US"/>
        </w:rPr>
        <w:t xml:space="preserve"> </w:t>
      </w:r>
      <w:r>
        <w:rPr>
          <w:rFonts w:ascii="Book Antiqua" w:eastAsia="Times New Roman" w:hAnsi="Book Antiqua" w:cs="Times New Roman"/>
          <w:bCs/>
          <w:sz w:val="24"/>
          <w:szCs w:val="24"/>
          <w:lang w:val="en-US"/>
        </w:rPr>
        <w:t>po</w:t>
      </w:r>
      <w:r>
        <w:rPr>
          <w:rFonts w:ascii="Book Antiqua" w:eastAsia="Times New Roman" w:hAnsi="Book Antiqua" w:cs="Times New Roman"/>
          <w:sz w:val="24"/>
          <w:szCs w:val="24"/>
          <w:lang w:val="en-US"/>
        </w:rPr>
        <w:t xml:space="preserve">miješani su s autoklaviranim PDA (55 °C) u odgovarajućem volumenskom odnosu; 50% filtrata: 50 mL sterilnog filtrata + 50 mL KDA. Kontrolne Petri kutije (0% filtrata) sadržale su samo autoklavirani KDA bez filtrata. Otprilike </w:t>
      </w:r>
      <w:r>
        <w:rPr>
          <w:rFonts w:ascii="Book Antiqua" w:eastAsia="Times New Roman" w:hAnsi="Book Antiqua" w:cs="Times New Roman"/>
          <w:bCs/>
          <w:sz w:val="24"/>
          <w:szCs w:val="24"/>
          <w:lang w:val="en-US"/>
        </w:rPr>
        <w:t>20 mL podloge sa filtratom</w:t>
      </w:r>
      <w:r>
        <w:rPr>
          <w:rFonts w:ascii="Book Antiqua" w:eastAsia="Times New Roman" w:hAnsi="Book Antiqua" w:cs="Times New Roman"/>
          <w:sz w:val="24"/>
          <w:szCs w:val="24"/>
          <w:lang w:val="en-US"/>
        </w:rPr>
        <w:t xml:space="preserve"> razliveno je u svaku Petri posudu za tretmane, a 20 mL običnog KDA za kontrolu. Inokulacija je obavljena postavljanjem micelijskog čepa (</w:t>
      </w:r>
      <w:r>
        <w:rPr>
          <w:rFonts w:ascii="Book Antiqua" w:eastAsia="Times New Roman" w:hAnsi="Book Antiqua" w:cs="Times New Roman"/>
          <w:bCs/>
          <w:sz w:val="24"/>
          <w:szCs w:val="24"/>
          <w:lang w:val="en-US"/>
        </w:rPr>
        <w:t xml:space="preserve">5-mm) proučavanih patogena u sredinu Petri posude. </w:t>
      </w:r>
    </w:p>
    <w:p w14:paraId="52D81E72" w14:textId="77777777" w:rsidR="003801E8" w:rsidRDefault="00E44AAE">
      <w:pPr>
        <w:spacing w:before="100" w:beforeAutospacing="1" w:after="100" w:afterAutospacing="1" w:line="360" w:lineRule="auto"/>
        <w:jc w:val="both"/>
        <w:rPr>
          <w:rFonts w:ascii="Book Antiqua" w:hAnsi="Book Antiqua"/>
          <w:sz w:val="24"/>
          <w:szCs w:val="24"/>
        </w:rPr>
      </w:pPr>
      <w:r>
        <w:rPr>
          <w:rFonts w:ascii="Book Antiqua" w:hAnsi="Book Antiqua"/>
          <w:sz w:val="24"/>
          <w:szCs w:val="24"/>
        </w:rPr>
        <w:t xml:space="preserve">Antagonistički potencijal bakar(I)oksida (Cu2O) iz preparata </w:t>
      </w:r>
      <w:r>
        <w:rPr>
          <w:rFonts w:ascii="Book Antiqua" w:hAnsi="Book Antiqua" w:cs="Arial"/>
          <w:bCs/>
          <w:sz w:val="24"/>
          <w:szCs w:val="24"/>
          <w:shd w:val="clear" w:color="auto" w:fill="FFFFFF"/>
        </w:rPr>
        <w:t>NORDOX® 75 WG</w:t>
      </w:r>
      <w:r>
        <w:rPr>
          <w:rFonts w:ascii="Arial" w:hAnsi="Arial" w:cs="Arial"/>
          <w:bCs/>
          <w:shd w:val="clear" w:color="auto" w:fill="FFFFFF"/>
        </w:rPr>
        <w:t> </w:t>
      </w:r>
      <w:r>
        <w:rPr>
          <w:rFonts w:ascii="Book Antiqua" w:hAnsi="Book Antiqua"/>
          <w:sz w:val="24"/>
          <w:szCs w:val="24"/>
        </w:rPr>
        <w:t xml:space="preserve">procijenjena je na osnovu inhibicije rasta proučavanih patogena na KDA. Sterilni tečni KDA dopunjen je sa </w:t>
      </w:r>
      <w:r>
        <w:rPr>
          <w:rFonts w:ascii="Book Antiqua" w:hAnsi="Book Antiqua"/>
          <w:bCs/>
          <w:sz w:val="24"/>
          <w:szCs w:val="24"/>
        </w:rPr>
        <w:t>dvije koncentracije bakra</w:t>
      </w:r>
      <w:r>
        <w:rPr>
          <w:rFonts w:ascii="Book Antiqua" w:hAnsi="Book Antiqua"/>
          <w:sz w:val="24"/>
          <w:szCs w:val="24"/>
        </w:rPr>
        <w:t xml:space="preserve">: 0,05% i 0,5% (w/v) pripremljene rastvaranjem odgovarajuće količine preparata Nordox u podlozi. </w:t>
      </w:r>
      <w:r>
        <w:rPr>
          <w:rFonts w:ascii="Book Antiqua" w:hAnsi="Book Antiqua"/>
          <w:sz w:val="24"/>
          <w:szCs w:val="24"/>
        </w:rPr>
        <w:lastRenderedPageBreak/>
        <w:t>Kontrolne Petri posude (0% bakra) sadržale su samo autoklavirani KDA bez dodatka preparata. Otprilike 20</w:t>
      </w:r>
      <w:r>
        <w:rPr>
          <w:rFonts w:ascii="Times New Roman" w:hAnsi="Times New Roman" w:cs="Times New Roman"/>
          <w:sz w:val="24"/>
          <w:szCs w:val="24"/>
        </w:rPr>
        <w:t> </w:t>
      </w:r>
      <w:r>
        <w:rPr>
          <w:rFonts w:ascii="Book Antiqua" w:hAnsi="Book Antiqua"/>
          <w:sz w:val="24"/>
          <w:szCs w:val="24"/>
        </w:rPr>
        <w:t xml:space="preserve">mL podloge razliveno je u svaku Petri posudu i inokulisano micelijskim čepom (5-mm) proučavanih patogena. </w:t>
      </w:r>
    </w:p>
    <w:p w14:paraId="4814CA2A"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bCs/>
          <w:sz w:val="24"/>
          <w:szCs w:val="24"/>
          <w:lang w:val="en-US"/>
        </w:rPr>
        <w:t xml:space="preserve">Posude su obavijene parafilmom i  </w:t>
      </w:r>
      <w:r>
        <w:rPr>
          <w:rFonts w:ascii="Book Antiqua" w:eastAsia="Times New Roman" w:hAnsi="Book Antiqua" w:cs="Times New Roman"/>
          <w:sz w:val="24"/>
          <w:szCs w:val="24"/>
          <w:lang w:val="en-US"/>
        </w:rPr>
        <w:t xml:space="preserve">inkubirane na 25 °C tokom </w:t>
      </w:r>
      <w:r>
        <w:rPr>
          <w:rFonts w:ascii="Book Antiqua" w:eastAsia="Times New Roman" w:hAnsi="Book Antiqua" w:cs="Times New Roman"/>
          <w:bCs/>
          <w:sz w:val="24"/>
          <w:szCs w:val="24"/>
          <w:lang w:val="en-US"/>
        </w:rPr>
        <w:t>10 dana</w:t>
      </w:r>
      <w:r>
        <w:rPr>
          <w:rFonts w:ascii="Book Antiqua" w:eastAsia="Times New Roman" w:hAnsi="Book Antiqua" w:cs="Times New Roman"/>
          <w:sz w:val="24"/>
          <w:szCs w:val="24"/>
          <w:lang w:val="en-US"/>
        </w:rPr>
        <w:t xml:space="preserve">. </w:t>
      </w:r>
      <w:r>
        <w:rPr>
          <w:rFonts w:ascii="Book Antiqua" w:hAnsi="Book Antiqua" w:cs="Times New Roman"/>
          <w:bCs/>
          <w:kern w:val="2"/>
          <w:sz w:val="24"/>
          <w:szCs w:val="24"/>
          <w:lang w:val="en-US" w:eastAsia="sr-Latn-ME"/>
        </w:rPr>
        <w:t>Ogled je postavljen u tri nezavisna eksperimenta sa četiri ponavljanja</w:t>
      </w:r>
      <w:r>
        <w:rPr>
          <w:rFonts w:ascii="Book Antiqua" w:eastAsia="Times New Roman" w:hAnsi="Book Antiqua" w:cs="Times New Roman"/>
          <w:sz w:val="24"/>
          <w:szCs w:val="24"/>
          <w:lang w:val="en-US"/>
        </w:rPr>
        <w:t xml:space="preserve">. Uporedni prečnici kolonija mjereni  su </w:t>
      </w:r>
      <w:r>
        <w:rPr>
          <w:rFonts w:ascii="Book Antiqua" w:eastAsia="Times New Roman" w:hAnsi="Book Antiqua" w:cs="Times New Roman"/>
          <w:bCs/>
          <w:sz w:val="24"/>
          <w:szCs w:val="24"/>
          <w:lang w:val="en-US"/>
        </w:rPr>
        <w:t>10 dana nakon inokulacije</w:t>
      </w:r>
      <w:r>
        <w:rPr>
          <w:rFonts w:ascii="Book Antiqua" w:eastAsia="Times New Roman" w:hAnsi="Book Antiqua" w:cs="Times New Roman"/>
          <w:b/>
          <w:bCs/>
          <w:sz w:val="24"/>
          <w:szCs w:val="24"/>
          <w:lang w:val="en-US"/>
        </w:rPr>
        <w:t>,</w:t>
      </w:r>
      <w:r>
        <w:rPr>
          <w:rFonts w:ascii="Book Antiqua" w:eastAsia="Times New Roman" w:hAnsi="Book Antiqua" w:cs="Times New Roman"/>
          <w:sz w:val="24"/>
          <w:szCs w:val="24"/>
          <w:lang w:val="en-US"/>
        </w:rPr>
        <w:t xml:space="preserve"> a procenat inhibicije rasta (I%) izračunat je po formuli:</w:t>
      </w:r>
    </w:p>
    <w:p w14:paraId="609C836C" w14:textId="77777777" w:rsidR="003801E8" w:rsidRDefault="00E44AAE">
      <w:pPr>
        <w:tabs>
          <w:tab w:val="left" w:pos="3315"/>
        </w:tabs>
        <w:spacing w:line="360" w:lineRule="auto"/>
        <w:jc w:val="both"/>
        <w:rPr>
          <w:rFonts w:ascii="Book Antiqua" w:hAnsi="Book Antiqua" w:cs="Times New Roman"/>
          <w:sz w:val="24"/>
          <w:szCs w:val="24"/>
        </w:rPr>
      </w:pPr>
      <m:oMathPara>
        <m:oMath>
          <m:r>
            <m:rPr>
              <m:sty m:val="p"/>
            </m:rPr>
            <w:rPr>
              <w:rFonts w:ascii="Cambria Math" w:hAnsi="Cambria Math" w:cs="Times New Roman"/>
              <w:sz w:val="24"/>
              <w:szCs w:val="24"/>
            </w:rPr>
            <m:t>I</m:t>
          </m:r>
          <m:d>
            <m:dPr>
              <m:ctrlPr>
                <w:rPr>
                  <w:rFonts w:ascii="Cambria Math" w:hAnsi="Cambria Math" w:cs="Times New Roman"/>
                  <w:sz w:val="24"/>
                  <w:szCs w:val="24"/>
                </w:rPr>
              </m:ctrlPr>
            </m:dPr>
            <m:e>
              <m:r>
                <m:rPr>
                  <m:sty m:val="p"/>
                </m:rPr>
                <w:rPr>
                  <w:rFonts w:ascii="Cambria Math" w:hAnsi="Cambria Math" w:cs="Times New Roman"/>
                  <w:sz w:val="24"/>
                  <w:szCs w:val="24"/>
                </w:rPr>
                <m:t>%</m:t>
              </m:r>
            </m:e>
          </m:d>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tretman</m:t>
              </m:r>
            </m:num>
            <m:den>
              <m:r>
                <w:rPr>
                  <w:rFonts w:ascii="Cambria Math" w:hAnsi="Cambria Math" w:cs="Times New Roman"/>
                  <w:sz w:val="24"/>
                  <w:szCs w:val="24"/>
                </w:rPr>
                <m:t>kontrola</m:t>
              </m:r>
            </m:den>
          </m:f>
          <m:r>
            <w:rPr>
              <w:rFonts w:ascii="Cambria Math" w:hAnsi="Cambria Math" w:cs="Times New Roman"/>
              <w:sz w:val="24"/>
              <w:szCs w:val="24"/>
            </w:rPr>
            <m:t>x100</m:t>
          </m:r>
        </m:oMath>
      </m:oMathPara>
    </w:p>
    <w:p w14:paraId="6F6AC217"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 xml:space="preserve">Analiza varijanse (ANOVA) i Bonferonijeva metoda korekcije su korišćeni u cilju utvrđivanja antagonističkog efekta </w:t>
      </w:r>
      <w:r>
        <w:rPr>
          <w:rFonts w:ascii="Book Antiqua" w:hAnsi="Book Antiqua" w:cs="Times New Roman"/>
          <w:i/>
          <w:iCs/>
          <w:sz w:val="24"/>
          <w:szCs w:val="24"/>
        </w:rPr>
        <w:t>T. citrinoviride</w:t>
      </w:r>
      <w:r>
        <w:rPr>
          <w:rFonts w:ascii="Book Antiqua" w:hAnsi="Book Antiqua" w:cs="Times New Roman"/>
          <w:sz w:val="24"/>
          <w:szCs w:val="24"/>
        </w:rPr>
        <w:t xml:space="preserve"> T-CG, </w:t>
      </w:r>
      <w:r>
        <w:rPr>
          <w:rFonts w:ascii="Book Antiqua" w:hAnsi="Book Antiqua" w:cs="Times New Roman"/>
          <w:i/>
          <w:iCs/>
          <w:sz w:val="24"/>
          <w:szCs w:val="24"/>
        </w:rPr>
        <w:t>T. atroviride</w:t>
      </w:r>
      <w:r>
        <w:rPr>
          <w:rFonts w:ascii="Book Antiqua" w:hAnsi="Book Antiqua" w:cs="Times New Roman"/>
          <w:sz w:val="24"/>
          <w:szCs w:val="24"/>
        </w:rPr>
        <w:t xml:space="preserve"> SC1 i </w:t>
      </w:r>
      <w:r>
        <w:rPr>
          <w:rFonts w:ascii="Book Antiqua" w:hAnsi="Book Antiqua"/>
          <w:sz w:val="24"/>
          <w:szCs w:val="24"/>
        </w:rPr>
        <w:t xml:space="preserve">bakar(I)oksida </w:t>
      </w:r>
      <w:r>
        <w:rPr>
          <w:rFonts w:ascii="Book Antiqua" w:hAnsi="Book Antiqua" w:cs="Times New Roman"/>
          <w:sz w:val="24"/>
          <w:szCs w:val="24"/>
        </w:rPr>
        <w:t xml:space="preserve">prema ispitivanim patogenim izolatima. Nivo statističke značajnosti je postavljen na p=0.05. </w:t>
      </w:r>
    </w:p>
    <w:p w14:paraId="6DA4CFDC" w14:textId="77777777" w:rsidR="003801E8" w:rsidRDefault="003801E8">
      <w:pPr>
        <w:tabs>
          <w:tab w:val="left" w:pos="3315"/>
        </w:tabs>
        <w:spacing w:line="360" w:lineRule="auto"/>
        <w:jc w:val="both"/>
        <w:rPr>
          <w:rFonts w:ascii="Book Antiqua" w:hAnsi="Book Antiqua" w:cs="Times New Roman"/>
          <w:sz w:val="24"/>
          <w:szCs w:val="24"/>
        </w:rPr>
      </w:pPr>
    </w:p>
    <w:p w14:paraId="66C70D27" w14:textId="77777777" w:rsidR="003801E8" w:rsidRDefault="00E44AAE">
      <w:pPr>
        <w:spacing w:after="160" w:line="360" w:lineRule="auto"/>
        <w:jc w:val="both"/>
        <w:rPr>
          <w:rFonts w:ascii="Book Antiqua" w:hAnsi="Book Antiqua" w:cs="Times New Roman"/>
          <w:b/>
          <w:i/>
          <w:iCs/>
          <w:kern w:val="2"/>
          <w:sz w:val="24"/>
          <w:szCs w:val="24"/>
          <w:lang w:val="en-US" w:eastAsia="sr-Latn-ME"/>
        </w:rPr>
      </w:pPr>
      <w:r>
        <w:rPr>
          <w:rFonts w:ascii="Book Antiqua" w:hAnsi="Book Antiqua" w:cs="Times New Roman"/>
          <w:b/>
          <w:kern w:val="2"/>
          <w:sz w:val="24"/>
          <w:szCs w:val="24"/>
          <w:lang w:val="en-US" w:eastAsia="sr-Latn-ME"/>
        </w:rPr>
        <w:t xml:space="preserve">4.9 </w:t>
      </w:r>
      <w:r>
        <w:rPr>
          <w:rFonts w:ascii="Book Antiqua" w:hAnsi="Book Antiqua" w:cs="Times New Roman"/>
          <w:b/>
          <w:i/>
          <w:iCs/>
          <w:kern w:val="2"/>
          <w:sz w:val="24"/>
          <w:szCs w:val="24"/>
          <w:lang w:eastAsia="sr-Latn-ME"/>
        </w:rPr>
        <w:t xml:space="preserve">In vivo </w:t>
      </w:r>
      <w:r>
        <w:rPr>
          <w:rFonts w:ascii="Book Antiqua" w:hAnsi="Book Antiqua" w:cs="Times New Roman"/>
          <w:b/>
          <w:iCs/>
          <w:kern w:val="2"/>
          <w:sz w:val="24"/>
          <w:szCs w:val="24"/>
          <w:lang w:eastAsia="sr-Latn-ME"/>
        </w:rPr>
        <w:t>test</w:t>
      </w:r>
      <w:r>
        <w:rPr>
          <w:rFonts w:ascii="Book Antiqua" w:hAnsi="Book Antiqua" w:cs="Times New Roman"/>
          <w:b/>
          <w:i/>
          <w:iCs/>
          <w:kern w:val="2"/>
          <w:sz w:val="24"/>
          <w:szCs w:val="24"/>
          <w:lang w:eastAsia="sr-Latn-ME"/>
        </w:rPr>
        <w:t xml:space="preserve"> </w:t>
      </w:r>
      <w:r>
        <w:rPr>
          <w:rFonts w:ascii="Book Antiqua" w:hAnsi="Book Antiqua" w:cs="Times New Roman"/>
          <w:b/>
          <w:i/>
          <w:iCs/>
          <w:kern w:val="2"/>
          <w:sz w:val="24"/>
          <w:szCs w:val="24"/>
          <w:lang w:val="en-US" w:eastAsia="sr-Latn-ME"/>
        </w:rPr>
        <w:t xml:space="preserve">T. citrinoviride T-CG i T. atroviride </w:t>
      </w:r>
      <w:r>
        <w:rPr>
          <w:rFonts w:ascii="Book Antiqua" w:hAnsi="Book Antiqua" w:cs="Times New Roman"/>
          <w:b/>
          <w:iCs/>
          <w:kern w:val="2"/>
          <w:sz w:val="24"/>
          <w:szCs w:val="24"/>
          <w:lang w:val="en-US" w:eastAsia="sr-Latn-ME"/>
        </w:rPr>
        <w:t>SC1 prema</w:t>
      </w:r>
      <w:r>
        <w:rPr>
          <w:rFonts w:ascii="Book Antiqua" w:hAnsi="Book Antiqua" w:cs="Times New Roman"/>
          <w:b/>
          <w:i/>
          <w:iCs/>
          <w:kern w:val="2"/>
          <w:sz w:val="24"/>
          <w:szCs w:val="24"/>
          <w:lang w:val="en-US" w:eastAsia="sr-Latn-ME"/>
        </w:rPr>
        <w:t xml:space="preserve"> Phaeoacremonium minimum, Phaeomoniella chlamydospora, Neofusicoccum parvum</w:t>
      </w:r>
    </w:p>
    <w:p w14:paraId="7D507019"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 xml:space="preserve">Prema metodi datoj od </w:t>
      </w:r>
      <w:r>
        <w:rPr>
          <w:rFonts w:ascii="Book Antiqua" w:hAnsi="Book Antiqua" w:cs="Times New Roman"/>
          <w:b/>
          <w:kern w:val="2"/>
          <w:sz w:val="24"/>
          <w:szCs w:val="24"/>
          <w:lang w:val="en-US" w:eastAsia="sr-Latn-ME"/>
        </w:rPr>
        <w:t>Di Marco et al. (2022)</w:t>
      </w:r>
      <w:r>
        <w:rPr>
          <w:rFonts w:ascii="Book Antiqua" w:hAnsi="Book Antiqua" w:cs="Times New Roman"/>
          <w:bCs/>
          <w:kern w:val="2"/>
          <w:sz w:val="24"/>
          <w:szCs w:val="24"/>
          <w:lang w:val="en-US" w:eastAsia="sr-Latn-ME"/>
        </w:rPr>
        <w:t xml:space="preserve"> obavljeno je </w:t>
      </w:r>
      <w:r>
        <w:rPr>
          <w:rFonts w:ascii="Book Antiqua" w:hAnsi="Book Antiqua" w:cs="Times New Roman"/>
          <w:bCs/>
          <w:i/>
          <w:iCs/>
          <w:kern w:val="2"/>
          <w:sz w:val="24"/>
          <w:szCs w:val="24"/>
          <w:lang w:val="en-US" w:eastAsia="sr-Latn-ME"/>
        </w:rPr>
        <w:t>in vivo</w:t>
      </w:r>
      <w:r>
        <w:rPr>
          <w:rFonts w:ascii="Book Antiqua" w:hAnsi="Book Antiqua" w:cs="Times New Roman"/>
          <w:bCs/>
          <w:kern w:val="2"/>
          <w:sz w:val="24"/>
          <w:szCs w:val="24"/>
          <w:lang w:val="en-US" w:eastAsia="sr-Latn-ME"/>
        </w:rPr>
        <w:t xml:space="preserve"> testiranje antagonističkog potencijala </w:t>
      </w:r>
      <w:r>
        <w:rPr>
          <w:rFonts w:ascii="Book Antiqua" w:hAnsi="Book Antiqua" w:cs="Times New Roman"/>
          <w:bCs/>
          <w:i/>
          <w:iCs/>
          <w:kern w:val="2"/>
          <w:sz w:val="24"/>
          <w:szCs w:val="24"/>
          <w:lang w:val="en-US" w:eastAsia="sr-Latn-ME"/>
        </w:rPr>
        <w:t xml:space="preserve">T. citrinoviride </w:t>
      </w:r>
      <w:r>
        <w:rPr>
          <w:rFonts w:ascii="Book Antiqua" w:hAnsi="Book Antiqua" w:cs="Times New Roman"/>
          <w:bCs/>
          <w:kern w:val="2"/>
          <w:sz w:val="24"/>
          <w:szCs w:val="24"/>
          <w:lang w:val="en-US" w:eastAsia="sr-Latn-ME"/>
        </w:rPr>
        <w:t xml:space="preserve">T-CG i </w:t>
      </w:r>
      <w:r>
        <w:rPr>
          <w:rFonts w:ascii="Book Antiqua" w:hAnsi="Book Antiqua" w:cs="Times New Roman"/>
          <w:bCs/>
          <w:i/>
          <w:iCs/>
          <w:kern w:val="2"/>
          <w:sz w:val="24"/>
          <w:szCs w:val="24"/>
          <w:lang w:val="en-US" w:eastAsia="sr-Latn-ME"/>
        </w:rPr>
        <w:t>T. atroviride</w:t>
      </w:r>
      <w:r>
        <w:rPr>
          <w:rFonts w:ascii="Book Antiqua" w:hAnsi="Book Antiqua" w:cs="Times New Roman"/>
          <w:bCs/>
          <w:kern w:val="2"/>
          <w:sz w:val="24"/>
          <w:szCs w:val="24"/>
          <w:lang w:val="en-US" w:eastAsia="sr-Latn-ME"/>
        </w:rPr>
        <w:t xml:space="preserve"> SC1 (Vintec</w:t>
      </w:r>
      <w:r>
        <w:rPr>
          <w:rFonts w:ascii="Book Antiqua" w:hAnsi="Book Antiqua" w:cs="Times New Roman"/>
          <w:bCs/>
          <w:kern w:val="2"/>
          <w:sz w:val="24"/>
          <w:szCs w:val="24"/>
          <w:lang w:eastAsia="sr-Latn-ME"/>
        </w:rPr>
        <w:t>®</w:t>
      </w:r>
      <w:r>
        <w:rPr>
          <w:rFonts w:ascii="Book Antiqua" w:hAnsi="Book Antiqua" w:cs="Times New Roman"/>
          <w:bCs/>
          <w:kern w:val="2"/>
          <w:sz w:val="24"/>
          <w:szCs w:val="24"/>
          <w:lang w:val="en-US" w:eastAsia="sr-Latn-ME"/>
        </w:rPr>
        <w:t xml:space="preserve">) prema izolatima gljiva </w:t>
      </w:r>
      <w:r>
        <w:rPr>
          <w:rFonts w:ascii="Book Antiqua" w:hAnsi="Book Antiqua" w:cs="Times New Roman"/>
          <w:bCs/>
          <w:i/>
          <w:iCs/>
          <w:kern w:val="2"/>
          <w:sz w:val="24"/>
          <w:szCs w:val="24"/>
          <w:lang w:val="en-US" w:eastAsia="sr-Latn-ME"/>
        </w:rPr>
        <w:t xml:space="preserve">P. minimum </w:t>
      </w:r>
      <w:r>
        <w:rPr>
          <w:rFonts w:ascii="Book Antiqua" w:hAnsi="Book Antiqua" w:cs="Times New Roman"/>
          <w:bCs/>
          <w:kern w:val="2"/>
          <w:sz w:val="24"/>
          <w:szCs w:val="24"/>
          <w:lang w:val="en-US" w:eastAsia="sr-Latn-ME"/>
        </w:rPr>
        <w:t xml:space="preserve">MN002, </w:t>
      </w:r>
      <w:r>
        <w:rPr>
          <w:rFonts w:ascii="Book Antiqua" w:hAnsi="Book Antiqua" w:cs="Times New Roman"/>
          <w:bCs/>
          <w:i/>
          <w:iCs/>
          <w:kern w:val="2"/>
          <w:sz w:val="24"/>
          <w:szCs w:val="24"/>
          <w:lang w:val="en-US" w:eastAsia="sr-Latn-ME"/>
        </w:rPr>
        <w:t xml:space="preserve">P. chlamydospora </w:t>
      </w:r>
      <w:r>
        <w:rPr>
          <w:rFonts w:ascii="Book Antiqua" w:hAnsi="Book Antiqua" w:cs="Times New Roman"/>
          <w:bCs/>
          <w:kern w:val="2"/>
          <w:sz w:val="24"/>
          <w:szCs w:val="24"/>
          <w:lang w:val="en-US" w:eastAsia="sr-Latn-ME"/>
        </w:rPr>
        <w:t xml:space="preserve">MN011 i </w:t>
      </w:r>
      <w:r>
        <w:rPr>
          <w:rFonts w:ascii="Book Antiqua" w:hAnsi="Book Antiqua" w:cs="Times New Roman"/>
          <w:bCs/>
          <w:i/>
          <w:iCs/>
          <w:kern w:val="2"/>
          <w:sz w:val="24"/>
          <w:szCs w:val="24"/>
          <w:lang w:val="en-US" w:eastAsia="sr-Latn-ME"/>
        </w:rPr>
        <w:t>N. parvum</w:t>
      </w:r>
      <w:r>
        <w:rPr>
          <w:rFonts w:ascii="Book Antiqua" w:hAnsi="Book Antiqua" w:cs="Times New Roman"/>
          <w:bCs/>
          <w:kern w:val="2"/>
          <w:sz w:val="24"/>
          <w:szCs w:val="24"/>
          <w:lang w:val="en-US" w:eastAsia="sr-Latn-ME"/>
        </w:rPr>
        <w:t xml:space="preserve"> mnsm23. U eksperimentu su korišćene mlade biljke vinove loze proizvedene u  rasadniku, sorte Vranac. Rezidba lastara je obavljena neposredno prije tretmana gljivama iz roda </w:t>
      </w:r>
      <w:r>
        <w:rPr>
          <w:rFonts w:ascii="Book Antiqua" w:hAnsi="Book Antiqua" w:cs="Times New Roman"/>
          <w:bCs/>
          <w:i/>
          <w:iCs/>
          <w:kern w:val="2"/>
          <w:sz w:val="24"/>
          <w:szCs w:val="24"/>
          <w:lang w:val="en-US" w:eastAsia="sr-Latn-ME"/>
        </w:rPr>
        <w:t>Trichoderma</w:t>
      </w:r>
      <w:r>
        <w:rPr>
          <w:rFonts w:ascii="Book Antiqua" w:hAnsi="Book Antiqua" w:cs="Times New Roman"/>
          <w:bCs/>
          <w:kern w:val="2"/>
          <w:sz w:val="24"/>
          <w:szCs w:val="24"/>
          <w:lang w:val="en-US" w:eastAsia="sr-Latn-ME"/>
        </w:rPr>
        <w:t xml:space="preserve">. Viabilnost konidija </w:t>
      </w:r>
      <w:r>
        <w:rPr>
          <w:rFonts w:ascii="Book Antiqua" w:hAnsi="Book Antiqua" w:cs="Times New Roman"/>
          <w:bCs/>
          <w:i/>
          <w:iCs/>
          <w:kern w:val="2"/>
          <w:sz w:val="24"/>
          <w:szCs w:val="24"/>
          <w:lang w:val="en-US" w:eastAsia="sr-Latn-ME"/>
        </w:rPr>
        <w:t>T. atroviride</w:t>
      </w:r>
      <w:r>
        <w:rPr>
          <w:rFonts w:ascii="Book Antiqua" w:hAnsi="Book Antiqua" w:cs="Times New Roman"/>
          <w:bCs/>
          <w:kern w:val="2"/>
          <w:sz w:val="24"/>
          <w:szCs w:val="24"/>
          <w:lang w:val="en-US" w:eastAsia="sr-Latn-ME"/>
        </w:rPr>
        <w:t xml:space="preserve"> SC1 i </w:t>
      </w:r>
      <w:r>
        <w:rPr>
          <w:rFonts w:ascii="Book Antiqua" w:hAnsi="Book Antiqua" w:cs="Times New Roman"/>
          <w:bCs/>
          <w:i/>
          <w:iCs/>
          <w:kern w:val="2"/>
          <w:sz w:val="24"/>
          <w:szCs w:val="24"/>
          <w:lang w:val="en-US" w:eastAsia="sr-Latn-ME"/>
        </w:rPr>
        <w:t>T. citrinoviride</w:t>
      </w:r>
      <w:r>
        <w:rPr>
          <w:rFonts w:ascii="Book Antiqua" w:hAnsi="Book Antiqua" w:cs="Times New Roman"/>
          <w:bCs/>
          <w:kern w:val="2"/>
          <w:sz w:val="24"/>
          <w:szCs w:val="24"/>
          <w:lang w:val="en-US" w:eastAsia="sr-Latn-ME"/>
        </w:rPr>
        <w:t xml:space="preserve"> T-CG je provjerena prije eksperimenta, prema </w:t>
      </w:r>
      <w:r>
        <w:rPr>
          <w:rFonts w:ascii="Book Antiqua" w:hAnsi="Book Antiqua" w:cs="Times New Roman"/>
          <w:b/>
          <w:kern w:val="2"/>
          <w:sz w:val="24"/>
          <w:szCs w:val="24"/>
          <w:lang w:val="en-US" w:eastAsia="sr-Latn-ME"/>
        </w:rPr>
        <w:t>Pertot et al. (2016)</w:t>
      </w:r>
      <w:r>
        <w:rPr>
          <w:rFonts w:ascii="Book Antiqua" w:hAnsi="Book Antiqua" w:cs="Times New Roman"/>
          <w:bCs/>
          <w:kern w:val="2"/>
          <w:sz w:val="24"/>
          <w:szCs w:val="24"/>
          <w:lang w:val="en-US" w:eastAsia="sr-Latn-ME"/>
        </w:rPr>
        <w:t xml:space="preserve">. </w:t>
      </w:r>
    </w:p>
    <w:p w14:paraId="11E9749B"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Suspenzija preparata Vintec® (</w:t>
      </w:r>
      <w:r>
        <w:rPr>
          <w:rFonts w:ascii="Book Antiqua" w:hAnsi="Book Antiqua" w:cs="Times New Roman"/>
          <w:bCs/>
          <w:i/>
          <w:iCs/>
          <w:kern w:val="2"/>
          <w:sz w:val="24"/>
          <w:szCs w:val="24"/>
          <w:lang w:val="en-US" w:eastAsia="sr-Latn-ME"/>
        </w:rPr>
        <w:t>T. atroviride</w:t>
      </w:r>
      <w:r>
        <w:rPr>
          <w:rFonts w:ascii="Book Antiqua" w:hAnsi="Book Antiqua" w:cs="Times New Roman"/>
          <w:bCs/>
          <w:kern w:val="2"/>
          <w:sz w:val="24"/>
          <w:szCs w:val="24"/>
          <w:lang w:val="en-US" w:eastAsia="sr-Latn-ME"/>
        </w:rPr>
        <w:t xml:space="preserve"> SC1, koncentracije 10</w:t>
      </w:r>
      <w:r>
        <w:rPr>
          <w:rFonts w:ascii="Times New Roman" w:hAnsi="Times New Roman" w:cs="Times New Roman"/>
          <w:bCs/>
          <w:kern w:val="2"/>
          <w:sz w:val="24"/>
          <w:szCs w:val="24"/>
          <w:vertAlign w:val="superscript"/>
          <w:lang w:val="en-US" w:eastAsia="sr-Latn-ME"/>
        </w:rPr>
        <w:t>10</w:t>
      </w:r>
      <w:r>
        <w:rPr>
          <w:rFonts w:ascii="Book Antiqua" w:hAnsi="Book Antiqua" w:cs="Times New Roman"/>
          <w:bCs/>
          <w:kern w:val="2"/>
          <w:sz w:val="24"/>
          <w:szCs w:val="24"/>
          <w:lang w:val="en-US" w:eastAsia="sr-Latn-ME"/>
        </w:rPr>
        <w:t xml:space="preserve">) je pripremljena prema preporuci proizvođača. U cilju ekvivalentnosti, takođe je napravljena suspenzija </w:t>
      </w:r>
      <w:r>
        <w:rPr>
          <w:rFonts w:ascii="Book Antiqua" w:hAnsi="Book Antiqua" w:cs="Times New Roman"/>
          <w:bCs/>
          <w:i/>
          <w:iCs/>
          <w:kern w:val="2"/>
          <w:sz w:val="24"/>
          <w:szCs w:val="24"/>
          <w:lang w:val="en-US" w:eastAsia="sr-Latn-ME"/>
        </w:rPr>
        <w:t xml:space="preserve">T. citrinoviride </w:t>
      </w:r>
      <w:r>
        <w:rPr>
          <w:rFonts w:ascii="Book Antiqua" w:hAnsi="Book Antiqua" w:cs="Times New Roman"/>
          <w:bCs/>
          <w:kern w:val="2"/>
          <w:sz w:val="24"/>
          <w:szCs w:val="24"/>
          <w:lang w:val="en-US" w:eastAsia="sr-Latn-ME"/>
        </w:rPr>
        <w:t xml:space="preserve">T-CG, identične količine spora </w:t>
      </w:r>
      <w:r>
        <w:rPr>
          <w:rFonts w:ascii="Book Antiqua" w:hAnsi="Book Antiqua" w:cs="Times New Roman"/>
          <w:bCs/>
          <w:kern w:val="2"/>
          <w:sz w:val="24"/>
          <w:szCs w:val="24"/>
          <w:lang w:val="en-US" w:eastAsia="sr-Latn-ME"/>
        </w:rPr>
        <w:lastRenderedPageBreak/>
        <w:t>(koncentracije 10</w:t>
      </w:r>
      <w:r>
        <w:rPr>
          <w:rFonts w:ascii="Book Antiqua" w:hAnsi="Book Antiqua" w:cs="Times New Roman"/>
          <w:bCs/>
          <w:kern w:val="2"/>
          <w:sz w:val="24"/>
          <w:szCs w:val="24"/>
          <w:vertAlign w:val="superscript"/>
          <w:lang w:val="en-US" w:eastAsia="sr-Latn-ME"/>
        </w:rPr>
        <w:t>10</w:t>
      </w:r>
      <w:r>
        <w:rPr>
          <w:rFonts w:ascii="Book Antiqua" w:hAnsi="Book Antiqua" w:cs="Times New Roman"/>
          <w:bCs/>
          <w:kern w:val="2"/>
          <w:sz w:val="24"/>
          <w:szCs w:val="24"/>
          <w:lang w:val="en-US" w:eastAsia="sr-Latn-ME"/>
        </w:rPr>
        <w:t>). Tretman je obavljen ručnom prskalicom, sa</w:t>
      </w:r>
      <w:r>
        <w:rPr>
          <w:rFonts w:ascii="Book Antiqua" w:hAnsi="Book Antiqua" w:cs="Times New Roman"/>
          <w:bCs/>
          <w:kern w:val="2"/>
          <w:sz w:val="24"/>
          <w:szCs w:val="24"/>
          <w:lang w:eastAsia="sr-Latn-ME"/>
        </w:rPr>
        <w:t xml:space="preserve"> istom količinom suspenzije </w:t>
      </w:r>
      <w:r>
        <w:rPr>
          <w:rFonts w:ascii="Book Antiqua" w:hAnsi="Book Antiqua" w:cs="Times New Roman"/>
          <w:bCs/>
          <w:i/>
          <w:iCs/>
          <w:kern w:val="2"/>
          <w:sz w:val="24"/>
          <w:szCs w:val="24"/>
          <w:lang w:eastAsia="sr-Latn-ME"/>
        </w:rPr>
        <w:t>T. atroviride</w:t>
      </w:r>
      <w:r>
        <w:rPr>
          <w:rFonts w:ascii="Book Antiqua" w:hAnsi="Book Antiqua" w:cs="Times New Roman"/>
          <w:bCs/>
          <w:kern w:val="2"/>
          <w:sz w:val="24"/>
          <w:szCs w:val="24"/>
          <w:lang w:eastAsia="sr-Latn-ME"/>
        </w:rPr>
        <w:t xml:space="preserve"> SC1 i </w:t>
      </w:r>
      <w:r>
        <w:rPr>
          <w:rFonts w:ascii="Book Antiqua" w:hAnsi="Book Antiqua" w:cs="Times New Roman"/>
          <w:bCs/>
          <w:i/>
          <w:iCs/>
          <w:kern w:val="2"/>
          <w:sz w:val="24"/>
          <w:szCs w:val="24"/>
          <w:lang w:eastAsia="sr-Latn-ME"/>
        </w:rPr>
        <w:t xml:space="preserve">T. citrinoviride </w:t>
      </w:r>
      <w:r>
        <w:rPr>
          <w:rFonts w:ascii="Book Antiqua" w:hAnsi="Book Antiqua" w:cs="Times New Roman"/>
          <w:bCs/>
          <w:kern w:val="2"/>
          <w:sz w:val="24"/>
          <w:szCs w:val="24"/>
          <w:lang w:eastAsia="sr-Latn-ME"/>
        </w:rPr>
        <w:t>T-CG</w:t>
      </w:r>
      <w:r>
        <w:rPr>
          <w:rFonts w:ascii="Book Antiqua" w:hAnsi="Book Antiqua" w:cs="Times New Roman"/>
          <w:bCs/>
          <w:kern w:val="2"/>
          <w:sz w:val="24"/>
          <w:szCs w:val="24"/>
          <w:lang w:val="en-US" w:eastAsia="sr-Latn-ME"/>
        </w:rPr>
        <w:t>. Kontrolni lastari su tretirani sterilnom destilovanom vodom. Nakon tretmana, 24 sata, lastari su inokulisani sa 100 µl konidijalne suspenzije koncentracije 10</w:t>
      </w:r>
      <w:r>
        <w:rPr>
          <w:rFonts w:ascii="Times New Roman" w:hAnsi="Times New Roman" w:cs="Times New Roman"/>
          <w:bCs/>
          <w:kern w:val="2"/>
          <w:sz w:val="24"/>
          <w:szCs w:val="24"/>
          <w:vertAlign w:val="superscript"/>
          <w:lang w:val="en-US" w:eastAsia="sr-Latn-ME"/>
        </w:rPr>
        <w:t>5</w:t>
      </w:r>
      <w:r>
        <w:rPr>
          <w:rFonts w:ascii="Book Antiqua" w:hAnsi="Book Antiqua" w:cs="Times New Roman"/>
          <w:bCs/>
          <w:kern w:val="2"/>
          <w:sz w:val="24"/>
          <w:szCs w:val="24"/>
          <w:vertAlign w:val="superscript"/>
          <w:lang w:val="en-US" w:eastAsia="sr-Latn-ME"/>
        </w:rPr>
        <w:t xml:space="preserve"> </w:t>
      </w:r>
      <w:r>
        <w:rPr>
          <w:rFonts w:ascii="Book Antiqua" w:hAnsi="Book Antiqua" w:cs="Times New Roman"/>
          <w:bCs/>
          <w:kern w:val="2"/>
          <w:sz w:val="24"/>
          <w:szCs w:val="24"/>
          <w:lang w:val="en-US" w:eastAsia="sr-Latn-ME"/>
        </w:rPr>
        <w:t xml:space="preserve">napravljene od izolata </w:t>
      </w:r>
      <w:r>
        <w:rPr>
          <w:rFonts w:ascii="Book Antiqua" w:hAnsi="Book Antiqua" w:cs="Times New Roman"/>
          <w:bCs/>
          <w:i/>
          <w:iCs/>
          <w:kern w:val="2"/>
          <w:sz w:val="24"/>
          <w:szCs w:val="24"/>
          <w:lang w:val="en-US" w:eastAsia="sr-Latn-ME"/>
        </w:rPr>
        <w:t xml:space="preserve">P. minimum </w:t>
      </w:r>
      <w:r>
        <w:rPr>
          <w:rFonts w:ascii="Book Antiqua" w:hAnsi="Book Antiqua" w:cs="Times New Roman"/>
          <w:bCs/>
          <w:kern w:val="2"/>
          <w:sz w:val="24"/>
          <w:szCs w:val="24"/>
          <w:lang w:val="en-US" w:eastAsia="sr-Latn-ME"/>
        </w:rPr>
        <w:t xml:space="preserve">MN002, </w:t>
      </w:r>
      <w:r>
        <w:rPr>
          <w:rFonts w:ascii="Book Antiqua" w:hAnsi="Book Antiqua" w:cs="Times New Roman"/>
          <w:bCs/>
          <w:i/>
          <w:iCs/>
          <w:kern w:val="2"/>
          <w:sz w:val="24"/>
          <w:szCs w:val="24"/>
          <w:lang w:val="en-US" w:eastAsia="sr-Latn-ME"/>
        </w:rPr>
        <w:t xml:space="preserve">P. chlamydospore </w:t>
      </w:r>
      <w:r>
        <w:rPr>
          <w:rFonts w:ascii="Book Antiqua" w:hAnsi="Book Antiqua" w:cs="Times New Roman"/>
          <w:bCs/>
          <w:kern w:val="2"/>
          <w:sz w:val="24"/>
          <w:szCs w:val="24"/>
          <w:lang w:val="en-US" w:eastAsia="sr-Latn-ME"/>
        </w:rPr>
        <w:t xml:space="preserve">MN011 i </w:t>
      </w:r>
      <w:r>
        <w:rPr>
          <w:rFonts w:ascii="Book Antiqua" w:hAnsi="Book Antiqua" w:cs="Times New Roman"/>
          <w:bCs/>
          <w:i/>
          <w:iCs/>
          <w:kern w:val="2"/>
          <w:sz w:val="24"/>
          <w:szCs w:val="24"/>
          <w:lang w:val="en-US" w:eastAsia="sr-Latn-ME"/>
        </w:rPr>
        <w:t xml:space="preserve">N. parvum </w:t>
      </w:r>
      <w:r>
        <w:rPr>
          <w:rFonts w:ascii="Book Antiqua" w:hAnsi="Book Antiqua" w:cs="Times New Roman"/>
          <w:bCs/>
          <w:kern w:val="2"/>
          <w:sz w:val="24"/>
          <w:szCs w:val="24"/>
          <w:lang w:val="en-US" w:eastAsia="sr-Latn-ME"/>
        </w:rPr>
        <w:t xml:space="preserve">mnsm23. Spore gljive </w:t>
      </w:r>
      <w:r>
        <w:rPr>
          <w:rFonts w:ascii="Book Antiqua" w:hAnsi="Book Antiqua" w:cs="Times New Roman"/>
          <w:bCs/>
          <w:i/>
          <w:iCs/>
          <w:kern w:val="2"/>
          <w:sz w:val="24"/>
          <w:szCs w:val="24"/>
          <w:lang w:val="en-US" w:eastAsia="sr-Latn-ME"/>
        </w:rPr>
        <w:t>N. parvum</w:t>
      </w:r>
      <w:r>
        <w:rPr>
          <w:rFonts w:ascii="Book Antiqua" w:hAnsi="Book Antiqua" w:cs="Times New Roman"/>
          <w:bCs/>
          <w:kern w:val="2"/>
          <w:sz w:val="24"/>
          <w:szCs w:val="24"/>
          <w:lang w:val="en-US" w:eastAsia="sr-Latn-ME"/>
        </w:rPr>
        <w:t xml:space="preserve"> dobijene su postavljanjem micelijskog čepa (5 mm) uzetog sa ivice kolonije patogena, između borovih iglica (</w:t>
      </w:r>
      <w:r>
        <w:rPr>
          <w:rFonts w:ascii="Book Antiqua" w:hAnsi="Book Antiqua" w:cs="Times New Roman"/>
          <w:bCs/>
          <w:i/>
          <w:iCs/>
          <w:kern w:val="2"/>
          <w:sz w:val="24"/>
          <w:szCs w:val="24"/>
          <w:lang w:val="en-US" w:eastAsia="sr-Latn-ME"/>
        </w:rPr>
        <w:t>Pinus</w:t>
      </w:r>
      <w:r>
        <w:rPr>
          <w:rFonts w:ascii="Book Antiqua" w:hAnsi="Book Antiqua" w:cs="Times New Roman"/>
          <w:bCs/>
          <w:kern w:val="2"/>
          <w:sz w:val="24"/>
          <w:szCs w:val="24"/>
          <w:lang w:val="en-US" w:eastAsia="sr-Latn-ME"/>
        </w:rPr>
        <w:t xml:space="preserve"> spp.) na vodenom agaru. Piknidi i konidije su formirani nakon 15 dana, a prikupljeni su l</w:t>
      </w:r>
      <w:r>
        <w:rPr>
          <w:rFonts w:ascii="Book Antiqua" w:hAnsi="Book Antiqua" w:cs="Times New Roman"/>
          <w:bCs/>
          <w:kern w:val="2"/>
          <w:sz w:val="24"/>
          <w:szCs w:val="24"/>
          <w:lang w:eastAsia="sr-Latn-ME"/>
        </w:rPr>
        <w:t xml:space="preserve">aganim struganjem sterilnim skalpelom po površini borovih iglica i prenešeni u ependorfe sa sterilnom destilovanom vodom. </w:t>
      </w:r>
      <w:r>
        <w:rPr>
          <w:rFonts w:ascii="Book Antiqua" w:hAnsi="Book Antiqua" w:cs="Times New Roman"/>
          <w:bCs/>
          <w:kern w:val="2"/>
          <w:sz w:val="24"/>
          <w:szCs w:val="24"/>
          <w:lang w:val="en-US" w:eastAsia="sr-Latn-ME"/>
        </w:rPr>
        <w:t>Upotrebom hemocitometra, napravljena je suspenzija od 5000 spora (koncentracije 10</w:t>
      </w:r>
      <w:r>
        <w:rPr>
          <w:rFonts w:ascii="Times New Roman" w:hAnsi="Times New Roman" w:cs="Times New Roman"/>
          <w:bCs/>
          <w:kern w:val="2"/>
          <w:sz w:val="24"/>
          <w:szCs w:val="24"/>
          <w:vertAlign w:val="superscript"/>
          <w:lang w:val="en-US" w:eastAsia="sr-Latn-ME"/>
        </w:rPr>
        <w:t>5</w:t>
      </w:r>
      <w:r>
        <w:rPr>
          <w:rFonts w:ascii="Book Antiqua" w:hAnsi="Book Antiqua" w:cs="Times New Roman"/>
          <w:bCs/>
          <w:kern w:val="2"/>
          <w:sz w:val="24"/>
          <w:szCs w:val="24"/>
          <w:lang w:val="en-US" w:eastAsia="sr-Latn-ME"/>
        </w:rPr>
        <w:t xml:space="preserve">) kojom su inokulisani lastari vinove loze u količini od 100 µl/lastaru. Za svaki tretman su korišćene po 4 biljke, a sproveden je u tri ponavljanja.  </w:t>
      </w:r>
    </w:p>
    <w:p w14:paraId="442B2C29"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 xml:space="preserve">Sedam mjeseci nakon inokulacije lastari su orezani na dužinu od 10 cm. Jednogodišnji lastari, formirani u periodu nakon inokulacije orezani su na dužinu od 3 cm. U cilju reizolacije, lastari su potopljeni u 70% etanol i površinski sterilisani na plameniku. Skalpelom je oguljena kora, a sa površine lastara sterilnim makazama je uklonjen površinski fragment debljine 2 mm. Iz zona od 1-2 cm, 2-3 cm, 3-4 cm i 4-5 cm dužine lastara, napravljen po jedan isječak debljine 2 mm. Takođe je isječen fragment tkiva debljine 2 mm sa lastara formiranog u toku vegetacije. Svi isječci su podijeljeni na 4 fragmenata, a zatim stavljeni na KDA (sa dodatkom streptomicin sulfata 0.5 g/l). Sve Petri kutije su obložene parafilmom i inkubirane u termostatu na 24 °C. </w:t>
      </w:r>
    </w:p>
    <w:p w14:paraId="4749F02B"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 xml:space="preserve">Praćenje razvoja kolonija obavljeno je nakon 3, 7, 10, 15 i 21 dan. Razvijene kolonije su morfološki identifikovane upoređivanjem sa izvornim kulturama korišćenih izolata. Procjena efikasnosti endofitnih gljiva iz roda </w:t>
      </w:r>
      <w:r>
        <w:rPr>
          <w:rFonts w:ascii="Book Antiqua" w:hAnsi="Book Antiqua" w:cs="Times New Roman"/>
          <w:bCs/>
          <w:i/>
          <w:iCs/>
          <w:kern w:val="2"/>
          <w:sz w:val="24"/>
          <w:szCs w:val="24"/>
          <w:lang w:val="en-US" w:eastAsia="sr-Latn-ME"/>
        </w:rPr>
        <w:t>Trichoderma</w:t>
      </w:r>
      <w:r>
        <w:rPr>
          <w:rFonts w:ascii="Book Antiqua" w:hAnsi="Book Antiqua" w:cs="Times New Roman"/>
          <w:bCs/>
          <w:kern w:val="2"/>
          <w:sz w:val="24"/>
          <w:szCs w:val="24"/>
          <w:lang w:val="en-US" w:eastAsia="sr-Latn-ME"/>
        </w:rPr>
        <w:t xml:space="preserve"> urađena je prema </w:t>
      </w:r>
      <w:r>
        <w:rPr>
          <w:rFonts w:ascii="Book Antiqua" w:hAnsi="Book Antiqua" w:cs="Times New Roman"/>
          <w:b/>
          <w:kern w:val="2"/>
          <w:sz w:val="24"/>
          <w:szCs w:val="24"/>
          <w:lang w:val="en-US" w:eastAsia="sr-Latn-ME"/>
        </w:rPr>
        <w:t>Pollard Flamand et al. (2022)</w:t>
      </w:r>
      <w:r>
        <w:rPr>
          <w:rFonts w:ascii="Book Antiqua" w:hAnsi="Book Antiqua" w:cs="Times New Roman"/>
          <w:bCs/>
          <w:kern w:val="2"/>
          <w:sz w:val="24"/>
          <w:szCs w:val="24"/>
          <w:lang w:val="en-US" w:eastAsia="sr-Latn-ME"/>
        </w:rPr>
        <w:t>.</w:t>
      </w:r>
    </w:p>
    <w:p w14:paraId="7A8F8233" w14:textId="77777777" w:rsidR="003801E8" w:rsidRDefault="003801E8">
      <w:pPr>
        <w:spacing w:after="160" w:line="360" w:lineRule="auto"/>
        <w:jc w:val="both"/>
        <w:rPr>
          <w:rFonts w:ascii="Book Antiqua" w:hAnsi="Book Antiqua" w:cs="Times New Roman"/>
          <w:bCs/>
          <w:kern w:val="2"/>
          <w:sz w:val="24"/>
          <w:szCs w:val="24"/>
          <w:lang w:val="en-US" w:eastAsia="sr-Latn-ME"/>
        </w:rPr>
      </w:pPr>
    </w:p>
    <w:p w14:paraId="6E82E3E6"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lastRenderedPageBreak/>
        <w:t xml:space="preserve"> Srednji procenat infekcije (MPI) izračunat je za svakog patogena iz svih pozitivinih kontrola i tretmana. Prema istim autorima proračunata je srednja efikasnost testiranih antagonističkih mikroorganizama (MPDC), korišćenjem formule: </w:t>
      </w:r>
    </w:p>
    <w:p w14:paraId="2E6DD4AF" w14:textId="77777777" w:rsidR="003801E8" w:rsidRDefault="00E44AAE">
      <w:pPr>
        <w:spacing w:after="160" w:line="360" w:lineRule="auto"/>
        <w:jc w:val="both"/>
        <w:rPr>
          <w:rFonts w:ascii="Book Antiqua" w:hAnsi="Book Antiqua" w:cs="Times New Roman"/>
          <w:bCs/>
          <w:kern w:val="2"/>
          <w:sz w:val="24"/>
          <w:szCs w:val="24"/>
          <w:lang w:val="en-US" w:eastAsia="sr-Latn-ME"/>
        </w:rPr>
      </w:pPr>
      <m:oMathPara>
        <m:oMath>
          <m:r>
            <m:rPr>
              <m:sty m:val="p"/>
            </m:rPr>
            <w:rPr>
              <w:rFonts w:ascii="Cambria Math" w:hAnsi="Cambria Math" w:cs="Times New Roman"/>
              <w:kern w:val="2"/>
              <w:sz w:val="24"/>
              <w:szCs w:val="24"/>
              <w:lang w:val="en-US" w:eastAsia="sr-Latn-ME"/>
            </w:rPr>
            <m:t xml:space="preserve">MPDC </m:t>
          </m:r>
          <m:d>
            <m:dPr>
              <m:ctrlPr>
                <w:rPr>
                  <w:rFonts w:ascii="Cambria Math" w:hAnsi="Cambria Math" w:cs="Times New Roman"/>
                  <w:bCs/>
                  <w:kern w:val="2"/>
                  <w:sz w:val="24"/>
                  <w:szCs w:val="24"/>
                  <w:lang w:val="en-US" w:eastAsia="sr-Latn-ME"/>
                </w:rPr>
              </m:ctrlPr>
            </m:dPr>
            <m:e>
              <m:r>
                <m:rPr>
                  <m:sty m:val="p"/>
                </m:rPr>
                <w:rPr>
                  <w:rFonts w:ascii="Cambria Math" w:hAnsi="Cambria Math" w:cs="Times New Roman"/>
                  <w:kern w:val="2"/>
                  <w:sz w:val="24"/>
                  <w:szCs w:val="24"/>
                  <w:lang w:val="en-US" w:eastAsia="sr-Latn-ME"/>
                </w:rPr>
                <m:t>%</m:t>
              </m:r>
            </m:e>
          </m:d>
          <m:r>
            <w:rPr>
              <w:rFonts w:ascii="Cambria Math" w:hAnsi="Cambria Math" w:cs="Times New Roman"/>
              <w:kern w:val="2"/>
              <w:sz w:val="24"/>
              <w:szCs w:val="24"/>
              <w:lang w:val="en-US" w:eastAsia="sr-Latn-ME"/>
            </w:rPr>
            <m:t xml:space="preserve">= </m:t>
          </m:r>
          <m:f>
            <m:fPr>
              <m:ctrlPr>
                <w:rPr>
                  <w:rFonts w:ascii="Cambria Math" w:hAnsi="Cambria Math" w:cs="Times New Roman"/>
                  <w:bCs/>
                  <w:kern w:val="2"/>
                  <w:sz w:val="24"/>
                  <w:szCs w:val="24"/>
                  <w:lang w:val="en-US" w:eastAsia="sr-Latn-ME"/>
                </w:rPr>
              </m:ctrlPr>
            </m:fPr>
            <m:num>
              <m:r>
                <w:rPr>
                  <w:rFonts w:ascii="Cambria Math" w:hAnsi="Cambria Math" w:cs="Times New Roman"/>
                  <w:kern w:val="2"/>
                  <w:sz w:val="24"/>
                  <w:szCs w:val="24"/>
                  <w:lang w:val="en-US" w:eastAsia="sr-Latn-ME"/>
                </w:rPr>
                <m:t>MPR tretman</m:t>
              </m:r>
            </m:num>
            <m:den>
              <m:r>
                <w:rPr>
                  <w:rFonts w:ascii="Cambria Math" w:hAnsi="Cambria Math" w:cs="Times New Roman"/>
                  <w:kern w:val="2"/>
                  <w:sz w:val="24"/>
                  <w:szCs w:val="24"/>
                  <w:lang w:val="en-US" w:eastAsia="sr-Latn-ME"/>
                </w:rPr>
                <m:t xml:space="preserve">MPR kontrola  </m:t>
              </m:r>
            </m:den>
          </m:f>
          <m:r>
            <w:rPr>
              <w:rFonts w:ascii="Cambria Math" w:hAnsi="Cambria Math" w:cs="Times New Roman"/>
              <w:kern w:val="2"/>
              <w:sz w:val="24"/>
              <w:szCs w:val="24"/>
              <w:lang w:val="en-US" w:eastAsia="sr-Latn-ME"/>
            </w:rPr>
            <m:t xml:space="preserve"> x 100</m:t>
          </m:r>
        </m:oMath>
      </m:oMathPara>
    </w:p>
    <w:p w14:paraId="4685073B" w14:textId="77777777" w:rsidR="003801E8" w:rsidRDefault="00E44AAE">
      <w:pPr>
        <w:spacing w:after="160" w:line="360" w:lineRule="auto"/>
        <w:jc w:val="both"/>
        <w:rPr>
          <w:rFonts w:ascii="Book Antiqua" w:hAnsi="Book Antiqua" w:cs="Times New Roman"/>
          <w:bCs/>
          <w:kern w:val="2"/>
          <w:sz w:val="24"/>
          <w:szCs w:val="24"/>
          <w:lang w:val="en-US" w:eastAsia="sr-Latn-ME"/>
        </w:rPr>
      </w:pPr>
      <w:r>
        <w:rPr>
          <w:rFonts w:ascii="Book Antiqua" w:hAnsi="Book Antiqua" w:cs="Times New Roman"/>
          <w:bCs/>
          <w:kern w:val="2"/>
          <w:sz w:val="24"/>
          <w:szCs w:val="24"/>
          <w:lang w:val="en-US" w:eastAsia="sr-Latn-ME"/>
        </w:rPr>
        <w:t>U kori</w:t>
      </w:r>
      <w:r>
        <w:rPr>
          <w:rFonts w:ascii="Book Antiqua" w:hAnsi="Book Antiqua" w:cs="Times New Roman"/>
          <w:bCs/>
          <w:kern w:val="2"/>
          <w:sz w:val="24"/>
          <w:szCs w:val="24"/>
          <w:lang w:eastAsia="sr-Latn-ME"/>
        </w:rPr>
        <w:t xml:space="preserve">šćenoj formuli oznaka MPR predstavlja procenat srednje vrijednosti kolonizovanih lastara u tretmanu, a MPR kontrola predstavlja procenat srednje vrijednosti kolonizovanih lastara u kontroli.  </w:t>
      </w:r>
    </w:p>
    <w:p w14:paraId="78732B1C"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 xml:space="preserve">Analiza varijanse (ANOVA) i Bonferonijeva metoda korekcije su korišćeni u cilju utvrđivanja antagonističkog efekta </w:t>
      </w:r>
      <w:r>
        <w:rPr>
          <w:rFonts w:ascii="Book Antiqua" w:hAnsi="Book Antiqua" w:cs="Times New Roman"/>
          <w:i/>
          <w:iCs/>
          <w:sz w:val="24"/>
          <w:szCs w:val="24"/>
        </w:rPr>
        <w:t>T. citrinoviride</w:t>
      </w:r>
      <w:r>
        <w:rPr>
          <w:rFonts w:ascii="Book Antiqua" w:hAnsi="Book Antiqua" w:cs="Times New Roman"/>
          <w:sz w:val="24"/>
          <w:szCs w:val="24"/>
        </w:rPr>
        <w:t xml:space="preserve"> T-CG i </w:t>
      </w:r>
      <w:r>
        <w:rPr>
          <w:rFonts w:ascii="Book Antiqua" w:hAnsi="Book Antiqua" w:cs="Times New Roman"/>
          <w:i/>
          <w:iCs/>
          <w:sz w:val="24"/>
          <w:szCs w:val="24"/>
        </w:rPr>
        <w:t>T. atroviride</w:t>
      </w:r>
      <w:r>
        <w:rPr>
          <w:rFonts w:ascii="Book Antiqua" w:hAnsi="Book Antiqua" w:cs="Times New Roman"/>
          <w:sz w:val="24"/>
          <w:szCs w:val="24"/>
        </w:rPr>
        <w:t xml:space="preserve"> SC1 prema ispitivanim patogenim izolatima. Nivo statističke značajnosti je postavljen na p=0.05. </w:t>
      </w:r>
    </w:p>
    <w:p w14:paraId="7549D8B7" w14:textId="77777777" w:rsidR="003801E8" w:rsidRDefault="003801E8">
      <w:pPr>
        <w:tabs>
          <w:tab w:val="left" w:pos="3315"/>
        </w:tabs>
        <w:spacing w:line="360" w:lineRule="auto"/>
        <w:jc w:val="both"/>
        <w:rPr>
          <w:rFonts w:ascii="Book Antiqua" w:hAnsi="Book Antiqua" w:cs="Times New Roman"/>
          <w:sz w:val="24"/>
          <w:szCs w:val="24"/>
        </w:rPr>
      </w:pPr>
    </w:p>
    <w:p w14:paraId="2D0BD4F3" w14:textId="77777777" w:rsidR="003801E8" w:rsidRDefault="00E44AAE">
      <w:pPr>
        <w:spacing w:after="160" w:line="360" w:lineRule="auto"/>
        <w:jc w:val="both"/>
        <w:rPr>
          <w:rFonts w:ascii="Book Antiqua" w:hAnsi="Book Antiqua" w:cs="Times New Roman"/>
          <w:b/>
          <w:i/>
          <w:iCs/>
          <w:kern w:val="2"/>
          <w:sz w:val="24"/>
          <w:szCs w:val="24"/>
          <w:lang w:val="en-US" w:eastAsia="sr-Latn-ME"/>
        </w:rPr>
      </w:pPr>
      <w:r>
        <w:rPr>
          <w:rFonts w:ascii="Book Antiqua" w:hAnsi="Book Antiqua" w:cs="Times New Roman"/>
          <w:b/>
          <w:kern w:val="2"/>
          <w:sz w:val="24"/>
          <w:szCs w:val="24"/>
          <w:lang w:val="en-US" w:eastAsia="sr-Latn-ME"/>
        </w:rPr>
        <w:t xml:space="preserve">4.10 </w:t>
      </w:r>
      <w:r>
        <w:rPr>
          <w:rFonts w:ascii="Book Antiqua" w:hAnsi="Book Antiqua" w:cs="Times New Roman"/>
          <w:b/>
          <w:i/>
          <w:iCs/>
          <w:kern w:val="2"/>
          <w:sz w:val="24"/>
          <w:szCs w:val="24"/>
          <w:lang w:val="en-US" w:eastAsia="sr-Latn-ME"/>
        </w:rPr>
        <w:t xml:space="preserve">In vivo </w:t>
      </w:r>
      <w:r>
        <w:rPr>
          <w:rFonts w:ascii="Book Antiqua" w:hAnsi="Book Antiqua" w:cs="Times New Roman"/>
          <w:b/>
          <w:iCs/>
          <w:kern w:val="2"/>
          <w:sz w:val="24"/>
          <w:szCs w:val="24"/>
          <w:lang w:val="en-US" w:eastAsia="sr-Latn-ME"/>
        </w:rPr>
        <w:t>test</w:t>
      </w:r>
      <w:r>
        <w:rPr>
          <w:rFonts w:ascii="Book Antiqua" w:hAnsi="Book Antiqua" w:cs="Times New Roman"/>
          <w:b/>
          <w:i/>
          <w:iCs/>
          <w:kern w:val="2"/>
          <w:sz w:val="24"/>
          <w:szCs w:val="24"/>
          <w:lang w:val="en-US" w:eastAsia="sr-Latn-ME"/>
        </w:rPr>
        <w:t xml:space="preserve"> T. citrinoviride </w:t>
      </w:r>
      <w:r>
        <w:rPr>
          <w:rFonts w:ascii="Book Antiqua" w:hAnsi="Book Antiqua" w:cs="Times New Roman"/>
          <w:b/>
          <w:kern w:val="2"/>
          <w:sz w:val="24"/>
          <w:szCs w:val="24"/>
          <w:lang w:val="en-US" w:eastAsia="sr-Latn-ME"/>
        </w:rPr>
        <w:t>T-CG</w:t>
      </w:r>
      <w:r>
        <w:rPr>
          <w:rFonts w:ascii="Book Antiqua" w:hAnsi="Book Antiqua" w:cs="Times New Roman"/>
          <w:b/>
          <w:i/>
          <w:iCs/>
          <w:kern w:val="2"/>
          <w:sz w:val="24"/>
          <w:szCs w:val="24"/>
          <w:lang w:val="en-US" w:eastAsia="sr-Latn-ME"/>
        </w:rPr>
        <w:t xml:space="preserve">, T. atroviride </w:t>
      </w:r>
      <w:r>
        <w:rPr>
          <w:rFonts w:ascii="Book Antiqua" w:hAnsi="Book Antiqua" w:cs="Times New Roman"/>
          <w:b/>
          <w:iCs/>
          <w:kern w:val="2"/>
          <w:sz w:val="24"/>
          <w:szCs w:val="24"/>
          <w:lang w:val="en-US" w:eastAsia="sr-Latn-ME"/>
        </w:rPr>
        <w:t>SC1 i bakra prema</w:t>
      </w:r>
      <w:r>
        <w:rPr>
          <w:rFonts w:ascii="Book Antiqua" w:hAnsi="Book Antiqua" w:cs="Times New Roman"/>
          <w:b/>
          <w:i/>
          <w:iCs/>
          <w:kern w:val="2"/>
          <w:sz w:val="24"/>
          <w:szCs w:val="24"/>
          <w:lang w:val="en-US" w:eastAsia="sr-Latn-ME"/>
        </w:rPr>
        <w:t xml:space="preserve"> Fomitiporia mediterranea</w:t>
      </w:r>
    </w:p>
    <w:p w14:paraId="39F53A7B"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lang w:val="sr-Latn-RS"/>
        </w:rPr>
        <w:t>Za potvrdu antagonist</w:t>
      </w:r>
      <w:r>
        <w:rPr>
          <w:rFonts w:ascii="Book Antiqua" w:hAnsi="Book Antiqua" w:cs="Times New Roman"/>
          <w:sz w:val="24"/>
          <w:szCs w:val="24"/>
        </w:rPr>
        <w:t xml:space="preserve">ičkog efekta izolata </w:t>
      </w:r>
      <w:r>
        <w:rPr>
          <w:rFonts w:ascii="Book Antiqua" w:hAnsi="Book Antiqua" w:cs="Times New Roman"/>
          <w:i/>
          <w:iCs/>
          <w:sz w:val="24"/>
          <w:szCs w:val="24"/>
        </w:rPr>
        <w:t>T. citrinoviride</w:t>
      </w:r>
      <w:r>
        <w:rPr>
          <w:rFonts w:ascii="Book Antiqua" w:hAnsi="Book Antiqua" w:cs="Times New Roman"/>
          <w:sz w:val="24"/>
          <w:szCs w:val="24"/>
        </w:rPr>
        <w:t xml:space="preserve"> T-CG, biofungicida Vintec (</w:t>
      </w:r>
      <w:r>
        <w:rPr>
          <w:rFonts w:ascii="Book Antiqua" w:hAnsi="Book Antiqua" w:cs="Times New Roman"/>
          <w:i/>
          <w:iCs/>
          <w:sz w:val="24"/>
          <w:szCs w:val="24"/>
        </w:rPr>
        <w:t>T. atroviride</w:t>
      </w:r>
      <w:r>
        <w:rPr>
          <w:rFonts w:ascii="Book Antiqua" w:hAnsi="Book Antiqua" w:cs="Times New Roman"/>
          <w:sz w:val="24"/>
          <w:szCs w:val="24"/>
        </w:rPr>
        <w:t xml:space="preserve"> SC1) i fungicida Nordox 75WG prema izolatu </w:t>
      </w:r>
      <w:r>
        <w:rPr>
          <w:rFonts w:ascii="Book Antiqua" w:hAnsi="Book Antiqua" w:cs="Times New Roman"/>
          <w:i/>
          <w:iCs/>
          <w:sz w:val="24"/>
          <w:szCs w:val="24"/>
        </w:rPr>
        <w:t>F. mediterranea</w:t>
      </w:r>
      <w:r>
        <w:rPr>
          <w:rFonts w:ascii="Book Antiqua" w:hAnsi="Book Antiqua" w:cs="Times New Roman"/>
          <w:sz w:val="24"/>
          <w:szCs w:val="24"/>
        </w:rPr>
        <w:t xml:space="preserve"> MN008, sproveden je </w:t>
      </w:r>
      <w:r>
        <w:rPr>
          <w:rFonts w:ascii="Book Antiqua" w:hAnsi="Book Antiqua" w:cs="Times New Roman"/>
          <w:i/>
          <w:iCs/>
          <w:sz w:val="24"/>
          <w:szCs w:val="24"/>
        </w:rPr>
        <w:t>in vivo</w:t>
      </w:r>
      <w:r>
        <w:rPr>
          <w:rFonts w:ascii="Book Antiqua" w:hAnsi="Book Antiqua" w:cs="Times New Roman"/>
          <w:sz w:val="24"/>
          <w:szCs w:val="24"/>
        </w:rPr>
        <w:t xml:space="preserve"> test, na fragmentima drveta vinove loze. Eksperiment je sproveden prema metodi opisanoj od </w:t>
      </w:r>
      <w:r>
        <w:rPr>
          <w:rFonts w:ascii="Book Antiqua" w:hAnsi="Book Antiqua" w:cs="Times New Roman"/>
          <w:b/>
          <w:bCs/>
          <w:sz w:val="24"/>
          <w:szCs w:val="24"/>
        </w:rPr>
        <w:t xml:space="preserve">Riedle Bauer et al. (2023) </w:t>
      </w:r>
      <w:r>
        <w:rPr>
          <w:rFonts w:ascii="Book Antiqua" w:hAnsi="Book Antiqua" w:cs="Times New Roman"/>
          <w:sz w:val="24"/>
          <w:szCs w:val="24"/>
        </w:rPr>
        <w:t xml:space="preserve">obzirom da gljiva </w:t>
      </w:r>
      <w:r>
        <w:rPr>
          <w:rFonts w:ascii="Book Antiqua" w:hAnsi="Book Antiqua" w:cs="Times New Roman"/>
          <w:i/>
          <w:iCs/>
          <w:sz w:val="24"/>
          <w:szCs w:val="24"/>
        </w:rPr>
        <w:t>F. mediterranea</w:t>
      </w:r>
      <w:r>
        <w:rPr>
          <w:rFonts w:ascii="Book Antiqua" w:hAnsi="Book Antiqua" w:cs="Times New Roman"/>
          <w:sz w:val="24"/>
          <w:szCs w:val="24"/>
        </w:rPr>
        <w:t xml:space="preserve"> kolonizira starija stabla i ne razvija se na mladim biljkama. Za ogled su korišćeni isječci drveta vinove loze postavljeni na vodeni agar. Čokot vinove loze starosti 20 godina je isčupan u vinogradu na lokalitetu Lješkopolje i od njega su testerom napravljeni fragmenti drveta debljine 3-4 cm. Prije upotrebe testera je sterilisana 70% alkoholom. U cilju dobijanja relevantniih podataka o razvoju </w:t>
      </w:r>
      <w:r>
        <w:rPr>
          <w:rFonts w:ascii="Book Antiqua" w:hAnsi="Book Antiqua" w:cs="Times New Roman"/>
          <w:i/>
          <w:iCs/>
          <w:sz w:val="24"/>
          <w:szCs w:val="24"/>
        </w:rPr>
        <w:t>F. mediterranea</w:t>
      </w:r>
      <w:r>
        <w:rPr>
          <w:rFonts w:ascii="Book Antiqua" w:hAnsi="Book Antiqua" w:cs="Times New Roman"/>
          <w:sz w:val="24"/>
          <w:szCs w:val="24"/>
        </w:rPr>
        <w:t xml:space="preserve"> na drvetu vinove loze korišćena je jedna grupa svježih drvenih diskova, a druga grupa je autoklavirana (120°C u trajanju od 15 minuta). Svi diskovi su prije autoklaviranja potopljeni u sterilnu destilovanu </w:t>
      </w:r>
      <w:r>
        <w:rPr>
          <w:rFonts w:ascii="Book Antiqua" w:hAnsi="Book Antiqua" w:cs="Times New Roman"/>
          <w:sz w:val="24"/>
          <w:szCs w:val="24"/>
        </w:rPr>
        <w:lastRenderedPageBreak/>
        <w:t xml:space="preserve">vodu u kojoj su ostavljeni da stoje približno nedelju dana. Nakon 7 dana razvoja na KDA, kolonija </w:t>
      </w:r>
      <w:r>
        <w:rPr>
          <w:rFonts w:ascii="Book Antiqua" w:hAnsi="Book Antiqua" w:cs="Times New Roman"/>
          <w:i/>
          <w:iCs/>
          <w:sz w:val="24"/>
          <w:szCs w:val="24"/>
        </w:rPr>
        <w:t>T. citrinoviride</w:t>
      </w:r>
      <w:r>
        <w:rPr>
          <w:rFonts w:ascii="Book Antiqua" w:hAnsi="Book Antiqua" w:cs="Times New Roman"/>
          <w:sz w:val="24"/>
          <w:szCs w:val="24"/>
        </w:rPr>
        <w:t xml:space="preserve"> T-CG je u Petri posudi prelivena sterilnom destilovanom vodom, a zatim su upotrebom plastičnog štapića oslobođene konidije. Dobijena suspenzija je filtrirana kroz sterilnu gazu, a pomoću hemocitometra je podešena količina spora koncentracije 10</w:t>
      </w:r>
      <w:r>
        <w:rPr>
          <w:rFonts w:ascii="Times New Roman" w:hAnsi="Times New Roman" w:cs="Times New Roman"/>
          <w:sz w:val="24"/>
          <w:szCs w:val="24"/>
          <w:vertAlign w:val="superscript"/>
        </w:rPr>
        <w:t>8</w:t>
      </w:r>
      <w:r>
        <w:rPr>
          <w:rFonts w:ascii="Book Antiqua" w:hAnsi="Book Antiqua" w:cs="Times New Roman"/>
          <w:sz w:val="24"/>
          <w:szCs w:val="24"/>
        </w:rPr>
        <w:t>. U istoj koncentraciji (10</w:t>
      </w:r>
      <w:r>
        <w:rPr>
          <w:rFonts w:ascii="Times New Roman" w:hAnsi="Times New Roman" w:cs="Times New Roman"/>
          <w:sz w:val="24"/>
          <w:szCs w:val="24"/>
          <w:vertAlign w:val="superscript"/>
        </w:rPr>
        <w:t>8</w:t>
      </w:r>
      <w:r>
        <w:rPr>
          <w:rFonts w:ascii="Book Antiqua" w:hAnsi="Book Antiqua" w:cs="Times New Roman"/>
          <w:sz w:val="24"/>
          <w:szCs w:val="24"/>
        </w:rPr>
        <w:t xml:space="preserve">) napravljena je suspenzija </w:t>
      </w:r>
      <w:r>
        <w:rPr>
          <w:rFonts w:ascii="Book Antiqua" w:hAnsi="Book Antiqua" w:cs="Times New Roman"/>
          <w:i/>
          <w:iCs/>
          <w:sz w:val="24"/>
          <w:szCs w:val="24"/>
        </w:rPr>
        <w:t xml:space="preserve">T. atroviride </w:t>
      </w:r>
      <w:r>
        <w:rPr>
          <w:rFonts w:ascii="Book Antiqua" w:hAnsi="Book Antiqua" w:cs="Times New Roman"/>
          <w:sz w:val="24"/>
          <w:szCs w:val="24"/>
        </w:rPr>
        <w:t>SC1 (</w:t>
      </w:r>
      <w:r>
        <w:rPr>
          <w:rFonts w:ascii="Book Antiqua" w:hAnsi="Book Antiqua" w:cs="Times New Roman"/>
          <w:bCs/>
          <w:kern w:val="2"/>
          <w:sz w:val="24"/>
          <w:szCs w:val="24"/>
          <w:lang w:val="en-US" w:eastAsia="sr-Latn-ME"/>
        </w:rPr>
        <w:t>Vintec®)</w:t>
      </w:r>
      <w:r>
        <w:rPr>
          <w:rFonts w:ascii="Book Antiqua" w:hAnsi="Book Antiqua" w:cs="Times New Roman"/>
          <w:sz w:val="24"/>
          <w:szCs w:val="24"/>
        </w:rPr>
        <w:t>. Suspenzija fungicida Nordox 75 WG je pripremljena prema uputstvu proizvođača.</w:t>
      </w:r>
    </w:p>
    <w:p w14:paraId="0FD1501C"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 xml:space="preserve">U eksperimentu je korišćen identifikovani izolat gljive </w:t>
      </w:r>
      <w:r>
        <w:rPr>
          <w:rFonts w:ascii="Book Antiqua" w:hAnsi="Book Antiqua" w:cs="Times New Roman"/>
          <w:i/>
          <w:iCs/>
          <w:sz w:val="24"/>
          <w:szCs w:val="24"/>
        </w:rPr>
        <w:t>F. mediteranea</w:t>
      </w:r>
      <w:r>
        <w:rPr>
          <w:rFonts w:ascii="Book Antiqua" w:hAnsi="Book Antiqua" w:cs="Times New Roman"/>
          <w:sz w:val="24"/>
          <w:szCs w:val="24"/>
        </w:rPr>
        <w:t xml:space="preserve"> MN008. Fragmenti drveta vinove loze su sa jedne strane potopljeni u suspenziju biokontrolnih agenasa</w:t>
      </w:r>
      <w:r>
        <w:rPr>
          <w:rFonts w:ascii="Book Antiqua" w:hAnsi="Book Antiqua" w:cs="Times New Roman"/>
          <w:i/>
          <w:iCs/>
          <w:sz w:val="24"/>
          <w:szCs w:val="24"/>
        </w:rPr>
        <w:t xml:space="preserve"> (T. citrinoviride</w:t>
      </w:r>
      <w:r>
        <w:rPr>
          <w:rFonts w:ascii="Book Antiqua" w:hAnsi="Book Antiqua" w:cs="Times New Roman"/>
          <w:sz w:val="24"/>
          <w:szCs w:val="24"/>
        </w:rPr>
        <w:t xml:space="preserve"> T-CG i </w:t>
      </w:r>
      <w:r>
        <w:rPr>
          <w:rFonts w:ascii="Book Antiqua" w:hAnsi="Book Antiqua" w:cs="Times New Roman"/>
          <w:i/>
          <w:iCs/>
          <w:sz w:val="24"/>
          <w:szCs w:val="24"/>
        </w:rPr>
        <w:t>T. atroviride</w:t>
      </w:r>
      <w:r>
        <w:rPr>
          <w:rFonts w:ascii="Book Antiqua" w:hAnsi="Book Antiqua" w:cs="Times New Roman"/>
          <w:sz w:val="24"/>
          <w:szCs w:val="24"/>
        </w:rPr>
        <w:t xml:space="preserve"> SC1) i fungicida Nordox u trajanju od 10 sekundi, a zatim sa druge strane drvenog diska postavljeni na vodeni agar u Petri posudu. Nakon 24 sata, u centar svakog drvenog diska postavljen je micelijski isječak </w:t>
      </w:r>
      <w:r>
        <w:rPr>
          <w:rFonts w:ascii="Book Antiqua" w:hAnsi="Book Antiqua" w:cs="Times New Roman"/>
          <w:i/>
          <w:iCs/>
          <w:sz w:val="24"/>
          <w:szCs w:val="24"/>
        </w:rPr>
        <w:t>F. mediterranea</w:t>
      </w:r>
      <w:r>
        <w:rPr>
          <w:rFonts w:ascii="Book Antiqua" w:hAnsi="Book Antiqua" w:cs="Times New Roman"/>
          <w:sz w:val="24"/>
          <w:szCs w:val="24"/>
        </w:rPr>
        <w:t xml:space="preserve"> (prečnika 5 mm) uzet sa kolonije stare 7 dana. Kao kontrole korišćeni su diskovi inokulisani patogenom bez prethodnog potapanja u biokontrolne agense ili suspenziju fungicida, i diskovi inokulisani sa isečkom vodenog agara bez prethodnog potapanja u biokontrolne agense ili suspenziju fungicida. Inokulisani diskovi su inkubirani u termostatu 4 nedelje na temperaturi od 28 </w:t>
      </w:r>
      <w:r>
        <w:rPr>
          <w:rFonts w:ascii="Times New Roman" w:hAnsi="Times New Roman" w:cs="Times New Roman"/>
          <w:sz w:val="24"/>
          <w:szCs w:val="24"/>
        </w:rPr>
        <w:t>°</w:t>
      </w:r>
      <w:r>
        <w:rPr>
          <w:rFonts w:ascii="Book Antiqua" w:hAnsi="Book Antiqua" w:cs="Times New Roman"/>
          <w:sz w:val="24"/>
          <w:szCs w:val="24"/>
        </w:rPr>
        <w:t>C. Svi tretmani su rađeni u četiri ponavljanja. Nakon inkubacionog perioda izmjereni su pre</w:t>
      </w:r>
      <w:r>
        <w:rPr>
          <w:rFonts w:ascii="Book Antiqua" w:hAnsi="Book Antiqua" w:cs="Book Antiqua"/>
          <w:sz w:val="24"/>
          <w:szCs w:val="24"/>
        </w:rPr>
        <w:t>č</w:t>
      </w:r>
      <w:r>
        <w:rPr>
          <w:rFonts w:ascii="Book Antiqua" w:hAnsi="Book Antiqua" w:cs="Times New Roman"/>
          <w:sz w:val="24"/>
          <w:szCs w:val="24"/>
        </w:rPr>
        <w:t xml:space="preserve">nici razvijenih kolonija izolata </w:t>
      </w:r>
      <w:r>
        <w:rPr>
          <w:rFonts w:ascii="Book Antiqua" w:hAnsi="Book Antiqua" w:cs="Times New Roman"/>
          <w:i/>
          <w:iCs/>
          <w:sz w:val="24"/>
          <w:szCs w:val="24"/>
        </w:rPr>
        <w:t>F. mediterranea</w:t>
      </w:r>
      <w:r>
        <w:rPr>
          <w:rFonts w:ascii="Book Antiqua" w:hAnsi="Book Antiqua" w:cs="Times New Roman"/>
          <w:sz w:val="24"/>
          <w:szCs w:val="24"/>
        </w:rPr>
        <w:t xml:space="preserve"> MN008 na površini diskova čokota vinove loze. Procenat inhibicije je izračunat dijeljenjem prečnika kolonije u tretmanu sa prečnikom kolonije u kontroli i množenjem sa 100.</w:t>
      </w:r>
    </w:p>
    <w:p w14:paraId="6BFB0A53" w14:textId="77777777" w:rsidR="003801E8" w:rsidRDefault="00E44AAE">
      <w:pPr>
        <w:tabs>
          <w:tab w:val="left" w:pos="3315"/>
        </w:tabs>
        <w:spacing w:line="360" w:lineRule="auto"/>
        <w:jc w:val="both"/>
        <w:rPr>
          <w:rFonts w:ascii="Book Antiqua" w:hAnsi="Book Antiqua" w:cs="Times New Roman"/>
          <w:sz w:val="24"/>
          <w:szCs w:val="24"/>
        </w:rPr>
      </w:pPr>
      <m:oMathPara>
        <m:oMath>
          <m:r>
            <m:rPr>
              <m:sty m:val="p"/>
            </m:rPr>
            <w:rPr>
              <w:rFonts w:ascii="Cambria Math" w:hAnsi="Cambria Math" w:cs="Times New Roman"/>
              <w:sz w:val="24"/>
              <w:szCs w:val="24"/>
            </w:rPr>
            <m:t>I</m:t>
          </m:r>
          <m:d>
            <m:dPr>
              <m:ctrlPr>
                <w:rPr>
                  <w:rFonts w:ascii="Cambria Math" w:hAnsi="Cambria Math" w:cs="Times New Roman"/>
                  <w:sz w:val="24"/>
                  <w:szCs w:val="24"/>
                </w:rPr>
              </m:ctrlPr>
            </m:dPr>
            <m:e>
              <m:r>
                <m:rPr>
                  <m:sty m:val="p"/>
                </m:rPr>
                <w:rPr>
                  <w:rFonts w:ascii="Cambria Math" w:hAnsi="Cambria Math" w:cs="Times New Roman"/>
                  <w:sz w:val="24"/>
                  <w:szCs w:val="24"/>
                </w:rPr>
                <m:t>%</m:t>
              </m:r>
            </m:e>
          </m:d>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tretman</m:t>
              </m:r>
            </m:num>
            <m:den>
              <m:r>
                <w:rPr>
                  <w:rFonts w:ascii="Cambria Math" w:hAnsi="Cambria Math" w:cs="Times New Roman"/>
                  <w:sz w:val="24"/>
                  <w:szCs w:val="24"/>
                </w:rPr>
                <m:t>kontrola</m:t>
              </m:r>
            </m:den>
          </m:f>
          <m:r>
            <w:rPr>
              <w:rFonts w:ascii="Cambria Math" w:hAnsi="Cambria Math" w:cs="Times New Roman"/>
              <w:sz w:val="24"/>
              <w:szCs w:val="24"/>
            </w:rPr>
            <m:t>x100</m:t>
          </m:r>
        </m:oMath>
      </m:oMathPara>
    </w:p>
    <w:p w14:paraId="18C80F49" w14:textId="77777777" w:rsidR="003801E8" w:rsidRDefault="00E44AAE">
      <w:pPr>
        <w:tabs>
          <w:tab w:val="left" w:pos="3315"/>
        </w:tabs>
        <w:spacing w:line="360" w:lineRule="auto"/>
        <w:jc w:val="both"/>
        <w:rPr>
          <w:rFonts w:ascii="Book Antiqua" w:hAnsi="Book Antiqua" w:cs="Times New Roman"/>
          <w:sz w:val="24"/>
          <w:szCs w:val="24"/>
          <w:lang w:val="en-US"/>
        </w:rPr>
      </w:pPr>
      <w:r>
        <w:rPr>
          <w:rFonts w:ascii="Book Antiqua" w:hAnsi="Book Antiqua" w:cs="Times New Roman"/>
          <w:sz w:val="24"/>
          <w:szCs w:val="24"/>
        </w:rPr>
        <w:t>Podaci su statistički analizirani korišćenjem analize varijanse (ANOVA) i Bonferonijevog testa. Nivo statističke značajnosti je postavljen na p</w:t>
      </w:r>
      <w:r>
        <w:rPr>
          <w:rFonts w:ascii="Book Antiqua" w:hAnsi="Book Antiqua" w:cs="Times New Roman"/>
          <w:sz w:val="24"/>
          <w:szCs w:val="24"/>
          <w:lang w:val="en-US"/>
        </w:rPr>
        <w:t xml:space="preserve">=0.05. </w:t>
      </w:r>
    </w:p>
    <w:p w14:paraId="4DFF242F" w14:textId="77777777" w:rsidR="003801E8" w:rsidRDefault="003801E8">
      <w:pPr>
        <w:tabs>
          <w:tab w:val="left" w:pos="3315"/>
        </w:tabs>
        <w:spacing w:line="360" w:lineRule="auto"/>
        <w:jc w:val="both"/>
        <w:rPr>
          <w:rFonts w:ascii="Book Antiqua" w:hAnsi="Book Antiqua" w:cs="Times New Roman"/>
          <w:sz w:val="24"/>
          <w:szCs w:val="24"/>
          <w:lang w:val="en-US"/>
        </w:rPr>
      </w:pPr>
    </w:p>
    <w:p w14:paraId="501BEF8C" w14:textId="77777777" w:rsidR="006E3141" w:rsidRDefault="006E3141">
      <w:pPr>
        <w:tabs>
          <w:tab w:val="left" w:pos="3315"/>
        </w:tabs>
        <w:spacing w:line="360" w:lineRule="auto"/>
        <w:jc w:val="both"/>
        <w:rPr>
          <w:rFonts w:ascii="Book Antiqua" w:hAnsi="Book Antiqua" w:cs="Times New Roman"/>
          <w:sz w:val="24"/>
          <w:szCs w:val="24"/>
          <w:lang w:val="en-US"/>
        </w:rPr>
      </w:pPr>
    </w:p>
    <w:p w14:paraId="5AC1AAD8" w14:textId="77777777" w:rsidR="003801E8" w:rsidRDefault="00E44AAE">
      <w:pPr>
        <w:spacing w:before="100" w:beforeAutospacing="1" w:after="100" w:afterAutospacing="1" w:line="360" w:lineRule="auto"/>
        <w:jc w:val="both"/>
        <w:rPr>
          <w:rFonts w:ascii="Book Antiqua" w:hAnsi="Book Antiqua" w:cs="Times New Roman"/>
          <w:sz w:val="24"/>
          <w:szCs w:val="24"/>
          <w:lang w:val="en-US"/>
        </w:rPr>
      </w:pPr>
      <w:r>
        <w:rPr>
          <w:rFonts w:ascii="Book Antiqua" w:hAnsi="Book Antiqua" w:cs="Times New Roman"/>
          <w:b/>
          <w:bCs/>
          <w:sz w:val="24"/>
          <w:szCs w:val="24"/>
        </w:rPr>
        <w:lastRenderedPageBreak/>
        <w:t xml:space="preserve">4.11 </w:t>
      </w:r>
      <w:r>
        <w:rPr>
          <w:rFonts w:ascii="Book Antiqua" w:hAnsi="Book Antiqua" w:cs="Times New Roman"/>
          <w:b/>
          <w:bCs/>
          <w:iCs/>
          <w:sz w:val="24"/>
          <w:szCs w:val="24"/>
        </w:rPr>
        <w:t xml:space="preserve">Analiza pojave simptoma i širenja eska oboljenja </w:t>
      </w:r>
    </w:p>
    <w:p w14:paraId="52C40A44"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 xml:space="preserve">Proučavanje dinamike širenja eska oboljenja sprovedeno je u vinogradu Biotehničkog fakulteta u Podgorici. Prilikom zasnivanja, u vinogradu je zasađeno 3.615 čokota autohtone sorte Vranac, na površini 1,1 ha. Tokom istraživanja koje je sprovedeno četiri uzastopne godine u periodu 2021-2024., vinograd nije pokazivao simptome drugih bolesti stabla vinove loze. Ocjena prisustva simptoma eska oboljenja, procjena broja odumrlih čokota i intenzitet pojave simptoma obavljena je tokom ljeta (jul) prema studiji </w:t>
      </w:r>
      <w:r>
        <w:rPr>
          <w:rFonts w:ascii="Book Antiqua" w:hAnsi="Book Antiqua" w:cs="Times New Roman"/>
          <w:b/>
          <w:bCs/>
          <w:sz w:val="24"/>
          <w:szCs w:val="24"/>
        </w:rPr>
        <w:t>Guerin – Dubrana et al. (2013)</w:t>
      </w:r>
      <w:r>
        <w:rPr>
          <w:rFonts w:ascii="Book Antiqua" w:hAnsi="Book Antiqua" w:cs="Times New Roman"/>
          <w:sz w:val="24"/>
          <w:szCs w:val="24"/>
        </w:rPr>
        <w:t xml:space="preserve">. </w:t>
      </w:r>
    </w:p>
    <w:p w14:paraId="45CABED3"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Zapažanja tokom kontrole vinograda su ocijnjena korišćenjem numeričke skale  0-2; (0 – „prazno mjesto“, 1 – čokot bez simptoma, 2 - simptomatičan čokot). Dobijeni podaci su korišćeni za izračunavanje procenta čokota koji pokazuju simptome eska oboljenja i procenta praznih mjesta u vinogradu. Analizom prikupljenih podataka izračunata je i kumulativna godišnja incidenca prisustva simptoma eska oboljenja za 2022., 2023. i 2024. godinu upotrebom formule:</w:t>
      </w:r>
    </w:p>
    <w:p w14:paraId="0E07829E" w14:textId="77777777" w:rsidR="003801E8" w:rsidRDefault="00E44AAE">
      <w:pPr>
        <w:tabs>
          <w:tab w:val="left" w:pos="3315"/>
        </w:tabs>
        <w:spacing w:line="360" w:lineRule="auto"/>
        <w:jc w:val="both"/>
        <w:rPr>
          <w:rFonts w:hAnsi="Cambria Math" w:cs="Times New Roman"/>
          <w:sz w:val="24"/>
          <w:szCs w:val="24"/>
        </w:rPr>
      </w:pPr>
      <m:oMathPara>
        <m:oMath>
          <m:r>
            <w:rPr>
              <w:rFonts w:ascii="Cambria Math" w:hAnsi="Cambria Math" w:cs="Times New Roman"/>
              <w:sz w:val="24"/>
              <w:szCs w:val="24"/>
            </w:rPr>
            <m:t>KI=</m:t>
          </m:r>
          <m:f>
            <m:fPr>
              <m:ctrlPr>
                <w:rPr>
                  <w:rFonts w:ascii="Cambria Math" w:hAnsi="Cambria Math" w:cs="Times New Roman"/>
                  <w:sz w:val="24"/>
                  <w:szCs w:val="24"/>
                </w:rPr>
              </m:ctrlPr>
            </m:fPr>
            <m:num>
              <m:r>
                <w:rPr>
                  <w:rFonts w:ascii="Cambria Math" w:hAnsi="Cambria Math" w:cs="Times New Roman"/>
                  <w:sz w:val="24"/>
                  <w:szCs w:val="24"/>
                </w:rPr>
                <m:t>SC1​+SC2</m:t>
              </m:r>
            </m:num>
            <m:den>
              <m:r>
                <w:rPr>
                  <w:rFonts w:ascii="Cambria Math" w:hAnsi="Cambria Math" w:cs="Times New Roman"/>
                  <w:sz w:val="24"/>
                  <w:szCs w:val="24"/>
                </w:rPr>
                <m:t>UBČ</m:t>
              </m:r>
            </m:den>
          </m:f>
          <m:r>
            <w:rPr>
              <w:rFonts w:ascii="Cambria Math" w:hAnsi="Cambria Math" w:cs="Times New Roman"/>
              <w:sz w:val="24"/>
              <w:szCs w:val="24"/>
            </w:rPr>
            <m:t>x 100</m:t>
          </m:r>
        </m:oMath>
      </m:oMathPara>
    </w:p>
    <w:p w14:paraId="512A9255"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lang w:val="en-US"/>
        </w:rPr>
        <w:t>U formuli SČ1 predstavlja broj čokota koji pokazuju folijarne simptome u godini ispitivanja, SČ2 predstavlja broj čokota koji u godini ispitivanja ne ispoljavaju folijarne simptome eska oboljenja, ali su pokazivali simptome u nekoj od prethodnih godina, a UBČ predstavlja ukupan broj čokota u vinogradu u godini ispitivanja.</w:t>
      </w:r>
      <w:r>
        <w:rPr>
          <w:rFonts w:ascii="Book Antiqua" w:hAnsi="Book Antiqua" w:cs="Times New Roman"/>
          <w:sz w:val="24"/>
          <w:szCs w:val="24"/>
        </w:rPr>
        <w:t xml:space="preserve"> </w:t>
      </w:r>
    </w:p>
    <w:p w14:paraId="693CA3CA"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 xml:space="preserve">Takođe, utvrđen je ukupan broj čokota koji tokom četvorogodišnjeg praćenja nikada nijesu ispoljili folijarne simptome eska oboljenja, broj čokota koji prvi put pokazuju simptome i broj čokota koji četiri godine uzastopno pokazuju folijarne simptome hroničnog oblika eska oboljenja. </w:t>
      </w:r>
    </w:p>
    <w:p w14:paraId="56645F36" w14:textId="77777777" w:rsidR="003801E8" w:rsidRDefault="00E44AAE">
      <w:pPr>
        <w:tabs>
          <w:tab w:val="left" w:pos="3315"/>
        </w:tabs>
        <w:spacing w:line="360" w:lineRule="auto"/>
        <w:jc w:val="both"/>
        <w:rPr>
          <w:rFonts w:ascii="Book Antiqua" w:hAnsi="Book Antiqua" w:cs="Times New Roman"/>
          <w:sz w:val="24"/>
          <w:szCs w:val="24"/>
          <w:lang w:val="en-US"/>
        </w:rPr>
      </w:pPr>
      <w:r>
        <w:rPr>
          <w:rFonts w:ascii="Book Antiqua" w:hAnsi="Book Antiqua" w:cs="Times New Roman"/>
          <w:sz w:val="24"/>
          <w:szCs w:val="24"/>
          <w:lang w:val="en-US"/>
        </w:rPr>
        <w:lastRenderedPageBreak/>
        <w:t xml:space="preserve">Metodom jednostavne linearne regresije (SLR) utvrđena je korelacija između starosti vinograda i pojave folijarnih simptoma, kumulativne incidence eska oboljenja i broja “praznih mjesta” u vinogradu. Nivo statističke značajnosti je postavljen na </w:t>
      </w:r>
      <w:r>
        <w:rPr>
          <w:rFonts w:ascii="Book Antiqua" w:hAnsi="Book Antiqua" w:cs="Times New Roman"/>
          <w:sz w:val="24"/>
          <w:szCs w:val="24"/>
        </w:rPr>
        <w:t xml:space="preserve"> p</w:t>
      </w:r>
      <w:r>
        <w:rPr>
          <w:rFonts w:ascii="Book Antiqua" w:hAnsi="Book Antiqua" w:cs="Times New Roman"/>
          <w:sz w:val="24"/>
          <w:szCs w:val="24"/>
          <w:lang w:val="en-US"/>
        </w:rPr>
        <w:t>=0.05.</w:t>
      </w:r>
    </w:p>
    <w:p w14:paraId="63A58ADC" w14:textId="77777777" w:rsidR="003801E8" w:rsidRDefault="003801E8">
      <w:pPr>
        <w:tabs>
          <w:tab w:val="left" w:pos="3315"/>
        </w:tabs>
        <w:spacing w:line="360" w:lineRule="auto"/>
        <w:jc w:val="both"/>
        <w:rPr>
          <w:rFonts w:ascii="Book Antiqua" w:hAnsi="Book Antiqua" w:cs="Times New Roman"/>
          <w:sz w:val="24"/>
          <w:szCs w:val="24"/>
          <w:lang w:val="en-US"/>
        </w:rPr>
      </w:pPr>
    </w:p>
    <w:p w14:paraId="60CCF781" w14:textId="77777777" w:rsidR="003801E8" w:rsidRDefault="00E44AAE">
      <w:pPr>
        <w:tabs>
          <w:tab w:val="left" w:pos="3315"/>
        </w:tabs>
        <w:spacing w:line="360" w:lineRule="auto"/>
        <w:jc w:val="both"/>
        <w:rPr>
          <w:rFonts w:ascii="Book Antiqua" w:hAnsi="Book Antiqua" w:cs="Times New Roman"/>
          <w:b/>
          <w:bCs/>
          <w:i/>
          <w:iCs/>
          <w:sz w:val="24"/>
          <w:szCs w:val="24"/>
        </w:rPr>
      </w:pPr>
      <w:r>
        <w:rPr>
          <w:rFonts w:ascii="Book Antiqua" w:hAnsi="Book Antiqua" w:cs="Times New Roman"/>
          <w:b/>
          <w:bCs/>
          <w:sz w:val="24"/>
          <w:szCs w:val="24"/>
        </w:rPr>
        <w:t xml:space="preserve">4.12 </w:t>
      </w:r>
      <w:r>
        <w:rPr>
          <w:rFonts w:ascii="Book Antiqua" w:hAnsi="Book Antiqua" w:cs="Times New Roman"/>
          <w:b/>
          <w:bCs/>
          <w:iCs/>
          <w:sz w:val="24"/>
          <w:szCs w:val="24"/>
        </w:rPr>
        <w:t>Uticaj meteoroloških faktora na širenje eska oboljenja u Crnoj Gori</w:t>
      </w:r>
    </w:p>
    <w:p w14:paraId="32400B0C"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 xml:space="preserve">Podaci o temperaturi, relativnoj vlažnosti vazduha i količini padavina u toku četvorogodišnjeg istraživanja zabilježeni su pomoću meteorološke stanice DAVIS Vantage pro 2. Meteorološka stanica se nalazila na visini od 3 m u vinogradu u kom je obavljeno istraživanje. Podaci su analizirani od početka kretanja vegetacije vinove loze (početak aprila mjeseca) do kraja avgusta mjeseca, jer u crnogorskim agroekološkim uslovima nakon toga ne dolazi do razvoja folijarnih simptoma eska oboljenja. </w:t>
      </w:r>
    </w:p>
    <w:p w14:paraId="5DF49683"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 xml:space="preserve">Prema </w:t>
      </w:r>
      <w:r>
        <w:rPr>
          <w:rFonts w:ascii="Book Antiqua" w:hAnsi="Book Antiqua" w:cs="Times New Roman"/>
          <w:b/>
          <w:bCs/>
          <w:sz w:val="24"/>
          <w:szCs w:val="24"/>
        </w:rPr>
        <w:t>Calzarano et al. (2018)</w:t>
      </w:r>
      <w:r>
        <w:rPr>
          <w:rFonts w:ascii="Book Antiqua" w:hAnsi="Book Antiqua" w:cs="Times New Roman"/>
          <w:sz w:val="24"/>
          <w:szCs w:val="24"/>
        </w:rPr>
        <w:t xml:space="preserve"> podaci o dva klimatska faktora grupisani su za vremenski period od jednog mjeseca što odgovara fenofazama rasta vinove loze, i to: 1) april/maj – pucanje pupoljaka (faza 09 BBCH skale) – jasno vidljiva cvast (faza 53 BBCH skale); 2) april/jun - pucanje pupoljaka (faza 09 BBCH skale) – </w:t>
      </w:r>
      <w:bookmarkStart w:id="3" w:name="_Hlk175070025"/>
      <w:r>
        <w:rPr>
          <w:rFonts w:ascii="Book Antiqua" w:hAnsi="Book Antiqua" w:cs="Times New Roman"/>
          <w:sz w:val="24"/>
          <w:szCs w:val="24"/>
        </w:rPr>
        <w:t>zametanje bobica (faza 71 BBCH skale)</w:t>
      </w:r>
      <w:bookmarkEnd w:id="3"/>
      <w:r>
        <w:rPr>
          <w:rFonts w:ascii="Book Antiqua" w:hAnsi="Book Antiqua" w:cs="Times New Roman"/>
          <w:sz w:val="24"/>
          <w:szCs w:val="24"/>
        </w:rPr>
        <w:t xml:space="preserve">; 3) april/jul - pucanje pupoljaka (faza 09 BBCH skale) – bobice se počinju dodirivati (faza 77 BBCH skale); 4) april/avgust - pucanje pupoljaka (faza 09 BBCH skale) – većina bobica promijenila boju i počinje mekšati (faza 83 BBCH skale); 5) maj/jun – cvast jasno vidljiva (faza 53 BBCH skale ) – zametanje bobica (faza 71 BBCH skale); 6) maj/jul - jasno vidljiva cvast (faza 53 BBCH skale ) - bobice se počinju dodirivati (faza 77 BBCH skale ); 7) maj/avgust - jasno vidljiva cvast (faza 53 BBCH skale ) - većina bobica promijenila boju i počinje mekšati (faza 83 BBCH skale); 8) jun/jul - </w:t>
      </w:r>
      <w:bookmarkStart w:id="4" w:name="_Hlk175070262"/>
      <w:r>
        <w:rPr>
          <w:rFonts w:ascii="Book Antiqua" w:hAnsi="Book Antiqua" w:cs="Times New Roman"/>
          <w:sz w:val="24"/>
          <w:szCs w:val="24"/>
        </w:rPr>
        <w:t xml:space="preserve">zametanje bobica (faza 71 BBCH skale ) - </w:t>
      </w:r>
      <w:bookmarkEnd w:id="4"/>
      <w:r>
        <w:rPr>
          <w:rFonts w:ascii="Book Antiqua" w:hAnsi="Book Antiqua" w:cs="Times New Roman"/>
          <w:sz w:val="24"/>
          <w:szCs w:val="24"/>
        </w:rPr>
        <w:t xml:space="preserve">bobice se počinju dodirivati (faza 77 BBCH skale); 9) jun/avgust - zametanje bobica (faza 71 BBCH skale) - većina bobica promijenila boju i počinje mekšati (faza 83 BBCH skale ); 10) jul/avgust - bobice </w:t>
      </w:r>
      <w:r>
        <w:rPr>
          <w:rFonts w:ascii="Book Antiqua" w:hAnsi="Book Antiqua" w:cs="Times New Roman"/>
          <w:sz w:val="24"/>
          <w:szCs w:val="24"/>
        </w:rPr>
        <w:lastRenderedPageBreak/>
        <w:t>se počinju dodirivati (faza 77 BBCH skale ) - većina bobica promijenila boju i počinje mekšati (faza 83 BBCH skale).</w:t>
      </w:r>
      <w:r>
        <w:rPr>
          <w:rFonts w:ascii="Book Antiqua" w:hAnsi="Book Antiqua" w:cs="Times New Roman"/>
          <w:sz w:val="24"/>
          <w:szCs w:val="24"/>
          <w:lang w:val="en-US"/>
        </w:rPr>
        <w:t xml:space="preserve"> </w:t>
      </w:r>
      <w:r>
        <w:rPr>
          <w:rFonts w:ascii="Book Antiqua" w:hAnsi="Book Antiqua" w:cs="Times New Roman"/>
          <w:sz w:val="24"/>
          <w:szCs w:val="24"/>
        </w:rPr>
        <w:t xml:space="preserve">Zbir aktivnih temperatura (SAT) izračunat je korišćenjem Vinklerovog indeksa. Vinklerov index izračunat je za period od 01.04 do 31.08 koristeći formulu IW = Σ 01.04/31.08 (Tmed-10). </w:t>
      </w:r>
    </w:p>
    <w:p w14:paraId="0B3F008D" w14:textId="77777777" w:rsidR="003801E8" w:rsidRDefault="00E44AAE">
      <w:pPr>
        <w:tabs>
          <w:tab w:val="left" w:pos="3315"/>
        </w:tabs>
        <w:spacing w:line="360" w:lineRule="auto"/>
        <w:jc w:val="both"/>
        <w:rPr>
          <w:rFonts w:ascii="Book Antiqua" w:hAnsi="Book Antiqua" w:cs="Times New Roman"/>
          <w:sz w:val="24"/>
          <w:szCs w:val="24"/>
          <w:lang w:val="en-US"/>
        </w:rPr>
      </w:pPr>
      <w:r>
        <w:rPr>
          <w:rFonts w:ascii="Book Antiqua" w:hAnsi="Book Antiqua" w:cs="Times New Roman"/>
          <w:sz w:val="24"/>
          <w:szCs w:val="24"/>
        </w:rPr>
        <w:t xml:space="preserve">Nakon proračuna vrijednosti sume aktivnih temperatura i ukupne količine padavina dovedene su u vezu sa početkom pojave simptoma, kumulativnom incidencom i brojem „praznih mjesta“ u ispitivanom vinogradu, za svaku godinu pojedinačno. </w:t>
      </w:r>
      <w:r>
        <w:rPr>
          <w:rFonts w:ascii="Book Antiqua" w:hAnsi="Book Antiqua" w:cs="Times New Roman"/>
          <w:sz w:val="24"/>
          <w:szCs w:val="24"/>
          <w:lang w:val="en-US"/>
        </w:rPr>
        <w:t xml:space="preserve">Za utvrđivanje korelacije između sume aktivnih temperatura (Winklerov index) i ukupne količine padavina sa intenzitetom simptoma, kumulativnom incidencom eska oboljenja i brojem “praznih mjesta” korišćen Pirsonov test korelacije (-1 do 1). Nivo statističke značajnosti je postavljen na </w:t>
      </w:r>
      <w:r>
        <w:rPr>
          <w:rFonts w:ascii="Book Antiqua" w:hAnsi="Book Antiqua" w:cs="Times New Roman"/>
          <w:sz w:val="24"/>
          <w:szCs w:val="24"/>
        </w:rPr>
        <w:t xml:space="preserve"> p</w:t>
      </w:r>
      <w:r>
        <w:rPr>
          <w:rFonts w:ascii="Book Antiqua" w:hAnsi="Book Antiqua" w:cs="Times New Roman"/>
          <w:sz w:val="24"/>
          <w:szCs w:val="24"/>
          <w:lang w:val="en-US"/>
        </w:rPr>
        <w:t>=0.05.</w:t>
      </w:r>
    </w:p>
    <w:p w14:paraId="0B04D65A" w14:textId="77777777" w:rsidR="003801E8" w:rsidRDefault="00E44AAE">
      <w:pPr>
        <w:tabs>
          <w:tab w:val="left" w:pos="3315"/>
        </w:tabs>
        <w:spacing w:line="360" w:lineRule="auto"/>
        <w:jc w:val="both"/>
        <w:rPr>
          <w:rFonts w:ascii="Book Antiqua" w:hAnsi="Book Antiqua" w:cs="Times New Roman"/>
          <w:b/>
          <w:bCs/>
          <w:i/>
          <w:iCs/>
          <w:sz w:val="24"/>
          <w:szCs w:val="24"/>
        </w:rPr>
      </w:pPr>
      <w:r>
        <w:rPr>
          <w:rFonts w:ascii="Book Antiqua" w:hAnsi="Book Antiqua" w:cs="Times New Roman"/>
          <w:b/>
          <w:bCs/>
          <w:sz w:val="24"/>
          <w:szCs w:val="24"/>
        </w:rPr>
        <w:t xml:space="preserve">4.13 </w:t>
      </w:r>
      <w:r>
        <w:rPr>
          <w:rFonts w:ascii="Book Antiqua" w:hAnsi="Book Antiqua" w:cs="Times New Roman"/>
          <w:b/>
          <w:bCs/>
          <w:iCs/>
          <w:sz w:val="24"/>
          <w:szCs w:val="24"/>
        </w:rPr>
        <w:t>Uticaj eska oboljenja na prinos i kvalitet grožđa</w:t>
      </w:r>
    </w:p>
    <w:p w14:paraId="539FE5DA"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Ispitivanje uticaja eska oboljenja na direktan gubitak prinosa, sprovedeno je u periodu berbe u vinogradu Biotehničkog fakulteta. U cilju analize smanjenja prinosa, posebno je obavljena berba na čokotima bez simptoma u odnosu na čokote koji su ispoljavali vidljive simptome eska oboljenja. Mjerenjem i analizom količine prinosa sa zdravih čokota kao i čokota sa simptomima, utvrđen je procenat smanjenja prinosa u ispitivanom vinogradu. Finansijski gubitak (</w:t>
      </w:r>
      <w:r>
        <w:rPr>
          <w:rFonts w:ascii="Book Antiqua" w:hAnsi="Book Antiqua" w:cs="Times New Roman"/>
          <w:i/>
          <w:iCs/>
          <w:sz w:val="24"/>
          <w:szCs w:val="24"/>
        </w:rPr>
        <w:t>Xt</w:t>
      </w:r>
      <w:r>
        <w:rPr>
          <w:rFonts w:ascii="Book Antiqua" w:hAnsi="Book Antiqua" w:cs="Times New Roman"/>
          <w:sz w:val="24"/>
          <w:szCs w:val="24"/>
        </w:rPr>
        <w:t xml:space="preserve">), izražen u eurima (€) je izračunat po sledećoj formuli: </w:t>
      </w:r>
    </w:p>
    <w:p w14:paraId="3841CE03" w14:textId="77777777" w:rsidR="003801E8" w:rsidRDefault="00E44AAE">
      <w:pPr>
        <w:tabs>
          <w:tab w:val="left" w:pos="3315"/>
        </w:tabs>
        <w:spacing w:line="360" w:lineRule="auto"/>
        <w:jc w:val="center"/>
        <w:rPr>
          <w:rFonts w:ascii="Book Antiqua" w:hAnsi="Book Antiqua" w:cs="Times New Roman"/>
          <w:sz w:val="24"/>
          <w:szCs w:val="24"/>
        </w:rPr>
      </w:pPr>
      <w:r>
        <w:rPr>
          <w:rFonts w:ascii="Book Antiqua" w:hAnsi="Book Antiqua" w:cs="Times New Roman"/>
          <w:sz w:val="24"/>
          <w:szCs w:val="24"/>
        </w:rPr>
        <w:t>Xt</w:t>
      </w:r>
      <w:r>
        <w:rPr>
          <w:rFonts w:ascii="Times New Roman" w:hAnsi="Times New Roman" w:cs="Times New Roman"/>
          <w:sz w:val="24"/>
          <w:szCs w:val="24"/>
        </w:rPr>
        <w:t xml:space="preserve">​ </w:t>
      </w:r>
      <w:r>
        <w:rPr>
          <w:rFonts w:ascii="Book Antiqua" w:hAnsi="Book Antiqua" w:cs="Times New Roman"/>
          <w:sz w:val="24"/>
          <w:szCs w:val="24"/>
        </w:rPr>
        <w:t xml:space="preserve">= Cg </w:t>
      </w:r>
      <w:r>
        <w:rPr>
          <w:rFonts w:ascii="Times New Roman" w:hAnsi="Times New Roman" w:cs="Times New Roman"/>
          <w:sz w:val="24"/>
          <w:szCs w:val="24"/>
        </w:rPr>
        <w:t>​</w:t>
      </w:r>
      <w:r>
        <w:rPr>
          <w:rFonts w:ascii="Book Antiqua" w:hAnsi="Book Antiqua" w:cs="Times New Roman"/>
          <w:sz w:val="24"/>
          <w:szCs w:val="24"/>
        </w:rPr>
        <w:t xml:space="preserve">× (Gs </w:t>
      </w:r>
      <w:r>
        <w:rPr>
          <w:rFonts w:ascii="Times New Roman" w:hAnsi="Times New Roman" w:cs="Times New Roman"/>
          <w:sz w:val="24"/>
          <w:szCs w:val="24"/>
        </w:rPr>
        <w:t>​</w:t>
      </w:r>
      <w:r>
        <w:rPr>
          <w:rFonts w:ascii="Book Antiqua" w:hAnsi="Book Antiqua" w:cs="Times New Roman"/>
          <w:sz w:val="24"/>
          <w:szCs w:val="24"/>
        </w:rPr>
        <w:t>+ Gu)</w:t>
      </w:r>
    </w:p>
    <w:p w14:paraId="4F891F8E"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gdje je: Xt - tržišna cijena grožđa; Gs - gubitak prinosa na simptomatičnim čokotima u tekućoj vegetaciji; Gu - gubitak prinosa na suvim čokotima iz prethodnih vegetacija.</w:t>
      </w:r>
      <w:r>
        <w:rPr>
          <w:rFonts w:ascii="Book Antiqua" w:hAnsi="Book Antiqua" w:cs="Times New Roman"/>
          <w:sz w:val="24"/>
          <w:szCs w:val="24"/>
          <w:lang w:val="en-US"/>
        </w:rPr>
        <w:t xml:space="preserve"> </w:t>
      </w:r>
      <w:r>
        <w:rPr>
          <w:rFonts w:ascii="Book Antiqua" w:hAnsi="Book Antiqua" w:cs="Times New Roman"/>
          <w:sz w:val="24"/>
          <w:szCs w:val="24"/>
        </w:rPr>
        <w:t xml:space="preserve">U cilju utvrđivanja uticaja eska oboljenja na kvalitet grožđa, provjeren je nivo šećera, kiselina i pH vrednosti, kao osnovnih činilaca kvaliteta. U toku berbe 2024. godine obavljena je berba grožđa sa 10 čokota koji su pokazivali jasno izražene folijarne simptome hroničnog oblika eska oboljenja. Istog dana obavljena je berba sa deset čokota koji nijesu pokazivali ni jedan od </w:t>
      </w:r>
      <w:r>
        <w:rPr>
          <w:rFonts w:ascii="Book Antiqua" w:hAnsi="Book Antiqua" w:cs="Times New Roman"/>
          <w:sz w:val="24"/>
          <w:szCs w:val="24"/>
        </w:rPr>
        <w:lastRenderedPageBreak/>
        <w:t xml:space="preserve">vidljivih simptoma eska oboljenja. U vinarskim prostorijama Biotehničkog fakulteta, obavljen je proces muljanja grožđa i dobijena su dva uzorka šire. Korišćenjem ekslovog širometra izmjeren je nivo šećera, a ph metrom utvrđena pH vrijednost uzoraka šire. Određivanje ukupnih kiselina obavljeno je metodom titracije. </w:t>
      </w:r>
    </w:p>
    <w:p w14:paraId="5A8C7BF3" w14:textId="77777777" w:rsidR="003801E8" w:rsidRDefault="003801E8">
      <w:pPr>
        <w:tabs>
          <w:tab w:val="left" w:pos="3315"/>
        </w:tabs>
        <w:spacing w:line="360" w:lineRule="auto"/>
        <w:jc w:val="both"/>
        <w:rPr>
          <w:rFonts w:ascii="Book Antiqua" w:hAnsi="Book Antiqua" w:cs="Times New Roman"/>
          <w:sz w:val="24"/>
          <w:szCs w:val="24"/>
        </w:rPr>
      </w:pPr>
    </w:p>
    <w:p w14:paraId="5A7C12A9" w14:textId="77777777" w:rsidR="003801E8" w:rsidRDefault="003801E8">
      <w:pPr>
        <w:tabs>
          <w:tab w:val="left" w:pos="3315"/>
        </w:tabs>
        <w:spacing w:line="360" w:lineRule="auto"/>
        <w:jc w:val="both"/>
        <w:rPr>
          <w:rFonts w:ascii="Book Antiqua" w:hAnsi="Book Antiqua" w:cs="Times New Roman"/>
          <w:sz w:val="24"/>
          <w:szCs w:val="24"/>
        </w:rPr>
      </w:pPr>
    </w:p>
    <w:p w14:paraId="64E4C11F" w14:textId="77777777" w:rsidR="003801E8" w:rsidRDefault="003801E8">
      <w:pPr>
        <w:tabs>
          <w:tab w:val="left" w:pos="3315"/>
        </w:tabs>
        <w:spacing w:line="360" w:lineRule="auto"/>
        <w:jc w:val="both"/>
        <w:rPr>
          <w:rFonts w:ascii="Book Antiqua" w:hAnsi="Book Antiqua" w:cs="Times New Roman"/>
          <w:sz w:val="24"/>
          <w:szCs w:val="24"/>
        </w:rPr>
      </w:pPr>
    </w:p>
    <w:p w14:paraId="36D1B966" w14:textId="77777777" w:rsidR="003801E8" w:rsidRDefault="003801E8">
      <w:pPr>
        <w:tabs>
          <w:tab w:val="left" w:pos="3315"/>
        </w:tabs>
        <w:spacing w:line="360" w:lineRule="auto"/>
        <w:jc w:val="both"/>
        <w:rPr>
          <w:rFonts w:ascii="Book Antiqua" w:hAnsi="Book Antiqua" w:cs="Times New Roman"/>
          <w:sz w:val="24"/>
          <w:szCs w:val="24"/>
        </w:rPr>
      </w:pPr>
    </w:p>
    <w:p w14:paraId="26C2508D" w14:textId="77777777" w:rsidR="003801E8" w:rsidRDefault="003801E8">
      <w:pPr>
        <w:tabs>
          <w:tab w:val="left" w:pos="3315"/>
        </w:tabs>
        <w:spacing w:line="360" w:lineRule="auto"/>
        <w:jc w:val="both"/>
        <w:rPr>
          <w:rFonts w:ascii="Book Antiqua" w:hAnsi="Book Antiqua" w:cs="Times New Roman"/>
          <w:sz w:val="24"/>
          <w:szCs w:val="24"/>
        </w:rPr>
      </w:pPr>
    </w:p>
    <w:p w14:paraId="07990A8A" w14:textId="77777777" w:rsidR="003801E8" w:rsidRDefault="003801E8">
      <w:pPr>
        <w:tabs>
          <w:tab w:val="left" w:pos="3315"/>
        </w:tabs>
        <w:spacing w:line="360" w:lineRule="auto"/>
        <w:jc w:val="both"/>
        <w:rPr>
          <w:rFonts w:ascii="Book Antiqua" w:hAnsi="Book Antiqua" w:cs="Times New Roman"/>
          <w:sz w:val="24"/>
          <w:szCs w:val="24"/>
        </w:rPr>
      </w:pPr>
    </w:p>
    <w:p w14:paraId="15361764" w14:textId="77777777" w:rsidR="003801E8" w:rsidRDefault="003801E8">
      <w:pPr>
        <w:tabs>
          <w:tab w:val="left" w:pos="3315"/>
        </w:tabs>
        <w:spacing w:line="360" w:lineRule="auto"/>
        <w:jc w:val="both"/>
        <w:rPr>
          <w:rFonts w:ascii="Book Antiqua" w:hAnsi="Book Antiqua" w:cs="Times New Roman"/>
          <w:sz w:val="24"/>
          <w:szCs w:val="24"/>
        </w:rPr>
      </w:pPr>
    </w:p>
    <w:p w14:paraId="572C2733" w14:textId="77777777" w:rsidR="003801E8" w:rsidRDefault="003801E8">
      <w:pPr>
        <w:tabs>
          <w:tab w:val="left" w:pos="3315"/>
        </w:tabs>
        <w:spacing w:line="360" w:lineRule="auto"/>
        <w:jc w:val="both"/>
        <w:rPr>
          <w:rFonts w:ascii="Book Antiqua" w:hAnsi="Book Antiqua" w:cs="Times New Roman"/>
          <w:sz w:val="24"/>
          <w:szCs w:val="24"/>
        </w:rPr>
      </w:pPr>
    </w:p>
    <w:p w14:paraId="53E8C17E" w14:textId="77777777" w:rsidR="003801E8" w:rsidRDefault="003801E8">
      <w:pPr>
        <w:tabs>
          <w:tab w:val="left" w:pos="3315"/>
        </w:tabs>
        <w:spacing w:line="360" w:lineRule="auto"/>
        <w:jc w:val="both"/>
        <w:rPr>
          <w:rFonts w:ascii="Book Antiqua" w:hAnsi="Book Antiqua" w:cs="Times New Roman"/>
          <w:sz w:val="24"/>
          <w:szCs w:val="24"/>
        </w:rPr>
      </w:pPr>
    </w:p>
    <w:p w14:paraId="2353E32E" w14:textId="77777777" w:rsidR="003801E8" w:rsidRDefault="003801E8">
      <w:pPr>
        <w:tabs>
          <w:tab w:val="left" w:pos="3315"/>
        </w:tabs>
        <w:spacing w:line="360" w:lineRule="auto"/>
        <w:jc w:val="both"/>
        <w:rPr>
          <w:rFonts w:ascii="Book Antiqua" w:hAnsi="Book Antiqua" w:cs="Times New Roman"/>
          <w:sz w:val="24"/>
          <w:szCs w:val="24"/>
        </w:rPr>
      </w:pPr>
    </w:p>
    <w:p w14:paraId="643F1E78" w14:textId="77777777" w:rsidR="003801E8" w:rsidRDefault="003801E8">
      <w:pPr>
        <w:tabs>
          <w:tab w:val="left" w:pos="3315"/>
        </w:tabs>
        <w:spacing w:line="360" w:lineRule="auto"/>
        <w:jc w:val="both"/>
        <w:rPr>
          <w:rFonts w:ascii="Book Antiqua" w:hAnsi="Book Antiqua" w:cs="Times New Roman"/>
          <w:sz w:val="24"/>
          <w:szCs w:val="24"/>
        </w:rPr>
      </w:pPr>
    </w:p>
    <w:p w14:paraId="6480DBBA" w14:textId="77777777" w:rsidR="003801E8" w:rsidRDefault="003801E8">
      <w:pPr>
        <w:tabs>
          <w:tab w:val="left" w:pos="3315"/>
        </w:tabs>
        <w:spacing w:line="360" w:lineRule="auto"/>
        <w:jc w:val="both"/>
        <w:rPr>
          <w:rFonts w:ascii="Book Antiqua" w:hAnsi="Book Antiqua" w:cs="Times New Roman"/>
          <w:sz w:val="24"/>
          <w:szCs w:val="24"/>
        </w:rPr>
      </w:pPr>
    </w:p>
    <w:p w14:paraId="3E7A4B42" w14:textId="77777777" w:rsidR="003801E8" w:rsidRDefault="003801E8">
      <w:pPr>
        <w:tabs>
          <w:tab w:val="left" w:pos="3315"/>
        </w:tabs>
        <w:spacing w:line="360" w:lineRule="auto"/>
        <w:jc w:val="both"/>
        <w:rPr>
          <w:rFonts w:ascii="Book Antiqua" w:hAnsi="Book Antiqua" w:cs="Times New Roman"/>
          <w:sz w:val="24"/>
          <w:szCs w:val="24"/>
        </w:rPr>
      </w:pPr>
    </w:p>
    <w:p w14:paraId="74A5F0E6" w14:textId="77777777" w:rsidR="006E3141" w:rsidRDefault="006E3141">
      <w:pPr>
        <w:tabs>
          <w:tab w:val="left" w:pos="3315"/>
        </w:tabs>
        <w:spacing w:line="360" w:lineRule="auto"/>
        <w:jc w:val="both"/>
        <w:rPr>
          <w:rFonts w:ascii="Book Antiqua" w:hAnsi="Book Antiqua" w:cs="Times New Roman"/>
          <w:sz w:val="24"/>
          <w:szCs w:val="24"/>
        </w:rPr>
      </w:pPr>
    </w:p>
    <w:p w14:paraId="1D17A42A" w14:textId="77777777" w:rsidR="003801E8" w:rsidRDefault="003801E8">
      <w:pPr>
        <w:tabs>
          <w:tab w:val="left" w:pos="3315"/>
        </w:tabs>
        <w:spacing w:line="360" w:lineRule="auto"/>
        <w:jc w:val="both"/>
        <w:rPr>
          <w:rFonts w:ascii="Book Antiqua" w:hAnsi="Book Antiqua" w:cs="Times New Roman"/>
          <w:sz w:val="24"/>
          <w:szCs w:val="24"/>
        </w:rPr>
      </w:pPr>
    </w:p>
    <w:p w14:paraId="2F01956F" w14:textId="77777777" w:rsidR="003801E8" w:rsidRDefault="003801E8">
      <w:pPr>
        <w:tabs>
          <w:tab w:val="left" w:pos="3315"/>
        </w:tabs>
        <w:spacing w:line="360" w:lineRule="auto"/>
        <w:jc w:val="both"/>
        <w:rPr>
          <w:rFonts w:ascii="Book Antiqua" w:hAnsi="Book Antiqua" w:cs="Times New Roman"/>
          <w:sz w:val="24"/>
          <w:szCs w:val="24"/>
        </w:rPr>
      </w:pPr>
    </w:p>
    <w:p w14:paraId="6ACE8350" w14:textId="77777777" w:rsidR="003801E8" w:rsidRDefault="003801E8">
      <w:pPr>
        <w:tabs>
          <w:tab w:val="left" w:pos="3315"/>
        </w:tabs>
        <w:spacing w:line="360" w:lineRule="auto"/>
        <w:jc w:val="both"/>
        <w:rPr>
          <w:rFonts w:ascii="Book Antiqua" w:hAnsi="Book Antiqua" w:cs="Times New Roman"/>
          <w:sz w:val="24"/>
          <w:szCs w:val="24"/>
        </w:rPr>
      </w:pPr>
    </w:p>
    <w:p w14:paraId="0F90728D" w14:textId="77777777" w:rsidR="003801E8" w:rsidRDefault="00E44AAE">
      <w:pPr>
        <w:tabs>
          <w:tab w:val="left" w:pos="3315"/>
        </w:tabs>
        <w:spacing w:line="360" w:lineRule="auto"/>
        <w:jc w:val="both"/>
        <w:rPr>
          <w:rFonts w:ascii="Book Antiqua" w:hAnsi="Book Antiqua" w:cs="Times New Roman"/>
          <w:sz w:val="24"/>
          <w:szCs w:val="24"/>
          <w:lang w:val="en-US"/>
        </w:rPr>
      </w:pPr>
      <w:r>
        <w:rPr>
          <w:rFonts w:ascii="Book Antiqua" w:hAnsi="Book Antiqua" w:cs="Times New Roman"/>
          <w:b/>
          <w:bCs/>
          <w:sz w:val="24"/>
          <w:szCs w:val="24"/>
          <w:lang w:val="sr-Latn-RS"/>
        </w:rPr>
        <w:lastRenderedPageBreak/>
        <w:t xml:space="preserve">V REZULTATI     </w:t>
      </w:r>
    </w:p>
    <w:p w14:paraId="338740A6" w14:textId="77777777" w:rsidR="003801E8" w:rsidRDefault="00E44AAE">
      <w:pPr>
        <w:tabs>
          <w:tab w:val="left" w:pos="3315"/>
        </w:tabs>
        <w:spacing w:line="360" w:lineRule="auto"/>
        <w:jc w:val="both"/>
        <w:rPr>
          <w:rFonts w:ascii="Book Antiqua" w:hAnsi="Book Antiqua" w:cs="Times New Roman"/>
          <w:b/>
          <w:bCs/>
          <w:i/>
          <w:sz w:val="24"/>
          <w:szCs w:val="24"/>
          <w:lang w:val="sr-Latn-RS"/>
        </w:rPr>
      </w:pPr>
      <w:r>
        <w:rPr>
          <w:rFonts w:ascii="Book Antiqua" w:hAnsi="Book Antiqua" w:cs="Times New Roman"/>
          <w:b/>
          <w:bCs/>
          <w:sz w:val="24"/>
          <w:szCs w:val="24"/>
          <w:lang w:val="sr-Latn-RS"/>
        </w:rPr>
        <w:t>5.1 Monitornig vinograda u Crnoj Gori</w:t>
      </w:r>
    </w:p>
    <w:p w14:paraId="66C7E756" w14:textId="77777777" w:rsidR="003801E8" w:rsidRDefault="00E44AAE">
      <w:pPr>
        <w:tabs>
          <w:tab w:val="left" w:pos="3315"/>
        </w:tabs>
        <w:spacing w:line="360" w:lineRule="auto"/>
        <w:jc w:val="both"/>
        <w:rPr>
          <w:rFonts w:ascii="Book Antiqua" w:hAnsi="Book Antiqua" w:cs="Times New Roman"/>
          <w:bCs/>
          <w:sz w:val="24"/>
          <w:szCs w:val="24"/>
          <w:lang w:val="sr-Latn-RS"/>
        </w:rPr>
      </w:pPr>
      <w:r>
        <w:rPr>
          <w:rFonts w:ascii="Book Antiqua" w:hAnsi="Book Antiqua" w:cs="Times New Roman"/>
          <w:bCs/>
          <w:sz w:val="24"/>
          <w:szCs w:val="24"/>
          <w:lang w:val="sr-Latn-RS"/>
        </w:rPr>
        <w:t xml:space="preserve">U periodu 2022-2024. godine od ukupno 30 pregledanih vinograda različite starosti i sortimenta, simptomi eska oboljenja </w:t>
      </w:r>
      <w:bookmarkStart w:id="5" w:name="_Hlk178510613"/>
      <w:r>
        <w:rPr>
          <w:rFonts w:ascii="Book Antiqua" w:hAnsi="Book Antiqua" w:cs="Times New Roman"/>
          <w:bCs/>
          <w:sz w:val="24"/>
          <w:szCs w:val="24"/>
          <w:lang w:val="sr-Latn-RS"/>
        </w:rPr>
        <w:t xml:space="preserve">su uočeni u 22, odnosno 73,33%. </w:t>
      </w:r>
      <w:bookmarkEnd w:id="5"/>
      <w:r>
        <w:rPr>
          <w:rFonts w:ascii="Book Antiqua" w:hAnsi="Book Antiqua" w:cs="Times New Roman"/>
          <w:bCs/>
          <w:sz w:val="24"/>
          <w:szCs w:val="24"/>
          <w:lang w:val="sr-Latn-RS"/>
        </w:rPr>
        <w:t xml:space="preserve">Simptomi bolesti nijesu primijećeni u 8 tj. kod 26,6% pregledanih vinograda. Tri vinograda u kojima nijesu primijećeni simptomi bolesti su bili mlađi od pet godina, dok je starost jednog od vinograda bez simptoma bila između 80 i 100 godina. </w:t>
      </w:r>
      <w:bookmarkStart w:id="6" w:name="_Hlk178510702"/>
      <w:r>
        <w:rPr>
          <w:rFonts w:ascii="Book Antiqua" w:hAnsi="Book Antiqua" w:cs="Times New Roman"/>
          <w:bCs/>
          <w:sz w:val="24"/>
          <w:szCs w:val="24"/>
          <w:lang w:val="sr-Latn-RS"/>
        </w:rPr>
        <w:t xml:space="preserve">Mapa pregledanih vinograda u toku istraživanja prikazana na Slici 3.  </w:t>
      </w:r>
    </w:p>
    <w:p w14:paraId="1E02AF94" w14:textId="77777777" w:rsidR="003801E8" w:rsidRDefault="00E44AAE">
      <w:pPr>
        <w:tabs>
          <w:tab w:val="left" w:pos="3315"/>
        </w:tabs>
        <w:spacing w:line="240" w:lineRule="auto"/>
        <w:jc w:val="both"/>
        <w:rPr>
          <w:rFonts w:ascii="Book Antiqua" w:hAnsi="Book Antiqua" w:cs="Times New Roman"/>
          <w:bCs/>
          <w:sz w:val="24"/>
          <w:szCs w:val="24"/>
          <w:lang w:val="sr-Latn-RS"/>
        </w:rPr>
      </w:pPr>
      <w:r>
        <w:rPr>
          <w:rFonts w:ascii="Book Antiqua" w:hAnsi="Book Antiqua" w:cs="Times New Roman"/>
          <w:bCs/>
          <w:noProof/>
          <w:sz w:val="24"/>
          <w:szCs w:val="24"/>
          <w:lang w:val="en-US"/>
        </w:rPr>
        <w:drawing>
          <wp:inline distT="0" distB="0" distL="0" distR="0" wp14:anchorId="0BC37CD5" wp14:editId="6598B711">
            <wp:extent cx="5755005" cy="3286125"/>
            <wp:effectExtent l="0" t="0" r="0" b="9525"/>
            <wp:docPr id="17750738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07384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755005" cy="3286125"/>
                    </a:xfrm>
                    <a:prstGeom prst="rect">
                      <a:avLst/>
                    </a:prstGeom>
                    <a:noFill/>
                  </pic:spPr>
                </pic:pic>
              </a:graphicData>
            </a:graphic>
          </wp:inline>
        </w:drawing>
      </w:r>
    </w:p>
    <w:p w14:paraId="6816725E" w14:textId="77777777" w:rsidR="003801E8" w:rsidRDefault="00E44AAE">
      <w:pPr>
        <w:tabs>
          <w:tab w:val="left" w:pos="3315"/>
        </w:tabs>
        <w:spacing w:line="240" w:lineRule="auto"/>
        <w:jc w:val="both"/>
        <w:rPr>
          <w:rFonts w:ascii="Book Antiqua" w:hAnsi="Book Antiqua" w:cs="Times New Roman"/>
          <w:bCs/>
          <w:sz w:val="22"/>
          <w:szCs w:val="22"/>
          <w:lang w:val="sr-Latn-RS"/>
        </w:rPr>
      </w:pPr>
      <w:r>
        <w:rPr>
          <w:rFonts w:ascii="Book Antiqua" w:hAnsi="Book Antiqua" w:cs="Times New Roman"/>
          <w:b/>
          <w:sz w:val="22"/>
          <w:szCs w:val="22"/>
          <w:lang w:val="sr-Latn-RS"/>
        </w:rPr>
        <w:t>Slika 3</w:t>
      </w:r>
      <w:r>
        <w:rPr>
          <w:rFonts w:ascii="Book Antiqua" w:hAnsi="Book Antiqua" w:cs="Times New Roman"/>
          <w:bCs/>
          <w:sz w:val="22"/>
          <w:szCs w:val="22"/>
          <w:lang w:val="sr-Latn-RS"/>
        </w:rPr>
        <w:t xml:space="preserve">. Mapa pregledanih vinograda u periodu istraživanja </w:t>
      </w:r>
    </w:p>
    <w:p w14:paraId="402E636E"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4EA94049"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4E141BBE"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74791F16"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65AA91BD"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5BA5FE83" w14:textId="77777777" w:rsidR="003801E8" w:rsidRDefault="00E44AAE">
      <w:pPr>
        <w:tabs>
          <w:tab w:val="left" w:pos="3315"/>
        </w:tabs>
        <w:spacing w:line="360" w:lineRule="auto"/>
        <w:jc w:val="both"/>
        <w:rPr>
          <w:rFonts w:ascii="Book Antiqua" w:hAnsi="Book Antiqua" w:cs="Times New Roman"/>
          <w:bCs/>
          <w:sz w:val="24"/>
          <w:szCs w:val="24"/>
          <w:lang w:val="sr-Latn-RS"/>
        </w:rPr>
      </w:pPr>
      <w:r>
        <w:rPr>
          <w:rFonts w:ascii="Book Antiqua" w:hAnsi="Book Antiqua" w:cs="Times New Roman"/>
          <w:bCs/>
          <w:sz w:val="24"/>
          <w:szCs w:val="24"/>
          <w:lang w:val="sr-Latn-RS"/>
        </w:rPr>
        <w:lastRenderedPageBreak/>
        <w:t xml:space="preserve">U svim vinogradima u kojima su uočeni simptomi eska oboljenja utvrđeno je apoplektično (Slika 4a) i hronično sušenje čokota. </w:t>
      </w:r>
      <w:bookmarkEnd w:id="6"/>
      <w:r>
        <w:rPr>
          <w:rFonts w:ascii="Book Antiqua" w:hAnsi="Book Antiqua" w:cs="Times New Roman"/>
          <w:bCs/>
          <w:sz w:val="24"/>
          <w:szCs w:val="24"/>
          <w:lang w:val="sr-Latn-RS"/>
        </w:rPr>
        <w:t xml:space="preserve">Hroničan oblik bolesti (GLSD) manifestovao se prisustvom simptoma tzv. „tigrove šare“ (Slika 4b) </w:t>
      </w:r>
      <w:bookmarkStart w:id="7" w:name="_Hlk178510959"/>
      <w:r>
        <w:rPr>
          <w:rFonts w:ascii="Book Antiqua" w:hAnsi="Book Antiqua" w:cs="Times New Roman"/>
          <w:bCs/>
          <w:sz w:val="24"/>
          <w:szCs w:val="24"/>
          <w:lang w:val="sr-Latn-RS"/>
        </w:rPr>
        <w:t xml:space="preserve">u vidu međunervalne nekroze lisnog tkiva koja je oivičena karakterističnom ljubičastom </w:t>
      </w:r>
      <w:bookmarkStart w:id="8" w:name="_Hlk178511385"/>
      <w:bookmarkEnd w:id="7"/>
      <w:r>
        <w:rPr>
          <w:rFonts w:ascii="Book Antiqua" w:hAnsi="Book Antiqua" w:cs="Times New Roman"/>
          <w:bCs/>
          <w:sz w:val="24"/>
          <w:szCs w:val="24"/>
          <w:lang w:val="sr-Latn-RS"/>
        </w:rPr>
        <w:t xml:space="preserve">marginom. Simptomi na grozdovima su primijećeni u vidu naglog ili postepenog sušenja. Međutim, na pojedinim simptomatičnim čokotima nije došlo do sušenja grozdova, ali je uočeno njihovo neravnomjerno sazrijevanje. Kod bijelih sorti vinove loze (Afus ali, Krstač, Viktorija) uočena je pojava sitnih tamno smeđih pjega na pokožici bobica. Tokom monitoringa utvrđen je na zaraženim čokotima izostanak simptoma  bolesti  u pojedinim godinama, što je prema većini autora jedna od glavnih karakteristika eska oboljenja. </w:t>
      </w:r>
    </w:p>
    <w:p w14:paraId="0A21D54A" w14:textId="77777777" w:rsidR="003801E8" w:rsidRDefault="00E44AAE">
      <w:pPr>
        <w:tabs>
          <w:tab w:val="left" w:pos="3315"/>
        </w:tabs>
        <w:spacing w:line="240" w:lineRule="auto"/>
        <w:jc w:val="both"/>
        <w:rPr>
          <w:rFonts w:ascii="Book Antiqua" w:hAnsi="Book Antiqua" w:cs="Times New Roman"/>
          <w:bCs/>
          <w:sz w:val="24"/>
          <w:szCs w:val="24"/>
          <w:lang w:val="sr-Latn-RS"/>
        </w:rPr>
      </w:pPr>
      <w:r>
        <w:rPr>
          <w:rFonts w:ascii="Times New Roman" w:hAnsi="Times New Roman" w:cs="Times New Roman"/>
          <w:noProof/>
          <w:sz w:val="24"/>
          <w:szCs w:val="24"/>
          <w:lang w:val="en-US"/>
        </w:rPr>
        <w:drawing>
          <wp:inline distT="0" distB="0" distL="0" distR="0" wp14:anchorId="2EB3F027" wp14:editId="4810CE00">
            <wp:extent cx="5402580" cy="1240155"/>
            <wp:effectExtent l="0" t="0" r="7620" b="0"/>
            <wp:docPr id="9107849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84988"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402580" cy="1240473"/>
                    </a:xfrm>
                    <a:prstGeom prst="rect">
                      <a:avLst/>
                    </a:prstGeom>
                    <a:noFill/>
                    <a:ln>
                      <a:noFill/>
                    </a:ln>
                  </pic:spPr>
                </pic:pic>
              </a:graphicData>
            </a:graphic>
          </wp:inline>
        </w:drawing>
      </w:r>
    </w:p>
    <w:p w14:paraId="4F00285C" w14:textId="77777777" w:rsidR="003801E8" w:rsidRDefault="00E44AAE">
      <w:pPr>
        <w:tabs>
          <w:tab w:val="left" w:pos="3315"/>
        </w:tabs>
        <w:spacing w:line="360" w:lineRule="auto"/>
        <w:jc w:val="both"/>
        <w:rPr>
          <w:rFonts w:ascii="Book Antiqua" w:hAnsi="Book Antiqua" w:cs="Times New Roman"/>
          <w:bCs/>
          <w:sz w:val="22"/>
          <w:szCs w:val="22"/>
          <w:lang w:val="sr-Latn-RS"/>
        </w:rPr>
      </w:pPr>
      <w:r>
        <w:rPr>
          <w:rFonts w:ascii="Book Antiqua" w:hAnsi="Book Antiqua" w:cs="Times New Roman"/>
          <w:b/>
          <w:sz w:val="22"/>
          <w:szCs w:val="22"/>
          <w:lang w:val="sr-Latn-RS"/>
        </w:rPr>
        <w:t>Slika 4</w:t>
      </w:r>
      <w:r>
        <w:rPr>
          <w:rFonts w:ascii="Book Antiqua" w:hAnsi="Book Antiqua" w:cs="Times New Roman"/>
          <w:bCs/>
          <w:sz w:val="22"/>
          <w:szCs w:val="22"/>
          <w:lang w:val="sr-Latn-RS"/>
        </w:rPr>
        <w:t>. Eska oboljenje a) apoplektičan oblik b) hroničan oblik u vidu tzv. „tigrove šare“</w:t>
      </w:r>
    </w:p>
    <w:p w14:paraId="54193F44" w14:textId="77777777" w:rsidR="003801E8" w:rsidRDefault="00E44AAE">
      <w:pPr>
        <w:tabs>
          <w:tab w:val="left" w:pos="3315"/>
        </w:tabs>
        <w:spacing w:line="360" w:lineRule="auto"/>
        <w:jc w:val="both"/>
        <w:rPr>
          <w:rFonts w:ascii="Book Antiqua" w:hAnsi="Book Antiqua" w:cs="Times New Roman"/>
          <w:bCs/>
          <w:sz w:val="24"/>
          <w:szCs w:val="24"/>
          <w:lang w:val="sr-Latn-RS"/>
        </w:rPr>
      </w:pPr>
      <w:r>
        <w:rPr>
          <w:rFonts w:ascii="Book Antiqua" w:hAnsi="Book Antiqua" w:cs="Times New Roman"/>
          <w:bCs/>
          <w:sz w:val="24"/>
          <w:szCs w:val="24"/>
          <w:lang w:val="sr-Latn-RS"/>
        </w:rPr>
        <w:t>Na poprečnom presjeku čokota utvrđene su: a) nekroze u vidu sitnih crnih mrlja različitog oblika i veličine koje su raspoređene pojedinačno ili u grupama (Slika 5a); b) tamno smeđe do braon nekroze u centralnom dijelu čokota ili na ivici čokota (Slika 5b); c) nekroze različitih nijansi boja i teksture koje zauzimaju veći dio sprovodnih sudova čokota (Slika 5c); d) bijele do svijetlo smeđe nekrotične zone sunđeraste koenzistencije, oivičene tamnijim oreolom od okolnog zdravog tkiva i lokalizovane u centralnom dijelu čokota</w:t>
      </w:r>
      <w:bookmarkEnd w:id="8"/>
      <w:r>
        <w:rPr>
          <w:rFonts w:ascii="Book Antiqua" w:hAnsi="Book Antiqua" w:cs="Times New Roman"/>
          <w:bCs/>
          <w:sz w:val="24"/>
          <w:szCs w:val="24"/>
          <w:lang w:val="sr-Latn-RS"/>
        </w:rPr>
        <w:t xml:space="preserve"> (Slika 5d). </w:t>
      </w:r>
    </w:p>
    <w:p w14:paraId="679CF87B" w14:textId="77777777" w:rsidR="006E3141" w:rsidRDefault="006E3141">
      <w:pPr>
        <w:tabs>
          <w:tab w:val="left" w:pos="3315"/>
        </w:tabs>
        <w:spacing w:line="360" w:lineRule="auto"/>
        <w:jc w:val="both"/>
        <w:rPr>
          <w:rFonts w:ascii="Book Antiqua" w:hAnsi="Book Antiqua" w:cs="Times New Roman"/>
          <w:bCs/>
          <w:sz w:val="24"/>
          <w:szCs w:val="24"/>
          <w:lang w:val="sr-Latn-RS"/>
        </w:rPr>
      </w:pPr>
    </w:p>
    <w:p w14:paraId="0BF56C4A"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6148120C"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24E934EC" w14:textId="77777777" w:rsidR="003801E8" w:rsidRDefault="00E44AAE">
      <w:pPr>
        <w:tabs>
          <w:tab w:val="left" w:pos="3315"/>
        </w:tabs>
        <w:spacing w:line="360" w:lineRule="auto"/>
        <w:jc w:val="both"/>
        <w:rPr>
          <w:rFonts w:ascii="Book Antiqua" w:hAnsi="Book Antiqua" w:cs="Times New Roman"/>
          <w:bCs/>
          <w:sz w:val="24"/>
          <w:szCs w:val="24"/>
          <w:lang w:val="sr-Latn-RS"/>
        </w:rPr>
      </w:pPr>
      <w:r>
        <w:rPr>
          <w:rFonts w:ascii="Book Antiqua" w:hAnsi="Book Antiqua" w:cs="Times New Roman"/>
          <w:bCs/>
          <w:sz w:val="24"/>
          <w:szCs w:val="24"/>
          <w:lang w:val="sr-Latn-RS"/>
        </w:rPr>
        <w:lastRenderedPageBreak/>
        <w:t xml:space="preserve">Nakon poprečnih i uzdužnih presjeka čokota uočeno je da pojava „bijele truleži“ počinje od rana od rezidbe koje su veće od 2 cm u prečniku. Takođe, primijećeno je da se bijela trulež razvija čitavom dužinom čokota sve do mjesta kalemljenja. Na mjestu kalemljenja i podlozi, prisustvo bijele truleži nije primijećeno. Na određenom broju čokota je uočen početak razvoja „bijele truleži“ u donjoj trećini trupa, a kao „ulazna vrata“ za prodor patogena, detektovana su oštećenja nastala od strane različitih insekatskih vrsta. </w:t>
      </w:r>
    </w:p>
    <w:p w14:paraId="219FFE0E" w14:textId="77777777" w:rsidR="003801E8" w:rsidRDefault="00E44AAE">
      <w:pPr>
        <w:tabs>
          <w:tab w:val="left" w:pos="3315"/>
        </w:tabs>
        <w:spacing w:line="240" w:lineRule="auto"/>
        <w:jc w:val="both"/>
        <w:rPr>
          <w:rFonts w:ascii="Book Antiqua" w:hAnsi="Book Antiqua" w:cs="Times New Roman"/>
          <w:bCs/>
          <w:sz w:val="24"/>
          <w:szCs w:val="24"/>
          <w:lang w:val="sr-Latn-RS"/>
        </w:rPr>
      </w:pPr>
      <w:r>
        <w:rPr>
          <w:rFonts w:ascii="Times New Roman" w:hAnsi="Times New Roman" w:cs="Times New Roman"/>
          <w:noProof/>
          <w:sz w:val="24"/>
          <w:szCs w:val="24"/>
          <w:lang w:val="en-US"/>
        </w:rPr>
        <w:drawing>
          <wp:inline distT="0" distB="0" distL="0" distR="0" wp14:anchorId="47BBBAEE" wp14:editId="07FF09A4">
            <wp:extent cx="5402580" cy="1090295"/>
            <wp:effectExtent l="0" t="0" r="7620" b="0"/>
            <wp:docPr id="18770258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25811"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402580" cy="1090402"/>
                    </a:xfrm>
                    <a:prstGeom prst="rect">
                      <a:avLst/>
                    </a:prstGeom>
                    <a:noFill/>
                    <a:ln>
                      <a:noFill/>
                    </a:ln>
                  </pic:spPr>
                </pic:pic>
              </a:graphicData>
            </a:graphic>
          </wp:inline>
        </w:drawing>
      </w:r>
    </w:p>
    <w:p w14:paraId="11E21B08" w14:textId="77777777" w:rsidR="003801E8" w:rsidRDefault="00E44AAE">
      <w:pPr>
        <w:tabs>
          <w:tab w:val="left" w:pos="3315"/>
        </w:tabs>
        <w:spacing w:line="360" w:lineRule="auto"/>
        <w:jc w:val="both"/>
        <w:rPr>
          <w:rFonts w:ascii="Book Antiqua" w:hAnsi="Book Antiqua" w:cs="Times New Roman"/>
          <w:bCs/>
          <w:sz w:val="22"/>
          <w:szCs w:val="22"/>
          <w:lang w:val="sr-Latn-RS"/>
        </w:rPr>
      </w:pPr>
      <w:r>
        <w:rPr>
          <w:rFonts w:ascii="Book Antiqua" w:hAnsi="Book Antiqua" w:cs="Times New Roman"/>
          <w:b/>
          <w:sz w:val="22"/>
          <w:szCs w:val="22"/>
          <w:lang w:val="sr-Latn-RS"/>
        </w:rPr>
        <w:t>Slika 5</w:t>
      </w:r>
      <w:r>
        <w:rPr>
          <w:rFonts w:ascii="Book Antiqua" w:hAnsi="Book Antiqua" w:cs="Times New Roman"/>
          <w:bCs/>
          <w:sz w:val="22"/>
          <w:szCs w:val="22"/>
          <w:lang w:val="sr-Latn-RS"/>
        </w:rPr>
        <w:t xml:space="preserve">. a) Nekroza sprovodnih sudova u vidu sitnih crnih mrlja b) Braon nekroza u centralnom dijelu čokota c) Tamno smeđa nekroza na poprečnom presjeku čokota d) Bijela trulež u centralnom dijelu čokota oivičena crnom linijom </w:t>
      </w:r>
    </w:p>
    <w:p w14:paraId="2A33C15F" w14:textId="77777777" w:rsidR="003801E8" w:rsidRDefault="00E44AAE">
      <w:pPr>
        <w:tabs>
          <w:tab w:val="left" w:pos="3315"/>
        </w:tabs>
        <w:spacing w:line="360" w:lineRule="auto"/>
        <w:jc w:val="both"/>
        <w:rPr>
          <w:rFonts w:ascii="Book Antiqua" w:hAnsi="Book Antiqua" w:cs="Times New Roman"/>
          <w:bCs/>
          <w:sz w:val="24"/>
          <w:szCs w:val="24"/>
          <w:lang w:val="sr-Latn-RS"/>
        </w:rPr>
      </w:pPr>
      <w:r>
        <w:rPr>
          <w:rFonts w:ascii="Book Antiqua" w:hAnsi="Book Antiqua" w:cs="Times New Roman"/>
          <w:bCs/>
          <w:sz w:val="24"/>
          <w:szCs w:val="24"/>
          <w:lang w:val="sr-Latn-RS"/>
        </w:rPr>
        <w:t xml:space="preserve">Na čokotima starijim od 15 godina uočena je crna tačkasta nekroza, tamno smeđe nekrotične zone i „bijela trulež“. Međutim, na čokotima mlađim od 15 godina  jedino su konstatovani simptomi crnih nekrotičnih mrlja i smeđe nekroze. Za razliku od bijele truleži crne nekrotične mrlje su uočene  i na podlozi i samom mjestu kalemljenja. </w:t>
      </w:r>
    </w:p>
    <w:p w14:paraId="1E8E2D95" w14:textId="77777777" w:rsidR="003801E8" w:rsidRDefault="00E44AAE">
      <w:pPr>
        <w:tabs>
          <w:tab w:val="left" w:pos="3315"/>
        </w:tabs>
        <w:spacing w:line="360" w:lineRule="auto"/>
        <w:jc w:val="both"/>
        <w:rPr>
          <w:rFonts w:ascii="Book Antiqua" w:hAnsi="Book Antiqua" w:cs="Times New Roman"/>
          <w:bCs/>
          <w:sz w:val="24"/>
          <w:szCs w:val="24"/>
          <w:lang w:val="sr-Latn-RS"/>
        </w:rPr>
      </w:pPr>
      <w:r>
        <w:rPr>
          <w:rFonts w:ascii="Book Antiqua" w:hAnsi="Book Antiqua" w:cs="Times New Roman"/>
          <w:bCs/>
          <w:sz w:val="24"/>
          <w:szCs w:val="24"/>
          <w:lang w:val="sr-Latn-RS"/>
        </w:rPr>
        <w:t>Vizuelnim pregledom vinograda, simptomi eska oboljenja su ustanovljeni u svim vinogradima starijim od 5 godina, i uočeno je da se sa povećanjem starosti vinograda intenzitet pojave simptoma povećava. Simptomi su najizraženiji u vinogradima starosti 15-25 godina. U vinogradima starosti 80-100 godina nije primijećeno prisustvo simptoma eska oboljenja, ali je u njima utvrđeno preko 50% „praznih mjesta“. Vinogradi starosti oko 100 godina su podignuti na sopstvenom korijenu i jedni su od rijetkih koji su preživjeli napad filoksere (</w:t>
      </w:r>
      <w:r>
        <w:rPr>
          <w:rFonts w:ascii="Book Antiqua" w:hAnsi="Book Antiqua" w:cs="Times New Roman"/>
          <w:bCs/>
          <w:i/>
          <w:iCs/>
          <w:sz w:val="24"/>
          <w:szCs w:val="24"/>
          <w:lang w:val="sr-Latn-RS"/>
        </w:rPr>
        <w:t>Phylloxera vastratix</w:t>
      </w:r>
      <w:r>
        <w:rPr>
          <w:rFonts w:ascii="Book Antiqua" w:hAnsi="Book Antiqua" w:cs="Times New Roman"/>
          <w:bCs/>
          <w:sz w:val="24"/>
          <w:szCs w:val="24"/>
          <w:lang w:val="sr-Latn-RS"/>
        </w:rPr>
        <w:t xml:space="preserve">) u Crnoj Gori. </w:t>
      </w:r>
    </w:p>
    <w:p w14:paraId="4F777F53" w14:textId="77777777" w:rsidR="003801E8" w:rsidRDefault="00E44AAE">
      <w:pPr>
        <w:tabs>
          <w:tab w:val="left" w:pos="3315"/>
        </w:tabs>
        <w:spacing w:line="360" w:lineRule="auto"/>
        <w:jc w:val="both"/>
        <w:rPr>
          <w:rFonts w:ascii="Book Antiqua" w:hAnsi="Book Antiqua" w:cs="Times New Roman"/>
          <w:bCs/>
          <w:sz w:val="24"/>
          <w:szCs w:val="24"/>
          <w:lang w:val="en-US"/>
        </w:rPr>
      </w:pPr>
      <w:r>
        <w:rPr>
          <w:rFonts w:ascii="Book Antiqua" w:hAnsi="Book Antiqua" w:cs="Times New Roman"/>
          <w:bCs/>
          <w:sz w:val="24"/>
          <w:szCs w:val="24"/>
          <w:lang w:val="en-US"/>
        </w:rPr>
        <w:lastRenderedPageBreak/>
        <w:t>Istraživanje je pokazalo da nije zabilježena pojava simptoma kod introdukovanih sorti vinove loze: Syrah, Cabernet Franc, Malvasia, Probus, Pinot Noir, Grenache, Marselan, Sauvignon blanc i Chardonnay. Jedine introdukovane sorte kod kojih su uočeni folijarni simptomi bolesti bile su Cabernet Sauvignon i Merlot, i to isključivo u vinogradima starosti između 15 i 30 godina.</w:t>
      </w:r>
    </w:p>
    <w:p w14:paraId="365C76F5" w14:textId="77777777" w:rsidR="003801E8" w:rsidRDefault="00E44AAE">
      <w:pPr>
        <w:tabs>
          <w:tab w:val="left" w:pos="3315"/>
        </w:tabs>
        <w:spacing w:line="360" w:lineRule="auto"/>
        <w:jc w:val="both"/>
        <w:rPr>
          <w:rFonts w:ascii="Book Antiqua" w:hAnsi="Book Antiqua" w:cs="Times New Roman"/>
          <w:bCs/>
          <w:sz w:val="24"/>
          <w:szCs w:val="24"/>
          <w:lang w:val="en-US"/>
        </w:rPr>
      </w:pPr>
      <w:r>
        <w:rPr>
          <w:rFonts w:ascii="Book Antiqua" w:hAnsi="Book Antiqua" w:cs="Times New Roman"/>
          <w:bCs/>
          <w:sz w:val="24"/>
          <w:szCs w:val="24"/>
          <w:lang w:val="en-US"/>
        </w:rPr>
        <w:t>Rezultati istraživanja ukazuju na to da autohtone crnogorske sorte vinove loze Vranac i Kratošija ispoljavaju značajno veću osjetljivost prema eska oboljenju u poređenju sa introdukovanim sortama. Analiza varijanse i Bonferonijev post hoc test potvrdili su da Vranac pokazuje statistički značajno veću osetljivost u vinogradima iste starosti u poređenju sa sortama Cabernet Sauvignon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8,25×10</w:t>
      </w:r>
      <w:r>
        <w:rPr>
          <w:rFonts w:ascii="Cambria Math" w:hAnsi="Cambria Math" w:cs="Cambria Math"/>
          <w:bCs/>
          <w:sz w:val="24"/>
          <w:szCs w:val="24"/>
          <w:lang w:val="en-US"/>
        </w:rPr>
        <w:t>⁻</w:t>
      </w:r>
      <w:r>
        <w:rPr>
          <w:rFonts w:ascii="Book Antiqua" w:hAnsi="Book Antiqua" w:cs="Book Antiqua"/>
          <w:bCs/>
          <w:sz w:val="24"/>
          <w:szCs w:val="24"/>
          <w:lang w:val="en-US"/>
        </w:rPr>
        <w:t>¹</w:t>
      </w:r>
      <w:r>
        <w:rPr>
          <w:rFonts w:ascii="Cambria Math" w:hAnsi="Cambria Math" w:cs="Cambria Math"/>
          <w:bCs/>
          <w:sz w:val="24"/>
          <w:szCs w:val="24"/>
          <w:lang w:val="en-US"/>
        </w:rPr>
        <w:t>⁷</w:t>
      </w:r>
      <w:r>
        <w:rPr>
          <w:rFonts w:ascii="Book Antiqua" w:hAnsi="Book Antiqua" w:cs="Times New Roman"/>
          <w:bCs/>
          <w:sz w:val="24"/>
          <w:szCs w:val="24"/>
          <w:lang w:val="en-US"/>
        </w:rPr>
        <w:t>) i Merlot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3,68×10</w:t>
      </w:r>
      <w:r>
        <w:rPr>
          <w:rFonts w:ascii="Cambria Math" w:hAnsi="Cambria Math" w:cs="Cambria Math"/>
          <w:bCs/>
          <w:sz w:val="24"/>
          <w:szCs w:val="24"/>
          <w:lang w:val="en-US"/>
        </w:rPr>
        <w:t>⁻</w:t>
      </w:r>
      <w:r>
        <w:rPr>
          <w:rFonts w:ascii="Book Antiqua" w:hAnsi="Book Antiqua" w:cs="Book Antiqua"/>
          <w:bCs/>
          <w:sz w:val="24"/>
          <w:szCs w:val="24"/>
          <w:lang w:val="en-US"/>
        </w:rPr>
        <w:t>¹</w:t>
      </w:r>
      <w:r>
        <w:rPr>
          <w:rFonts w:ascii="Cambria Math" w:hAnsi="Cambria Math" w:cs="Cambria Math"/>
          <w:bCs/>
          <w:sz w:val="24"/>
          <w:szCs w:val="24"/>
          <w:lang w:val="en-US"/>
        </w:rPr>
        <w:t>⁴</w:t>
      </w:r>
      <w:r>
        <w:rPr>
          <w:rFonts w:ascii="Book Antiqua" w:hAnsi="Book Antiqua" w:cs="Times New Roman"/>
          <w:bCs/>
          <w:sz w:val="24"/>
          <w:szCs w:val="24"/>
          <w:lang w:val="en-US"/>
        </w:rPr>
        <w:t>). Slično tome, sorta Kratošija je pokazala viši stepen osetljivosti u poređenju sa Cabernet Sauvignon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2,03×10</w:t>
      </w:r>
      <w:r>
        <w:rPr>
          <w:rFonts w:ascii="Cambria Math" w:hAnsi="Cambria Math" w:cs="Cambria Math"/>
          <w:bCs/>
          <w:sz w:val="24"/>
          <w:szCs w:val="24"/>
          <w:lang w:val="en-US"/>
        </w:rPr>
        <w:t>⁻</w:t>
      </w:r>
      <w:r>
        <w:rPr>
          <w:rFonts w:ascii="Book Antiqua" w:hAnsi="Book Antiqua" w:cs="Book Antiqua"/>
          <w:bCs/>
          <w:sz w:val="24"/>
          <w:szCs w:val="24"/>
          <w:lang w:val="en-US"/>
        </w:rPr>
        <w:t>²¹</w:t>
      </w:r>
      <w:r>
        <w:rPr>
          <w:rFonts w:ascii="Book Antiqua" w:hAnsi="Book Antiqua" w:cs="Times New Roman"/>
          <w:bCs/>
          <w:sz w:val="24"/>
          <w:szCs w:val="24"/>
          <w:lang w:val="en-US"/>
        </w:rPr>
        <w:t>) i Merlot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1,79×10</w:t>
      </w:r>
      <w:r>
        <w:rPr>
          <w:rFonts w:ascii="Cambria Math" w:hAnsi="Cambria Math" w:cs="Cambria Math"/>
          <w:bCs/>
          <w:sz w:val="24"/>
          <w:szCs w:val="24"/>
          <w:lang w:val="en-US"/>
        </w:rPr>
        <w:t>⁻</w:t>
      </w:r>
      <w:r>
        <w:rPr>
          <w:rFonts w:ascii="Book Antiqua" w:hAnsi="Book Antiqua" w:cs="Book Antiqua"/>
          <w:bCs/>
          <w:sz w:val="24"/>
          <w:szCs w:val="24"/>
          <w:lang w:val="en-US"/>
        </w:rPr>
        <w:t>¹</w:t>
      </w:r>
      <w:r>
        <w:rPr>
          <w:rFonts w:ascii="Cambria Math" w:hAnsi="Cambria Math" w:cs="Cambria Math"/>
          <w:bCs/>
          <w:sz w:val="24"/>
          <w:szCs w:val="24"/>
          <w:lang w:val="en-US"/>
        </w:rPr>
        <w:t>⁸</w:t>
      </w:r>
      <w:r>
        <w:rPr>
          <w:rFonts w:ascii="Book Antiqua" w:hAnsi="Book Antiqua" w:cs="Times New Roman"/>
          <w:bCs/>
          <w:sz w:val="24"/>
          <w:szCs w:val="24"/>
          <w:lang w:val="en-US"/>
        </w:rPr>
        <w:t>). Između sorti Cabernet Sauvignon i Merlot nije utvrđena statistički značajna razlika u osetljivosti na eska oboljenje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0,36).</w:t>
      </w:r>
    </w:p>
    <w:p w14:paraId="144C6CBF" w14:textId="77777777" w:rsidR="003801E8" w:rsidRDefault="00E44AAE">
      <w:pPr>
        <w:tabs>
          <w:tab w:val="left" w:pos="3315"/>
        </w:tabs>
        <w:spacing w:line="360" w:lineRule="auto"/>
        <w:jc w:val="both"/>
        <w:rPr>
          <w:rFonts w:ascii="Book Antiqua" w:hAnsi="Book Antiqua" w:cs="Times New Roman"/>
          <w:bCs/>
          <w:sz w:val="24"/>
          <w:szCs w:val="24"/>
          <w:lang w:val="en-US"/>
        </w:rPr>
      </w:pPr>
      <w:r>
        <w:rPr>
          <w:rFonts w:ascii="Book Antiqua" w:hAnsi="Book Antiqua" w:cs="Times New Roman"/>
          <w:bCs/>
          <w:sz w:val="24"/>
          <w:szCs w:val="24"/>
          <w:lang w:val="en-US"/>
        </w:rPr>
        <w:t>U poređenju sa sortom Vranac, stare autohtone crnogorske sorte Krstač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1,0×10</w:t>
      </w:r>
      <w:r>
        <w:rPr>
          <w:rFonts w:ascii="Cambria Math" w:hAnsi="Cambria Math" w:cs="Cambria Math"/>
          <w:bCs/>
          <w:sz w:val="24"/>
          <w:szCs w:val="24"/>
          <w:lang w:val="en-US"/>
        </w:rPr>
        <w:t>⁻⁵</w:t>
      </w:r>
      <w:r>
        <w:rPr>
          <w:rFonts w:ascii="Book Antiqua" w:hAnsi="Book Antiqua" w:cs="Times New Roman"/>
          <w:bCs/>
          <w:sz w:val="24"/>
          <w:szCs w:val="24"/>
          <w:lang w:val="en-US"/>
        </w:rPr>
        <w:t>) i Čubrica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4,01×10</w:t>
      </w:r>
      <w:r>
        <w:rPr>
          <w:rFonts w:ascii="Cambria Math" w:hAnsi="Cambria Math" w:cs="Cambria Math"/>
          <w:bCs/>
          <w:sz w:val="24"/>
          <w:szCs w:val="24"/>
          <w:lang w:val="en-US"/>
        </w:rPr>
        <w:t>⁻</w:t>
      </w:r>
      <w:r>
        <w:rPr>
          <w:rFonts w:ascii="Book Antiqua" w:hAnsi="Book Antiqua" w:cs="Book Antiqua"/>
          <w:bCs/>
          <w:sz w:val="24"/>
          <w:szCs w:val="24"/>
          <w:lang w:val="en-US"/>
        </w:rPr>
        <w:t>²</w:t>
      </w:r>
      <w:r>
        <w:rPr>
          <w:rFonts w:ascii="Cambria Math" w:hAnsi="Cambria Math" w:cs="Cambria Math"/>
          <w:bCs/>
          <w:sz w:val="24"/>
          <w:szCs w:val="24"/>
          <w:lang w:val="en-US"/>
        </w:rPr>
        <w:t>⁴</w:t>
      </w:r>
      <w:r>
        <w:rPr>
          <w:rFonts w:ascii="Book Antiqua" w:hAnsi="Book Antiqua" w:cs="Times New Roman"/>
          <w:bCs/>
          <w:sz w:val="24"/>
          <w:szCs w:val="24"/>
          <w:lang w:val="en-US"/>
        </w:rPr>
        <w:t>), koje se sporadično gaje u Crnoj Gori, pokazale su statistički značajno veću tolerantnost prema eska oboljenju. Takođe, sorte Krstač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1,52×10</w:t>
      </w:r>
      <w:r>
        <w:rPr>
          <w:rFonts w:ascii="Cambria Math" w:hAnsi="Cambria Math" w:cs="Cambria Math"/>
          <w:bCs/>
          <w:sz w:val="24"/>
          <w:szCs w:val="24"/>
          <w:lang w:val="en-US"/>
        </w:rPr>
        <w:t>⁻⁸</w:t>
      </w:r>
      <w:r>
        <w:rPr>
          <w:rFonts w:ascii="Book Antiqua" w:hAnsi="Book Antiqua" w:cs="Times New Roman"/>
          <w:bCs/>
          <w:sz w:val="24"/>
          <w:szCs w:val="24"/>
          <w:lang w:val="en-US"/>
        </w:rPr>
        <w:t>) i Čubrica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2,57×10</w:t>
      </w:r>
      <w:r>
        <w:rPr>
          <w:rFonts w:ascii="Cambria Math" w:hAnsi="Cambria Math" w:cs="Cambria Math"/>
          <w:bCs/>
          <w:sz w:val="24"/>
          <w:szCs w:val="24"/>
          <w:lang w:val="en-US"/>
        </w:rPr>
        <w:t>⁻</w:t>
      </w:r>
      <w:r>
        <w:rPr>
          <w:rFonts w:ascii="Book Antiqua" w:hAnsi="Book Antiqua" w:cs="Book Antiqua"/>
          <w:bCs/>
          <w:sz w:val="24"/>
          <w:szCs w:val="24"/>
          <w:lang w:val="en-US"/>
        </w:rPr>
        <w:t>²</w:t>
      </w:r>
      <w:r>
        <w:rPr>
          <w:rFonts w:ascii="Cambria Math" w:hAnsi="Cambria Math" w:cs="Cambria Math"/>
          <w:bCs/>
          <w:sz w:val="24"/>
          <w:szCs w:val="24"/>
          <w:lang w:val="en-US"/>
        </w:rPr>
        <w:t>⁹</w:t>
      </w:r>
      <w:r>
        <w:rPr>
          <w:rFonts w:ascii="Book Antiqua" w:hAnsi="Book Antiqua" w:cs="Times New Roman"/>
          <w:bCs/>
          <w:sz w:val="24"/>
          <w:szCs w:val="24"/>
          <w:lang w:val="en-US"/>
        </w:rPr>
        <w:t>) ispoljile su značajno veću tolerantnost u odnosu na Kratošiju.</w:t>
      </w:r>
    </w:p>
    <w:p w14:paraId="52F4A9C3" w14:textId="77777777" w:rsidR="003801E8" w:rsidRDefault="00E44AAE">
      <w:pPr>
        <w:tabs>
          <w:tab w:val="left" w:pos="3315"/>
        </w:tabs>
        <w:spacing w:line="360" w:lineRule="auto"/>
        <w:jc w:val="both"/>
        <w:rPr>
          <w:rFonts w:ascii="Book Antiqua" w:hAnsi="Book Antiqua" w:cs="Times New Roman"/>
          <w:bCs/>
          <w:sz w:val="24"/>
          <w:szCs w:val="24"/>
          <w:lang w:val="en-US"/>
        </w:rPr>
      </w:pPr>
      <w:r>
        <w:rPr>
          <w:rFonts w:ascii="Book Antiqua" w:hAnsi="Book Antiqua" w:cs="Times New Roman"/>
          <w:bCs/>
          <w:sz w:val="24"/>
          <w:szCs w:val="24"/>
          <w:lang w:val="en-US"/>
        </w:rPr>
        <w:t>Pored vinskih sorti, stone sorte grožđa kao što su Cardinal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2,18×10</w:t>
      </w:r>
      <w:r>
        <w:rPr>
          <w:rFonts w:ascii="Cambria Math" w:hAnsi="Cambria Math" w:cs="Cambria Math"/>
          <w:bCs/>
          <w:sz w:val="24"/>
          <w:szCs w:val="24"/>
          <w:lang w:val="en-US"/>
        </w:rPr>
        <w:t>⁻</w:t>
      </w:r>
      <w:r>
        <w:rPr>
          <w:rFonts w:ascii="Book Antiqua" w:hAnsi="Book Antiqua" w:cs="Book Antiqua"/>
          <w:bCs/>
          <w:sz w:val="24"/>
          <w:szCs w:val="24"/>
          <w:lang w:val="en-US"/>
        </w:rPr>
        <w:t>¹</w:t>
      </w:r>
      <w:r>
        <w:rPr>
          <w:rFonts w:ascii="Cambria Math" w:hAnsi="Cambria Math" w:cs="Cambria Math"/>
          <w:bCs/>
          <w:sz w:val="24"/>
          <w:szCs w:val="24"/>
          <w:lang w:val="en-US"/>
        </w:rPr>
        <w:t>⁵</w:t>
      </w:r>
      <w:r>
        <w:rPr>
          <w:rFonts w:ascii="Book Antiqua" w:hAnsi="Book Antiqua" w:cs="Times New Roman"/>
          <w:bCs/>
          <w:sz w:val="24"/>
          <w:szCs w:val="24"/>
          <w:lang w:val="en-US"/>
        </w:rPr>
        <w:t xml:space="preserve">;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3,97</w:t>
      </w:r>
      <w:r>
        <w:rPr>
          <w:rFonts w:ascii="Book Antiqua" w:hAnsi="Book Antiqua" w:cs="Book Antiqua"/>
          <w:bCs/>
          <w:sz w:val="24"/>
          <w:szCs w:val="24"/>
          <w:lang w:val="en-US"/>
        </w:rPr>
        <w:t>×</w:t>
      </w:r>
      <w:r>
        <w:rPr>
          <w:rFonts w:ascii="Book Antiqua" w:hAnsi="Book Antiqua" w:cs="Times New Roman"/>
          <w:bCs/>
          <w:sz w:val="24"/>
          <w:szCs w:val="24"/>
          <w:lang w:val="en-US"/>
        </w:rPr>
        <w:t>10</w:t>
      </w:r>
      <w:r>
        <w:rPr>
          <w:rFonts w:ascii="Cambria Math" w:hAnsi="Cambria Math" w:cs="Cambria Math"/>
          <w:bCs/>
          <w:sz w:val="24"/>
          <w:szCs w:val="24"/>
          <w:lang w:val="en-US"/>
        </w:rPr>
        <w:t>⁻</w:t>
      </w:r>
      <w:r>
        <w:rPr>
          <w:rFonts w:ascii="Book Antiqua" w:hAnsi="Book Antiqua" w:cs="Book Antiqua"/>
          <w:bCs/>
          <w:sz w:val="24"/>
          <w:szCs w:val="24"/>
          <w:lang w:val="en-US"/>
        </w:rPr>
        <w:t>¹</w:t>
      </w:r>
      <w:r>
        <w:rPr>
          <w:rFonts w:ascii="Cambria Math" w:hAnsi="Cambria Math" w:cs="Cambria Math"/>
          <w:bCs/>
          <w:sz w:val="24"/>
          <w:szCs w:val="24"/>
          <w:lang w:val="en-US"/>
        </w:rPr>
        <w:t>⁸</w:t>
      </w:r>
      <w:r>
        <w:rPr>
          <w:rFonts w:ascii="Book Antiqua" w:hAnsi="Book Antiqua" w:cs="Times New Roman"/>
          <w:bCs/>
          <w:sz w:val="24"/>
          <w:szCs w:val="24"/>
          <w:lang w:val="en-US"/>
        </w:rPr>
        <w:t>), Ribier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9,71×10</w:t>
      </w:r>
      <w:r>
        <w:rPr>
          <w:rFonts w:ascii="Cambria Math" w:hAnsi="Cambria Math" w:cs="Cambria Math"/>
          <w:bCs/>
          <w:sz w:val="24"/>
          <w:szCs w:val="24"/>
          <w:lang w:val="en-US"/>
        </w:rPr>
        <w:t>⁻</w:t>
      </w:r>
      <w:r>
        <w:rPr>
          <w:rFonts w:ascii="Book Antiqua" w:hAnsi="Book Antiqua" w:cs="Book Antiqua"/>
          <w:bCs/>
          <w:sz w:val="24"/>
          <w:szCs w:val="24"/>
          <w:lang w:val="en-US"/>
        </w:rPr>
        <w:t>¹</w:t>
      </w:r>
      <w:r>
        <w:rPr>
          <w:rFonts w:ascii="Cambria Math" w:hAnsi="Cambria Math" w:cs="Cambria Math"/>
          <w:bCs/>
          <w:sz w:val="24"/>
          <w:szCs w:val="24"/>
          <w:lang w:val="en-US"/>
        </w:rPr>
        <w:t>⁹</w:t>
      </w:r>
      <w:r>
        <w:rPr>
          <w:rFonts w:ascii="Book Antiqua" w:hAnsi="Book Antiqua" w:cs="Times New Roman"/>
          <w:bCs/>
          <w:sz w:val="24"/>
          <w:szCs w:val="24"/>
          <w:lang w:val="en-US"/>
        </w:rPr>
        <w:t xml:space="preserve">;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1,06</w:t>
      </w:r>
      <w:r>
        <w:rPr>
          <w:rFonts w:ascii="Book Antiqua" w:hAnsi="Book Antiqua" w:cs="Book Antiqua"/>
          <w:bCs/>
          <w:sz w:val="24"/>
          <w:szCs w:val="24"/>
          <w:lang w:val="en-US"/>
        </w:rPr>
        <w:t>×</w:t>
      </w:r>
      <w:r>
        <w:rPr>
          <w:rFonts w:ascii="Book Antiqua" w:hAnsi="Book Antiqua" w:cs="Times New Roman"/>
          <w:bCs/>
          <w:sz w:val="24"/>
          <w:szCs w:val="24"/>
          <w:lang w:val="en-US"/>
        </w:rPr>
        <w:t>10</w:t>
      </w:r>
      <w:r>
        <w:rPr>
          <w:rFonts w:ascii="Cambria Math" w:hAnsi="Cambria Math" w:cs="Cambria Math"/>
          <w:bCs/>
          <w:sz w:val="24"/>
          <w:szCs w:val="24"/>
          <w:lang w:val="en-US"/>
        </w:rPr>
        <w:t>⁻</w:t>
      </w:r>
      <w:r>
        <w:rPr>
          <w:rFonts w:ascii="Book Antiqua" w:hAnsi="Book Antiqua" w:cs="Book Antiqua"/>
          <w:bCs/>
          <w:sz w:val="24"/>
          <w:szCs w:val="24"/>
          <w:lang w:val="en-US"/>
        </w:rPr>
        <w:t>²¹</w:t>
      </w:r>
      <w:r>
        <w:rPr>
          <w:rFonts w:ascii="Book Antiqua" w:hAnsi="Book Antiqua" w:cs="Times New Roman"/>
          <w:bCs/>
          <w:sz w:val="24"/>
          <w:szCs w:val="24"/>
          <w:lang w:val="en-US"/>
        </w:rPr>
        <w:t>) i Afus Ali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9,16×10</w:t>
      </w:r>
      <w:r>
        <w:rPr>
          <w:rFonts w:ascii="Cambria Math" w:hAnsi="Cambria Math" w:cs="Cambria Math"/>
          <w:bCs/>
          <w:sz w:val="24"/>
          <w:szCs w:val="24"/>
          <w:lang w:val="en-US"/>
        </w:rPr>
        <w:t>⁻⁹</w:t>
      </w:r>
      <w:r>
        <w:rPr>
          <w:rFonts w:ascii="Book Antiqua" w:hAnsi="Book Antiqua" w:cs="Times New Roman"/>
          <w:bCs/>
          <w:sz w:val="24"/>
          <w:szCs w:val="24"/>
          <w:lang w:val="en-US"/>
        </w:rPr>
        <w:t xml:space="preserve">;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6,17</w:t>
      </w:r>
      <w:r>
        <w:rPr>
          <w:rFonts w:ascii="Book Antiqua" w:hAnsi="Book Antiqua" w:cs="Book Antiqua"/>
          <w:bCs/>
          <w:sz w:val="24"/>
          <w:szCs w:val="24"/>
          <w:lang w:val="en-US"/>
        </w:rPr>
        <w:t>×</w:t>
      </w:r>
      <w:r>
        <w:rPr>
          <w:rFonts w:ascii="Book Antiqua" w:hAnsi="Book Antiqua" w:cs="Times New Roman"/>
          <w:bCs/>
          <w:sz w:val="24"/>
          <w:szCs w:val="24"/>
          <w:lang w:val="en-US"/>
        </w:rPr>
        <w:t>10</w:t>
      </w:r>
      <w:r>
        <w:rPr>
          <w:rFonts w:ascii="Cambria Math" w:hAnsi="Cambria Math" w:cs="Cambria Math"/>
          <w:bCs/>
          <w:sz w:val="24"/>
          <w:szCs w:val="24"/>
          <w:lang w:val="en-US"/>
        </w:rPr>
        <w:t>⁻</w:t>
      </w:r>
      <w:r>
        <w:rPr>
          <w:rFonts w:ascii="Book Antiqua" w:hAnsi="Book Antiqua" w:cs="Book Antiqua"/>
          <w:bCs/>
          <w:sz w:val="24"/>
          <w:szCs w:val="24"/>
          <w:lang w:val="en-US"/>
        </w:rPr>
        <w:t>¹¹</w:t>
      </w:r>
      <w:r>
        <w:rPr>
          <w:rFonts w:ascii="Book Antiqua" w:hAnsi="Book Antiqua" w:cs="Times New Roman"/>
          <w:bCs/>
          <w:sz w:val="24"/>
          <w:szCs w:val="24"/>
          <w:lang w:val="en-US"/>
        </w:rPr>
        <w:t>) pokazale su visok stepen osjetljivosti prema eska oboljenju u poređenju sa introdukovanim sortama Merlot i Cabernet Sauvignon.</w:t>
      </w:r>
    </w:p>
    <w:p w14:paraId="0F217788" w14:textId="77777777" w:rsidR="003801E8" w:rsidRDefault="00E44AAE">
      <w:pPr>
        <w:tabs>
          <w:tab w:val="left" w:pos="3315"/>
        </w:tabs>
        <w:spacing w:line="360" w:lineRule="auto"/>
        <w:jc w:val="both"/>
        <w:rPr>
          <w:rFonts w:ascii="Book Antiqua" w:hAnsi="Book Antiqua" w:cs="Times New Roman"/>
          <w:bCs/>
          <w:sz w:val="24"/>
          <w:szCs w:val="24"/>
          <w:lang w:val="en-US"/>
        </w:rPr>
      </w:pPr>
      <w:r>
        <w:rPr>
          <w:rFonts w:ascii="Book Antiqua" w:hAnsi="Book Antiqua" w:cs="Times New Roman"/>
          <w:bCs/>
          <w:sz w:val="24"/>
          <w:szCs w:val="24"/>
          <w:lang w:val="en-US"/>
        </w:rPr>
        <w:t>Međutim, nije utvrđena statistički značajna razlika u osjetljivosti prema eski između stone sorte Cardinal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0,70), Ribier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0,17) i Afus Ali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0,05) u poređenju sa sortom Vranac. Osjetljivost sorti Cardinal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0,37) i Ribier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0,94) takođe se nije statistički značajno razlikovala u odnosu na Kratošiju, dok je sorta Afus Ali pokazala statistički značajnu razliku u osjetljivosti u poređenju sa </w:t>
      </w:r>
      <w:r>
        <w:rPr>
          <w:rFonts w:ascii="Book Antiqua" w:hAnsi="Book Antiqua" w:cs="Times New Roman"/>
          <w:bCs/>
          <w:sz w:val="24"/>
          <w:szCs w:val="24"/>
          <w:lang w:val="en-US"/>
        </w:rPr>
        <w:lastRenderedPageBreak/>
        <w:t>Kratošijom (</w:t>
      </w:r>
      <w:r>
        <w:rPr>
          <w:rFonts w:ascii="Book Antiqua" w:hAnsi="Book Antiqua" w:cs="Times New Roman"/>
          <w:bCs/>
          <w:i/>
          <w:iCs/>
          <w:sz w:val="24"/>
          <w:szCs w:val="24"/>
          <w:lang w:val="en-US"/>
        </w:rPr>
        <w:t>p</w:t>
      </w:r>
      <w:r>
        <w:rPr>
          <w:rFonts w:ascii="Book Antiqua" w:hAnsi="Book Antiqua" w:cs="Times New Roman"/>
          <w:bCs/>
          <w:sz w:val="24"/>
          <w:szCs w:val="24"/>
          <w:lang w:val="en-US"/>
        </w:rPr>
        <w:t xml:space="preserve"> = 0,003). Detaljan pregled podataka o prisustvu i učestalosti simptoma eska oboljenja kod različitih sorti vinove loze, u vinogradima različite starosti, prikazan je u Tabeli 16.</w:t>
      </w:r>
    </w:p>
    <w:p w14:paraId="11F36025" w14:textId="77777777" w:rsidR="003801E8" w:rsidRDefault="00E44AAE">
      <w:pPr>
        <w:tabs>
          <w:tab w:val="left" w:pos="3315"/>
        </w:tabs>
        <w:spacing w:line="360" w:lineRule="auto"/>
        <w:jc w:val="both"/>
        <w:rPr>
          <w:rFonts w:ascii="Book Antiqua" w:hAnsi="Book Antiqua" w:cs="Times New Roman"/>
          <w:bCs/>
          <w:sz w:val="24"/>
          <w:szCs w:val="24"/>
          <w:lang w:val="sr-Latn-RS"/>
        </w:rPr>
      </w:pPr>
      <w:r>
        <w:rPr>
          <w:rFonts w:ascii="Book Antiqua" w:hAnsi="Book Antiqua" w:cs="Times New Roman"/>
          <w:bCs/>
          <w:sz w:val="24"/>
          <w:szCs w:val="24"/>
          <w:lang w:val="sr-Latn-RS"/>
        </w:rPr>
        <w:t xml:space="preserve">. </w:t>
      </w:r>
      <w:r>
        <w:rPr>
          <w:rFonts w:ascii="Book Antiqua" w:hAnsi="Book Antiqua" w:cs="Times New Roman"/>
          <w:b/>
          <w:sz w:val="22"/>
          <w:szCs w:val="22"/>
          <w:lang w:val="sr-Latn-RS"/>
        </w:rPr>
        <w:t>Tabela 16</w:t>
      </w:r>
      <w:r>
        <w:rPr>
          <w:rFonts w:ascii="Book Antiqua" w:hAnsi="Book Antiqua" w:cs="Times New Roman"/>
          <w:bCs/>
          <w:sz w:val="22"/>
          <w:szCs w:val="22"/>
          <w:lang w:val="sr-Latn-RS"/>
        </w:rPr>
        <w:t xml:space="preserve">. Prisustvo i intenzitet simptoma eska oboljenja u pregledanim vinogradima </w:t>
      </w:r>
    </w:p>
    <w:tbl>
      <w:tblPr>
        <w:tblStyle w:val="PlainTable21"/>
        <w:tblW w:w="8451" w:type="dxa"/>
        <w:tblLook w:val="04A0" w:firstRow="1" w:lastRow="0" w:firstColumn="1" w:lastColumn="0" w:noHBand="0" w:noVBand="1"/>
      </w:tblPr>
      <w:tblGrid>
        <w:gridCol w:w="1728"/>
        <w:gridCol w:w="311"/>
        <w:gridCol w:w="1612"/>
        <w:gridCol w:w="311"/>
        <w:gridCol w:w="614"/>
        <w:gridCol w:w="311"/>
        <w:gridCol w:w="1866"/>
        <w:gridCol w:w="311"/>
        <w:gridCol w:w="1076"/>
        <w:gridCol w:w="311"/>
      </w:tblGrid>
      <w:tr w:rsidR="003801E8" w14:paraId="0A7E624D" w14:textId="77777777" w:rsidTr="003801E8">
        <w:trPr>
          <w:gridAfter w:val="1"/>
          <w:cnfStyle w:val="100000000000" w:firstRow="1" w:lastRow="0" w:firstColumn="0" w:lastColumn="0" w:oddVBand="0" w:evenVBand="0" w:oddHBand="0" w:evenHBand="0" w:firstRowFirstColumn="0" w:firstRowLastColumn="0" w:lastRowFirstColumn="0" w:lastRowLastColumn="0"/>
          <w:wAfter w:w="311" w:type="dxa"/>
        </w:trPr>
        <w:tc>
          <w:tcPr>
            <w:cnfStyle w:val="001000000000" w:firstRow="0" w:lastRow="0" w:firstColumn="1" w:lastColumn="0" w:oddVBand="0" w:evenVBand="0" w:oddHBand="0" w:evenHBand="0" w:firstRowFirstColumn="0" w:firstRowLastColumn="0" w:lastRowFirstColumn="0" w:lastRowLastColumn="0"/>
            <w:tcW w:w="1728" w:type="dxa"/>
          </w:tcPr>
          <w:p w14:paraId="40BC26B6"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Lokalitet</w:t>
            </w:r>
          </w:p>
        </w:tc>
        <w:tc>
          <w:tcPr>
            <w:tcW w:w="1923" w:type="dxa"/>
            <w:gridSpan w:val="2"/>
          </w:tcPr>
          <w:p w14:paraId="0D25E199" w14:textId="77777777" w:rsidR="003801E8" w:rsidRDefault="00E44AA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b w:val="0"/>
                <w:bCs w:val="0"/>
                <w:sz w:val="18"/>
                <w:szCs w:val="18"/>
              </w:rPr>
            </w:pPr>
            <w:r>
              <w:rPr>
                <w:rFonts w:ascii="Book Antiqua" w:hAnsi="Book Antiqua" w:cs="Times New Roman"/>
                <w:sz w:val="18"/>
                <w:szCs w:val="18"/>
              </w:rPr>
              <w:t>Sorta</w:t>
            </w:r>
          </w:p>
        </w:tc>
        <w:tc>
          <w:tcPr>
            <w:tcW w:w="925" w:type="dxa"/>
            <w:gridSpan w:val="2"/>
          </w:tcPr>
          <w:p w14:paraId="014C5705" w14:textId="77777777" w:rsidR="003801E8" w:rsidRDefault="00E44AA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b w:val="0"/>
                <w:bCs w:val="0"/>
                <w:sz w:val="18"/>
                <w:szCs w:val="18"/>
              </w:rPr>
            </w:pPr>
            <w:r>
              <w:rPr>
                <w:rFonts w:ascii="Book Antiqua" w:hAnsi="Book Antiqua" w:cs="Times New Roman"/>
                <w:sz w:val="18"/>
                <w:szCs w:val="18"/>
              </w:rPr>
              <w:t>Starost</w:t>
            </w:r>
          </w:p>
        </w:tc>
        <w:tc>
          <w:tcPr>
            <w:tcW w:w="2177" w:type="dxa"/>
            <w:gridSpan w:val="2"/>
          </w:tcPr>
          <w:p w14:paraId="68B30347" w14:textId="77777777" w:rsidR="003801E8" w:rsidRDefault="00E44AA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b w:val="0"/>
                <w:bCs w:val="0"/>
                <w:sz w:val="18"/>
                <w:szCs w:val="18"/>
              </w:rPr>
            </w:pPr>
            <w:r>
              <w:rPr>
                <w:rFonts w:ascii="Book Antiqua" w:hAnsi="Book Antiqua" w:cs="Times New Roman"/>
                <w:sz w:val="18"/>
                <w:szCs w:val="18"/>
              </w:rPr>
              <w:t>GLSD/apopleksija</w:t>
            </w:r>
          </w:p>
        </w:tc>
        <w:tc>
          <w:tcPr>
            <w:tcW w:w="1387" w:type="dxa"/>
            <w:gridSpan w:val="2"/>
          </w:tcPr>
          <w:p w14:paraId="369197EE" w14:textId="77777777" w:rsidR="003801E8" w:rsidRDefault="00E44AA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b w:val="0"/>
                <w:bCs w:val="0"/>
                <w:sz w:val="18"/>
                <w:szCs w:val="18"/>
              </w:rPr>
            </w:pPr>
            <w:r>
              <w:rPr>
                <w:rFonts w:ascii="Book Antiqua" w:hAnsi="Book Antiqua" w:cs="Times New Roman"/>
                <w:sz w:val="18"/>
                <w:szCs w:val="18"/>
              </w:rPr>
              <w:t>Incidenca</w:t>
            </w:r>
          </w:p>
        </w:tc>
      </w:tr>
      <w:tr w:rsidR="003801E8" w14:paraId="79DACCD0"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2D8DD979"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Vuksanlekić</w:t>
            </w:r>
          </w:p>
        </w:tc>
        <w:tc>
          <w:tcPr>
            <w:tcW w:w="1923" w:type="dxa"/>
            <w:gridSpan w:val="2"/>
            <w:tcBorders>
              <w:top w:val="single" w:sz="4" w:space="0" w:color="7F7F7F" w:themeColor="text1" w:themeTint="80"/>
              <w:bottom w:val="single" w:sz="4" w:space="0" w:color="7F7F7F" w:themeColor="text1" w:themeTint="80"/>
            </w:tcBorders>
          </w:tcPr>
          <w:p w14:paraId="35DCC4F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Vranac</w:t>
            </w:r>
          </w:p>
        </w:tc>
        <w:tc>
          <w:tcPr>
            <w:tcW w:w="925" w:type="dxa"/>
            <w:gridSpan w:val="2"/>
            <w:tcBorders>
              <w:top w:val="single" w:sz="4" w:space="0" w:color="7F7F7F" w:themeColor="text1" w:themeTint="80"/>
              <w:bottom w:val="single" w:sz="4" w:space="0" w:color="7F7F7F" w:themeColor="text1" w:themeTint="80"/>
            </w:tcBorders>
          </w:tcPr>
          <w:p w14:paraId="717CC83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9</w:t>
            </w:r>
          </w:p>
        </w:tc>
        <w:tc>
          <w:tcPr>
            <w:tcW w:w="2177" w:type="dxa"/>
            <w:gridSpan w:val="2"/>
            <w:tcBorders>
              <w:top w:val="single" w:sz="4" w:space="0" w:color="7F7F7F" w:themeColor="text1" w:themeTint="80"/>
              <w:bottom w:val="single" w:sz="4" w:space="0" w:color="7F7F7F" w:themeColor="text1" w:themeTint="80"/>
            </w:tcBorders>
          </w:tcPr>
          <w:p w14:paraId="5B19BE5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05A72FA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r>
      <w:tr w:rsidR="003801E8" w14:paraId="7B8627D4"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59F03089"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Vuksanlekić</w:t>
            </w:r>
          </w:p>
        </w:tc>
        <w:tc>
          <w:tcPr>
            <w:tcW w:w="1923" w:type="dxa"/>
            <w:gridSpan w:val="2"/>
          </w:tcPr>
          <w:p w14:paraId="6E82E40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Vranac</w:t>
            </w:r>
          </w:p>
        </w:tc>
        <w:tc>
          <w:tcPr>
            <w:tcW w:w="925" w:type="dxa"/>
            <w:gridSpan w:val="2"/>
          </w:tcPr>
          <w:p w14:paraId="2E733F8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w:t>
            </w:r>
          </w:p>
        </w:tc>
        <w:tc>
          <w:tcPr>
            <w:tcW w:w="2177" w:type="dxa"/>
            <w:gridSpan w:val="2"/>
          </w:tcPr>
          <w:p w14:paraId="16590D7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7166458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r>
      <w:tr w:rsidR="003801E8" w14:paraId="5040F9C2"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64B2DD7C"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Vuksanlekić</w:t>
            </w:r>
          </w:p>
        </w:tc>
        <w:tc>
          <w:tcPr>
            <w:tcW w:w="1923" w:type="dxa"/>
            <w:gridSpan w:val="2"/>
            <w:tcBorders>
              <w:top w:val="single" w:sz="4" w:space="0" w:color="7F7F7F" w:themeColor="text1" w:themeTint="80"/>
              <w:bottom w:val="single" w:sz="4" w:space="0" w:color="7F7F7F" w:themeColor="text1" w:themeTint="80"/>
            </w:tcBorders>
          </w:tcPr>
          <w:p w14:paraId="3CE7C66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Kardinal</w:t>
            </w:r>
          </w:p>
        </w:tc>
        <w:tc>
          <w:tcPr>
            <w:tcW w:w="925" w:type="dxa"/>
            <w:gridSpan w:val="2"/>
            <w:tcBorders>
              <w:top w:val="single" w:sz="4" w:space="0" w:color="7F7F7F" w:themeColor="text1" w:themeTint="80"/>
              <w:bottom w:val="single" w:sz="4" w:space="0" w:color="7F7F7F" w:themeColor="text1" w:themeTint="80"/>
            </w:tcBorders>
          </w:tcPr>
          <w:p w14:paraId="22B3F80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14</w:t>
            </w:r>
          </w:p>
        </w:tc>
        <w:tc>
          <w:tcPr>
            <w:tcW w:w="2177" w:type="dxa"/>
            <w:gridSpan w:val="2"/>
            <w:tcBorders>
              <w:top w:val="single" w:sz="4" w:space="0" w:color="7F7F7F" w:themeColor="text1" w:themeTint="80"/>
              <w:bottom w:val="single" w:sz="4" w:space="0" w:color="7F7F7F" w:themeColor="text1" w:themeTint="80"/>
            </w:tcBorders>
          </w:tcPr>
          <w:p w14:paraId="6D3FC3E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424AF25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10-15%</w:t>
            </w:r>
          </w:p>
        </w:tc>
      </w:tr>
      <w:tr w:rsidR="003801E8" w14:paraId="6A152371"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67BA59BF"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Vuksanlekić</w:t>
            </w:r>
          </w:p>
        </w:tc>
        <w:tc>
          <w:tcPr>
            <w:tcW w:w="1923" w:type="dxa"/>
            <w:gridSpan w:val="2"/>
          </w:tcPr>
          <w:p w14:paraId="7311DF2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Vranac</w:t>
            </w:r>
          </w:p>
        </w:tc>
        <w:tc>
          <w:tcPr>
            <w:tcW w:w="925" w:type="dxa"/>
            <w:gridSpan w:val="2"/>
          </w:tcPr>
          <w:p w14:paraId="0FAAFB8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14</w:t>
            </w:r>
          </w:p>
        </w:tc>
        <w:tc>
          <w:tcPr>
            <w:tcW w:w="2177" w:type="dxa"/>
            <w:gridSpan w:val="2"/>
          </w:tcPr>
          <w:p w14:paraId="2D7FC5B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19D0609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10-15%</w:t>
            </w:r>
          </w:p>
        </w:tc>
      </w:tr>
      <w:tr w:rsidR="003801E8" w14:paraId="797961E2"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47FD898E"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Vuksanlekić</w:t>
            </w:r>
          </w:p>
        </w:tc>
        <w:tc>
          <w:tcPr>
            <w:tcW w:w="1923" w:type="dxa"/>
            <w:gridSpan w:val="2"/>
            <w:tcBorders>
              <w:top w:val="single" w:sz="4" w:space="0" w:color="7F7F7F" w:themeColor="text1" w:themeTint="80"/>
              <w:bottom w:val="single" w:sz="4" w:space="0" w:color="7F7F7F" w:themeColor="text1" w:themeTint="80"/>
            </w:tcBorders>
          </w:tcPr>
          <w:p w14:paraId="6492EED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Cabernet Franc </w:t>
            </w:r>
          </w:p>
        </w:tc>
        <w:tc>
          <w:tcPr>
            <w:tcW w:w="925" w:type="dxa"/>
            <w:gridSpan w:val="2"/>
            <w:tcBorders>
              <w:top w:val="single" w:sz="4" w:space="0" w:color="7F7F7F" w:themeColor="text1" w:themeTint="80"/>
              <w:bottom w:val="single" w:sz="4" w:space="0" w:color="7F7F7F" w:themeColor="text1" w:themeTint="80"/>
            </w:tcBorders>
          </w:tcPr>
          <w:p w14:paraId="73E0A6C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10  </w:t>
            </w:r>
          </w:p>
        </w:tc>
        <w:tc>
          <w:tcPr>
            <w:tcW w:w="2177" w:type="dxa"/>
            <w:gridSpan w:val="2"/>
            <w:tcBorders>
              <w:top w:val="single" w:sz="4" w:space="0" w:color="7F7F7F" w:themeColor="text1" w:themeTint="80"/>
              <w:bottom w:val="single" w:sz="4" w:space="0" w:color="7F7F7F" w:themeColor="text1" w:themeTint="80"/>
            </w:tcBorders>
          </w:tcPr>
          <w:p w14:paraId="0C6B453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0A4AFA8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417F9965"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40AD0354"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Vuksanlekić</w:t>
            </w:r>
          </w:p>
        </w:tc>
        <w:tc>
          <w:tcPr>
            <w:tcW w:w="1923" w:type="dxa"/>
            <w:gridSpan w:val="2"/>
          </w:tcPr>
          <w:p w14:paraId="48657A7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Syrah</w:t>
            </w:r>
          </w:p>
        </w:tc>
        <w:tc>
          <w:tcPr>
            <w:tcW w:w="925" w:type="dxa"/>
            <w:gridSpan w:val="2"/>
          </w:tcPr>
          <w:p w14:paraId="781815F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w:t>
            </w:r>
          </w:p>
        </w:tc>
        <w:tc>
          <w:tcPr>
            <w:tcW w:w="2177" w:type="dxa"/>
            <w:gridSpan w:val="2"/>
          </w:tcPr>
          <w:p w14:paraId="4F0FDD2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2EA3159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4D5B1007"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572C8E3C"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Vuksanlekić</w:t>
            </w:r>
          </w:p>
        </w:tc>
        <w:tc>
          <w:tcPr>
            <w:tcW w:w="1923" w:type="dxa"/>
            <w:gridSpan w:val="2"/>
            <w:tcBorders>
              <w:top w:val="single" w:sz="4" w:space="0" w:color="7F7F7F" w:themeColor="text1" w:themeTint="80"/>
              <w:bottom w:val="single" w:sz="4" w:space="0" w:color="7F7F7F" w:themeColor="text1" w:themeTint="80"/>
            </w:tcBorders>
          </w:tcPr>
          <w:p w14:paraId="635965C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Marselan</w:t>
            </w:r>
          </w:p>
        </w:tc>
        <w:tc>
          <w:tcPr>
            <w:tcW w:w="925" w:type="dxa"/>
            <w:gridSpan w:val="2"/>
            <w:tcBorders>
              <w:top w:val="single" w:sz="4" w:space="0" w:color="7F7F7F" w:themeColor="text1" w:themeTint="80"/>
              <w:bottom w:val="single" w:sz="4" w:space="0" w:color="7F7F7F" w:themeColor="text1" w:themeTint="80"/>
            </w:tcBorders>
          </w:tcPr>
          <w:p w14:paraId="77A2057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12 </w:t>
            </w:r>
          </w:p>
        </w:tc>
        <w:tc>
          <w:tcPr>
            <w:tcW w:w="2177" w:type="dxa"/>
            <w:gridSpan w:val="2"/>
            <w:tcBorders>
              <w:top w:val="single" w:sz="4" w:space="0" w:color="7F7F7F" w:themeColor="text1" w:themeTint="80"/>
              <w:bottom w:val="single" w:sz="4" w:space="0" w:color="7F7F7F" w:themeColor="text1" w:themeTint="80"/>
            </w:tcBorders>
          </w:tcPr>
          <w:p w14:paraId="1DB88A5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4B9FD27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091B7A0D"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3982B7BB"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Vuksanlekić</w:t>
            </w:r>
          </w:p>
        </w:tc>
        <w:tc>
          <w:tcPr>
            <w:tcW w:w="1923" w:type="dxa"/>
            <w:gridSpan w:val="2"/>
          </w:tcPr>
          <w:p w14:paraId="66CF5CF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Skadarka </w:t>
            </w:r>
          </w:p>
        </w:tc>
        <w:tc>
          <w:tcPr>
            <w:tcW w:w="925" w:type="dxa"/>
            <w:gridSpan w:val="2"/>
          </w:tcPr>
          <w:p w14:paraId="3C2D8BD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12 </w:t>
            </w:r>
          </w:p>
        </w:tc>
        <w:tc>
          <w:tcPr>
            <w:tcW w:w="2177" w:type="dxa"/>
            <w:gridSpan w:val="2"/>
          </w:tcPr>
          <w:p w14:paraId="3A5AFF2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4FFBC75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41D32DA2"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7E25FA98"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Vuksanlekić</w:t>
            </w:r>
          </w:p>
        </w:tc>
        <w:tc>
          <w:tcPr>
            <w:tcW w:w="1923" w:type="dxa"/>
            <w:gridSpan w:val="2"/>
            <w:tcBorders>
              <w:top w:val="single" w:sz="4" w:space="0" w:color="7F7F7F" w:themeColor="text1" w:themeTint="80"/>
              <w:bottom w:val="single" w:sz="4" w:space="0" w:color="7F7F7F" w:themeColor="text1" w:themeTint="80"/>
            </w:tcBorders>
          </w:tcPr>
          <w:p w14:paraId="120B8A1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Cabernet Sauvignon</w:t>
            </w:r>
          </w:p>
        </w:tc>
        <w:tc>
          <w:tcPr>
            <w:tcW w:w="925" w:type="dxa"/>
            <w:gridSpan w:val="2"/>
            <w:tcBorders>
              <w:top w:val="single" w:sz="4" w:space="0" w:color="7F7F7F" w:themeColor="text1" w:themeTint="80"/>
              <w:bottom w:val="single" w:sz="4" w:space="0" w:color="7F7F7F" w:themeColor="text1" w:themeTint="80"/>
            </w:tcBorders>
          </w:tcPr>
          <w:p w14:paraId="5FBC509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12 </w:t>
            </w:r>
          </w:p>
        </w:tc>
        <w:tc>
          <w:tcPr>
            <w:tcW w:w="2177" w:type="dxa"/>
            <w:gridSpan w:val="2"/>
            <w:tcBorders>
              <w:top w:val="single" w:sz="4" w:space="0" w:color="7F7F7F" w:themeColor="text1" w:themeTint="80"/>
              <w:bottom w:val="single" w:sz="4" w:space="0" w:color="7F7F7F" w:themeColor="text1" w:themeTint="80"/>
            </w:tcBorders>
          </w:tcPr>
          <w:p w14:paraId="566BB2D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7CB834E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75C00ED2"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5D8A68E8"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Vuksanlekić</w:t>
            </w:r>
          </w:p>
        </w:tc>
        <w:tc>
          <w:tcPr>
            <w:tcW w:w="1923" w:type="dxa"/>
            <w:gridSpan w:val="2"/>
          </w:tcPr>
          <w:p w14:paraId="21E769F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Chardonnay</w:t>
            </w:r>
          </w:p>
        </w:tc>
        <w:tc>
          <w:tcPr>
            <w:tcW w:w="925" w:type="dxa"/>
            <w:gridSpan w:val="2"/>
          </w:tcPr>
          <w:p w14:paraId="45D81E5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10 </w:t>
            </w:r>
          </w:p>
        </w:tc>
        <w:tc>
          <w:tcPr>
            <w:tcW w:w="2177" w:type="dxa"/>
            <w:gridSpan w:val="2"/>
          </w:tcPr>
          <w:p w14:paraId="0F10B6A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0F3B6C8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0BBF2D3D"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640597EE"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Vuksanlekić</w:t>
            </w:r>
          </w:p>
        </w:tc>
        <w:tc>
          <w:tcPr>
            <w:tcW w:w="1923" w:type="dxa"/>
            <w:gridSpan w:val="2"/>
            <w:tcBorders>
              <w:top w:val="single" w:sz="4" w:space="0" w:color="7F7F7F" w:themeColor="text1" w:themeTint="80"/>
              <w:bottom w:val="single" w:sz="4" w:space="0" w:color="7F7F7F" w:themeColor="text1" w:themeTint="80"/>
            </w:tcBorders>
          </w:tcPr>
          <w:p w14:paraId="45A2793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Sauvignon Blanc </w:t>
            </w:r>
          </w:p>
        </w:tc>
        <w:tc>
          <w:tcPr>
            <w:tcW w:w="925" w:type="dxa"/>
            <w:gridSpan w:val="2"/>
            <w:tcBorders>
              <w:top w:val="single" w:sz="4" w:space="0" w:color="7F7F7F" w:themeColor="text1" w:themeTint="80"/>
              <w:bottom w:val="single" w:sz="4" w:space="0" w:color="7F7F7F" w:themeColor="text1" w:themeTint="80"/>
            </w:tcBorders>
          </w:tcPr>
          <w:p w14:paraId="051171E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10  </w:t>
            </w:r>
          </w:p>
        </w:tc>
        <w:tc>
          <w:tcPr>
            <w:tcW w:w="2177" w:type="dxa"/>
            <w:gridSpan w:val="2"/>
            <w:tcBorders>
              <w:top w:val="single" w:sz="4" w:space="0" w:color="7F7F7F" w:themeColor="text1" w:themeTint="80"/>
              <w:bottom w:val="single" w:sz="4" w:space="0" w:color="7F7F7F" w:themeColor="text1" w:themeTint="80"/>
            </w:tcBorders>
          </w:tcPr>
          <w:p w14:paraId="094B578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2A68A64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28D0C48C"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403728EB"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Sige</w:t>
            </w:r>
          </w:p>
        </w:tc>
        <w:tc>
          <w:tcPr>
            <w:tcW w:w="1923" w:type="dxa"/>
            <w:gridSpan w:val="2"/>
          </w:tcPr>
          <w:p w14:paraId="1F299C3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Vranac </w:t>
            </w:r>
          </w:p>
        </w:tc>
        <w:tc>
          <w:tcPr>
            <w:tcW w:w="925" w:type="dxa"/>
            <w:gridSpan w:val="2"/>
          </w:tcPr>
          <w:p w14:paraId="1A5A791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35</w:t>
            </w:r>
          </w:p>
        </w:tc>
        <w:tc>
          <w:tcPr>
            <w:tcW w:w="2177" w:type="dxa"/>
            <w:gridSpan w:val="2"/>
          </w:tcPr>
          <w:p w14:paraId="1BE541E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451DF1C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50-55%</w:t>
            </w:r>
          </w:p>
        </w:tc>
      </w:tr>
      <w:tr w:rsidR="003801E8" w14:paraId="56839C6F"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6C10E841"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Sige</w:t>
            </w:r>
          </w:p>
        </w:tc>
        <w:tc>
          <w:tcPr>
            <w:tcW w:w="1923" w:type="dxa"/>
            <w:gridSpan w:val="2"/>
            <w:tcBorders>
              <w:top w:val="single" w:sz="4" w:space="0" w:color="7F7F7F" w:themeColor="text1" w:themeTint="80"/>
              <w:bottom w:val="single" w:sz="4" w:space="0" w:color="7F7F7F" w:themeColor="text1" w:themeTint="80"/>
            </w:tcBorders>
          </w:tcPr>
          <w:p w14:paraId="5FAAE4B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Krstač</w:t>
            </w:r>
          </w:p>
        </w:tc>
        <w:tc>
          <w:tcPr>
            <w:tcW w:w="925" w:type="dxa"/>
            <w:gridSpan w:val="2"/>
            <w:tcBorders>
              <w:top w:val="single" w:sz="4" w:space="0" w:color="7F7F7F" w:themeColor="text1" w:themeTint="80"/>
              <w:bottom w:val="single" w:sz="4" w:space="0" w:color="7F7F7F" w:themeColor="text1" w:themeTint="80"/>
            </w:tcBorders>
          </w:tcPr>
          <w:p w14:paraId="3A146DD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35</w:t>
            </w:r>
          </w:p>
        </w:tc>
        <w:tc>
          <w:tcPr>
            <w:tcW w:w="2177" w:type="dxa"/>
            <w:gridSpan w:val="2"/>
            <w:tcBorders>
              <w:top w:val="single" w:sz="4" w:space="0" w:color="7F7F7F" w:themeColor="text1" w:themeTint="80"/>
              <w:bottom w:val="single" w:sz="4" w:space="0" w:color="7F7F7F" w:themeColor="text1" w:themeTint="80"/>
            </w:tcBorders>
          </w:tcPr>
          <w:p w14:paraId="3CC6772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24D690F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10-15%</w:t>
            </w:r>
          </w:p>
        </w:tc>
      </w:tr>
      <w:tr w:rsidR="003801E8" w14:paraId="409A3065"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12152638"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Sige</w:t>
            </w:r>
          </w:p>
        </w:tc>
        <w:tc>
          <w:tcPr>
            <w:tcW w:w="1923" w:type="dxa"/>
            <w:gridSpan w:val="2"/>
          </w:tcPr>
          <w:p w14:paraId="5067E84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Kardinal </w:t>
            </w:r>
          </w:p>
        </w:tc>
        <w:tc>
          <w:tcPr>
            <w:tcW w:w="925" w:type="dxa"/>
            <w:gridSpan w:val="2"/>
          </w:tcPr>
          <w:p w14:paraId="3D4756B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35</w:t>
            </w:r>
          </w:p>
        </w:tc>
        <w:tc>
          <w:tcPr>
            <w:tcW w:w="2177" w:type="dxa"/>
            <w:gridSpan w:val="2"/>
          </w:tcPr>
          <w:p w14:paraId="74D5AF2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44AD1F6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20-25%</w:t>
            </w:r>
          </w:p>
        </w:tc>
      </w:tr>
      <w:tr w:rsidR="003801E8" w14:paraId="035CD76D"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763F7033"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Sige</w:t>
            </w:r>
          </w:p>
        </w:tc>
        <w:tc>
          <w:tcPr>
            <w:tcW w:w="1923" w:type="dxa"/>
            <w:gridSpan w:val="2"/>
            <w:tcBorders>
              <w:top w:val="single" w:sz="4" w:space="0" w:color="7F7F7F" w:themeColor="text1" w:themeTint="80"/>
              <w:bottom w:val="single" w:sz="4" w:space="0" w:color="7F7F7F" w:themeColor="text1" w:themeTint="80"/>
            </w:tcBorders>
          </w:tcPr>
          <w:p w14:paraId="7AC048B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Kratošija</w:t>
            </w:r>
          </w:p>
        </w:tc>
        <w:tc>
          <w:tcPr>
            <w:tcW w:w="925" w:type="dxa"/>
            <w:gridSpan w:val="2"/>
            <w:tcBorders>
              <w:top w:val="single" w:sz="4" w:space="0" w:color="7F7F7F" w:themeColor="text1" w:themeTint="80"/>
              <w:bottom w:val="single" w:sz="4" w:space="0" w:color="7F7F7F" w:themeColor="text1" w:themeTint="80"/>
            </w:tcBorders>
          </w:tcPr>
          <w:p w14:paraId="3DB3705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35</w:t>
            </w:r>
          </w:p>
        </w:tc>
        <w:tc>
          <w:tcPr>
            <w:tcW w:w="2177" w:type="dxa"/>
            <w:gridSpan w:val="2"/>
            <w:tcBorders>
              <w:top w:val="single" w:sz="4" w:space="0" w:color="7F7F7F" w:themeColor="text1" w:themeTint="80"/>
              <w:bottom w:val="single" w:sz="4" w:space="0" w:color="7F7F7F" w:themeColor="text1" w:themeTint="80"/>
            </w:tcBorders>
          </w:tcPr>
          <w:p w14:paraId="27EAD42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76D9249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20-25%</w:t>
            </w:r>
          </w:p>
        </w:tc>
      </w:tr>
      <w:tr w:rsidR="003801E8" w14:paraId="4682E0BC"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1BC110BF"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Sige</w:t>
            </w:r>
          </w:p>
        </w:tc>
        <w:tc>
          <w:tcPr>
            <w:tcW w:w="1923" w:type="dxa"/>
            <w:gridSpan w:val="2"/>
          </w:tcPr>
          <w:p w14:paraId="58AC1FF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Ribier</w:t>
            </w:r>
          </w:p>
        </w:tc>
        <w:tc>
          <w:tcPr>
            <w:tcW w:w="925" w:type="dxa"/>
            <w:gridSpan w:val="2"/>
          </w:tcPr>
          <w:p w14:paraId="5E522F0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35</w:t>
            </w:r>
          </w:p>
        </w:tc>
        <w:tc>
          <w:tcPr>
            <w:tcW w:w="2177" w:type="dxa"/>
            <w:gridSpan w:val="2"/>
          </w:tcPr>
          <w:p w14:paraId="11E1F3A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244D5A0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20-25%</w:t>
            </w:r>
          </w:p>
        </w:tc>
      </w:tr>
      <w:tr w:rsidR="003801E8" w14:paraId="55BACF3E"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25F45641"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Sige</w:t>
            </w:r>
          </w:p>
        </w:tc>
        <w:tc>
          <w:tcPr>
            <w:tcW w:w="1923" w:type="dxa"/>
            <w:gridSpan w:val="2"/>
            <w:tcBorders>
              <w:top w:val="single" w:sz="4" w:space="0" w:color="7F7F7F" w:themeColor="text1" w:themeTint="80"/>
              <w:bottom w:val="single" w:sz="4" w:space="0" w:color="7F7F7F" w:themeColor="text1" w:themeTint="80"/>
            </w:tcBorders>
          </w:tcPr>
          <w:p w14:paraId="299DB9C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Afus ali </w:t>
            </w:r>
          </w:p>
        </w:tc>
        <w:tc>
          <w:tcPr>
            <w:tcW w:w="925" w:type="dxa"/>
            <w:gridSpan w:val="2"/>
            <w:tcBorders>
              <w:top w:val="single" w:sz="4" w:space="0" w:color="7F7F7F" w:themeColor="text1" w:themeTint="80"/>
              <w:bottom w:val="single" w:sz="4" w:space="0" w:color="7F7F7F" w:themeColor="text1" w:themeTint="80"/>
            </w:tcBorders>
          </w:tcPr>
          <w:p w14:paraId="22EDE48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35</w:t>
            </w:r>
          </w:p>
        </w:tc>
        <w:tc>
          <w:tcPr>
            <w:tcW w:w="2177" w:type="dxa"/>
            <w:gridSpan w:val="2"/>
            <w:tcBorders>
              <w:top w:val="single" w:sz="4" w:space="0" w:color="7F7F7F" w:themeColor="text1" w:themeTint="80"/>
              <w:bottom w:val="single" w:sz="4" w:space="0" w:color="7F7F7F" w:themeColor="text1" w:themeTint="80"/>
            </w:tcBorders>
          </w:tcPr>
          <w:p w14:paraId="1B65274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12A16C0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15-20%</w:t>
            </w:r>
          </w:p>
        </w:tc>
      </w:tr>
      <w:tr w:rsidR="003801E8" w14:paraId="67D9A825"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7AAD50EA"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Sutomore</w:t>
            </w:r>
          </w:p>
        </w:tc>
        <w:tc>
          <w:tcPr>
            <w:tcW w:w="1923" w:type="dxa"/>
            <w:gridSpan w:val="2"/>
          </w:tcPr>
          <w:p w14:paraId="6606279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Vranac</w:t>
            </w:r>
          </w:p>
        </w:tc>
        <w:tc>
          <w:tcPr>
            <w:tcW w:w="925" w:type="dxa"/>
            <w:gridSpan w:val="2"/>
          </w:tcPr>
          <w:p w14:paraId="15293B4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17</w:t>
            </w:r>
          </w:p>
        </w:tc>
        <w:tc>
          <w:tcPr>
            <w:tcW w:w="2177" w:type="dxa"/>
            <w:gridSpan w:val="2"/>
          </w:tcPr>
          <w:p w14:paraId="69D4A6F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1E16B2E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15-20%</w:t>
            </w:r>
          </w:p>
        </w:tc>
      </w:tr>
      <w:tr w:rsidR="003801E8" w14:paraId="5CC9B995"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2414930C"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Sutomore</w:t>
            </w:r>
          </w:p>
        </w:tc>
        <w:tc>
          <w:tcPr>
            <w:tcW w:w="1923" w:type="dxa"/>
            <w:gridSpan w:val="2"/>
            <w:tcBorders>
              <w:top w:val="single" w:sz="4" w:space="0" w:color="7F7F7F" w:themeColor="text1" w:themeTint="80"/>
              <w:bottom w:val="single" w:sz="4" w:space="0" w:color="7F7F7F" w:themeColor="text1" w:themeTint="80"/>
            </w:tcBorders>
          </w:tcPr>
          <w:p w14:paraId="4459F3A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Kratošija </w:t>
            </w:r>
          </w:p>
        </w:tc>
        <w:tc>
          <w:tcPr>
            <w:tcW w:w="925" w:type="dxa"/>
            <w:gridSpan w:val="2"/>
            <w:tcBorders>
              <w:top w:val="single" w:sz="4" w:space="0" w:color="7F7F7F" w:themeColor="text1" w:themeTint="80"/>
              <w:bottom w:val="single" w:sz="4" w:space="0" w:color="7F7F7F" w:themeColor="text1" w:themeTint="80"/>
            </w:tcBorders>
          </w:tcPr>
          <w:p w14:paraId="49E4FB4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17</w:t>
            </w:r>
          </w:p>
        </w:tc>
        <w:tc>
          <w:tcPr>
            <w:tcW w:w="2177" w:type="dxa"/>
            <w:gridSpan w:val="2"/>
            <w:tcBorders>
              <w:top w:val="single" w:sz="4" w:space="0" w:color="7F7F7F" w:themeColor="text1" w:themeTint="80"/>
              <w:bottom w:val="single" w:sz="4" w:space="0" w:color="7F7F7F" w:themeColor="text1" w:themeTint="80"/>
            </w:tcBorders>
          </w:tcPr>
          <w:p w14:paraId="7089843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66A1807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15-20%</w:t>
            </w:r>
          </w:p>
        </w:tc>
      </w:tr>
      <w:tr w:rsidR="003801E8" w14:paraId="6F114ED0"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41E161FE"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 xml:space="preserve">Gluhi do </w:t>
            </w:r>
          </w:p>
        </w:tc>
        <w:tc>
          <w:tcPr>
            <w:tcW w:w="1923" w:type="dxa"/>
            <w:gridSpan w:val="2"/>
          </w:tcPr>
          <w:p w14:paraId="7E79377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Probus</w:t>
            </w:r>
          </w:p>
        </w:tc>
        <w:tc>
          <w:tcPr>
            <w:tcW w:w="925" w:type="dxa"/>
            <w:gridSpan w:val="2"/>
          </w:tcPr>
          <w:p w14:paraId="0B50F90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w:t>
            </w:r>
          </w:p>
        </w:tc>
        <w:tc>
          <w:tcPr>
            <w:tcW w:w="2177" w:type="dxa"/>
            <w:gridSpan w:val="2"/>
          </w:tcPr>
          <w:p w14:paraId="3C6DD7C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5CFCF35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1266A813"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06097076"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 xml:space="preserve">Gluhi do </w:t>
            </w:r>
          </w:p>
        </w:tc>
        <w:tc>
          <w:tcPr>
            <w:tcW w:w="1923" w:type="dxa"/>
            <w:gridSpan w:val="2"/>
            <w:tcBorders>
              <w:top w:val="single" w:sz="4" w:space="0" w:color="7F7F7F" w:themeColor="text1" w:themeTint="80"/>
              <w:bottom w:val="single" w:sz="4" w:space="0" w:color="7F7F7F" w:themeColor="text1" w:themeTint="80"/>
            </w:tcBorders>
          </w:tcPr>
          <w:p w14:paraId="332C0BC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Vranac </w:t>
            </w:r>
          </w:p>
        </w:tc>
        <w:tc>
          <w:tcPr>
            <w:tcW w:w="925" w:type="dxa"/>
            <w:gridSpan w:val="2"/>
            <w:tcBorders>
              <w:top w:val="single" w:sz="4" w:space="0" w:color="7F7F7F" w:themeColor="text1" w:themeTint="80"/>
              <w:bottom w:val="single" w:sz="4" w:space="0" w:color="7F7F7F" w:themeColor="text1" w:themeTint="80"/>
            </w:tcBorders>
          </w:tcPr>
          <w:p w14:paraId="3BCB970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100</w:t>
            </w:r>
          </w:p>
        </w:tc>
        <w:tc>
          <w:tcPr>
            <w:tcW w:w="2177" w:type="dxa"/>
            <w:gridSpan w:val="2"/>
            <w:tcBorders>
              <w:top w:val="single" w:sz="4" w:space="0" w:color="7F7F7F" w:themeColor="text1" w:themeTint="80"/>
              <w:bottom w:val="single" w:sz="4" w:space="0" w:color="7F7F7F" w:themeColor="text1" w:themeTint="80"/>
            </w:tcBorders>
          </w:tcPr>
          <w:p w14:paraId="0C6D859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60AAC57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01B9C08B"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074A90B6"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 xml:space="preserve">Gluhi do </w:t>
            </w:r>
          </w:p>
        </w:tc>
        <w:tc>
          <w:tcPr>
            <w:tcW w:w="1923" w:type="dxa"/>
            <w:gridSpan w:val="2"/>
          </w:tcPr>
          <w:p w14:paraId="529E453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Vranac </w:t>
            </w:r>
          </w:p>
        </w:tc>
        <w:tc>
          <w:tcPr>
            <w:tcW w:w="925" w:type="dxa"/>
            <w:gridSpan w:val="2"/>
          </w:tcPr>
          <w:p w14:paraId="1CD3656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80</w:t>
            </w:r>
          </w:p>
        </w:tc>
        <w:tc>
          <w:tcPr>
            <w:tcW w:w="2177" w:type="dxa"/>
            <w:gridSpan w:val="2"/>
          </w:tcPr>
          <w:p w14:paraId="74E58F8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25C13FC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62B64675"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4E1C4DE4"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 xml:space="preserve">Gluhi do </w:t>
            </w:r>
          </w:p>
        </w:tc>
        <w:tc>
          <w:tcPr>
            <w:tcW w:w="1923" w:type="dxa"/>
            <w:gridSpan w:val="2"/>
            <w:tcBorders>
              <w:top w:val="single" w:sz="4" w:space="0" w:color="7F7F7F" w:themeColor="text1" w:themeTint="80"/>
              <w:bottom w:val="single" w:sz="4" w:space="0" w:color="7F7F7F" w:themeColor="text1" w:themeTint="80"/>
            </w:tcBorders>
          </w:tcPr>
          <w:p w14:paraId="2EE502E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Merlot </w:t>
            </w:r>
          </w:p>
        </w:tc>
        <w:tc>
          <w:tcPr>
            <w:tcW w:w="925" w:type="dxa"/>
            <w:gridSpan w:val="2"/>
            <w:tcBorders>
              <w:top w:val="single" w:sz="4" w:space="0" w:color="7F7F7F" w:themeColor="text1" w:themeTint="80"/>
              <w:bottom w:val="single" w:sz="4" w:space="0" w:color="7F7F7F" w:themeColor="text1" w:themeTint="80"/>
            </w:tcBorders>
          </w:tcPr>
          <w:p w14:paraId="22ADA8B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w:t>
            </w:r>
          </w:p>
        </w:tc>
        <w:tc>
          <w:tcPr>
            <w:tcW w:w="2177" w:type="dxa"/>
            <w:gridSpan w:val="2"/>
            <w:tcBorders>
              <w:top w:val="single" w:sz="4" w:space="0" w:color="7F7F7F" w:themeColor="text1" w:themeTint="80"/>
              <w:bottom w:val="single" w:sz="4" w:space="0" w:color="7F7F7F" w:themeColor="text1" w:themeTint="80"/>
            </w:tcBorders>
          </w:tcPr>
          <w:p w14:paraId="7B2F63C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6413B29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0395F383"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05B9D1EC"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 xml:space="preserve">Gluhi do </w:t>
            </w:r>
          </w:p>
        </w:tc>
        <w:tc>
          <w:tcPr>
            <w:tcW w:w="1923" w:type="dxa"/>
            <w:gridSpan w:val="2"/>
          </w:tcPr>
          <w:p w14:paraId="44B6EEE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Marselan </w:t>
            </w:r>
          </w:p>
        </w:tc>
        <w:tc>
          <w:tcPr>
            <w:tcW w:w="925" w:type="dxa"/>
            <w:gridSpan w:val="2"/>
          </w:tcPr>
          <w:p w14:paraId="38F8C9A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w:t>
            </w:r>
          </w:p>
        </w:tc>
        <w:tc>
          <w:tcPr>
            <w:tcW w:w="2177" w:type="dxa"/>
            <w:gridSpan w:val="2"/>
          </w:tcPr>
          <w:p w14:paraId="3B5DA19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120C794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0C23E3BC"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2AABA416"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Godinje</w:t>
            </w:r>
          </w:p>
        </w:tc>
        <w:tc>
          <w:tcPr>
            <w:tcW w:w="1923" w:type="dxa"/>
            <w:gridSpan w:val="2"/>
            <w:tcBorders>
              <w:top w:val="single" w:sz="4" w:space="0" w:color="7F7F7F" w:themeColor="text1" w:themeTint="80"/>
              <w:bottom w:val="single" w:sz="4" w:space="0" w:color="7F7F7F" w:themeColor="text1" w:themeTint="80"/>
            </w:tcBorders>
          </w:tcPr>
          <w:p w14:paraId="15C29C0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Vranac</w:t>
            </w:r>
          </w:p>
        </w:tc>
        <w:tc>
          <w:tcPr>
            <w:tcW w:w="925" w:type="dxa"/>
            <w:gridSpan w:val="2"/>
            <w:tcBorders>
              <w:top w:val="single" w:sz="4" w:space="0" w:color="7F7F7F" w:themeColor="text1" w:themeTint="80"/>
              <w:bottom w:val="single" w:sz="4" w:space="0" w:color="7F7F7F" w:themeColor="text1" w:themeTint="80"/>
            </w:tcBorders>
          </w:tcPr>
          <w:p w14:paraId="65E7E58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w:t>
            </w:r>
          </w:p>
        </w:tc>
        <w:tc>
          <w:tcPr>
            <w:tcW w:w="2177" w:type="dxa"/>
            <w:gridSpan w:val="2"/>
            <w:tcBorders>
              <w:top w:val="single" w:sz="4" w:space="0" w:color="7F7F7F" w:themeColor="text1" w:themeTint="80"/>
              <w:bottom w:val="single" w:sz="4" w:space="0" w:color="7F7F7F" w:themeColor="text1" w:themeTint="80"/>
            </w:tcBorders>
          </w:tcPr>
          <w:p w14:paraId="0C5D15A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6A13940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r>
      <w:tr w:rsidR="003801E8" w14:paraId="241725B0"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57E4666E"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Mataguži</w:t>
            </w:r>
          </w:p>
        </w:tc>
        <w:tc>
          <w:tcPr>
            <w:tcW w:w="1923" w:type="dxa"/>
            <w:gridSpan w:val="2"/>
          </w:tcPr>
          <w:p w14:paraId="703A809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Vranac </w:t>
            </w:r>
          </w:p>
        </w:tc>
        <w:tc>
          <w:tcPr>
            <w:tcW w:w="925" w:type="dxa"/>
            <w:gridSpan w:val="2"/>
          </w:tcPr>
          <w:p w14:paraId="0F634F7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14</w:t>
            </w:r>
          </w:p>
        </w:tc>
        <w:tc>
          <w:tcPr>
            <w:tcW w:w="2177" w:type="dxa"/>
            <w:gridSpan w:val="2"/>
          </w:tcPr>
          <w:p w14:paraId="6FED17F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75BE643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10-15%</w:t>
            </w:r>
          </w:p>
        </w:tc>
      </w:tr>
      <w:tr w:rsidR="003801E8" w14:paraId="5A58E216"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270DA216"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Mataguži</w:t>
            </w:r>
          </w:p>
        </w:tc>
        <w:tc>
          <w:tcPr>
            <w:tcW w:w="1923" w:type="dxa"/>
            <w:gridSpan w:val="2"/>
            <w:tcBorders>
              <w:top w:val="single" w:sz="4" w:space="0" w:color="7F7F7F" w:themeColor="text1" w:themeTint="80"/>
              <w:bottom w:val="single" w:sz="4" w:space="0" w:color="7F7F7F" w:themeColor="text1" w:themeTint="80"/>
            </w:tcBorders>
          </w:tcPr>
          <w:p w14:paraId="510FF4F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Kratošija </w:t>
            </w:r>
          </w:p>
        </w:tc>
        <w:tc>
          <w:tcPr>
            <w:tcW w:w="925" w:type="dxa"/>
            <w:gridSpan w:val="2"/>
            <w:tcBorders>
              <w:top w:val="single" w:sz="4" w:space="0" w:color="7F7F7F" w:themeColor="text1" w:themeTint="80"/>
              <w:bottom w:val="single" w:sz="4" w:space="0" w:color="7F7F7F" w:themeColor="text1" w:themeTint="80"/>
            </w:tcBorders>
          </w:tcPr>
          <w:p w14:paraId="6C3592C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14</w:t>
            </w:r>
          </w:p>
        </w:tc>
        <w:tc>
          <w:tcPr>
            <w:tcW w:w="2177" w:type="dxa"/>
            <w:gridSpan w:val="2"/>
            <w:tcBorders>
              <w:top w:val="single" w:sz="4" w:space="0" w:color="7F7F7F" w:themeColor="text1" w:themeTint="80"/>
              <w:bottom w:val="single" w:sz="4" w:space="0" w:color="7F7F7F" w:themeColor="text1" w:themeTint="80"/>
            </w:tcBorders>
          </w:tcPr>
          <w:p w14:paraId="5E4DB1F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65B1355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15-20%</w:t>
            </w:r>
          </w:p>
        </w:tc>
      </w:tr>
      <w:tr w:rsidR="003801E8" w14:paraId="4172BE0D"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1EE653C4"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Beri</w:t>
            </w:r>
          </w:p>
        </w:tc>
        <w:tc>
          <w:tcPr>
            <w:tcW w:w="1923" w:type="dxa"/>
            <w:gridSpan w:val="2"/>
          </w:tcPr>
          <w:p w14:paraId="05283DA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Vranac</w:t>
            </w:r>
          </w:p>
        </w:tc>
        <w:tc>
          <w:tcPr>
            <w:tcW w:w="925" w:type="dxa"/>
            <w:gridSpan w:val="2"/>
          </w:tcPr>
          <w:p w14:paraId="73D1F30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13</w:t>
            </w:r>
          </w:p>
        </w:tc>
        <w:tc>
          <w:tcPr>
            <w:tcW w:w="2177" w:type="dxa"/>
            <w:gridSpan w:val="2"/>
          </w:tcPr>
          <w:p w14:paraId="586538B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3E3CE6E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10-15%</w:t>
            </w:r>
          </w:p>
        </w:tc>
      </w:tr>
      <w:tr w:rsidR="003801E8" w14:paraId="6C3D2E22"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69F1D0E9"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Beri</w:t>
            </w:r>
          </w:p>
        </w:tc>
        <w:tc>
          <w:tcPr>
            <w:tcW w:w="1923" w:type="dxa"/>
            <w:gridSpan w:val="2"/>
            <w:tcBorders>
              <w:top w:val="single" w:sz="4" w:space="0" w:color="7F7F7F" w:themeColor="text1" w:themeTint="80"/>
              <w:bottom w:val="single" w:sz="4" w:space="0" w:color="7F7F7F" w:themeColor="text1" w:themeTint="80"/>
            </w:tcBorders>
          </w:tcPr>
          <w:p w14:paraId="7CE872D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Kratošija</w:t>
            </w:r>
          </w:p>
        </w:tc>
        <w:tc>
          <w:tcPr>
            <w:tcW w:w="925" w:type="dxa"/>
            <w:gridSpan w:val="2"/>
            <w:tcBorders>
              <w:top w:val="single" w:sz="4" w:space="0" w:color="7F7F7F" w:themeColor="text1" w:themeTint="80"/>
              <w:bottom w:val="single" w:sz="4" w:space="0" w:color="7F7F7F" w:themeColor="text1" w:themeTint="80"/>
            </w:tcBorders>
          </w:tcPr>
          <w:p w14:paraId="7C8A165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13</w:t>
            </w:r>
          </w:p>
        </w:tc>
        <w:tc>
          <w:tcPr>
            <w:tcW w:w="2177" w:type="dxa"/>
            <w:gridSpan w:val="2"/>
            <w:tcBorders>
              <w:top w:val="single" w:sz="4" w:space="0" w:color="7F7F7F" w:themeColor="text1" w:themeTint="80"/>
              <w:bottom w:val="single" w:sz="4" w:space="0" w:color="7F7F7F" w:themeColor="text1" w:themeTint="80"/>
            </w:tcBorders>
          </w:tcPr>
          <w:p w14:paraId="5887F40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72A9841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10-15%</w:t>
            </w:r>
          </w:p>
        </w:tc>
      </w:tr>
      <w:tr w:rsidR="003801E8" w14:paraId="2B466185"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021FCF28"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Beri</w:t>
            </w:r>
          </w:p>
        </w:tc>
        <w:tc>
          <w:tcPr>
            <w:tcW w:w="1923" w:type="dxa"/>
            <w:gridSpan w:val="2"/>
          </w:tcPr>
          <w:p w14:paraId="195AEE4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Smederevka</w:t>
            </w:r>
          </w:p>
        </w:tc>
        <w:tc>
          <w:tcPr>
            <w:tcW w:w="925" w:type="dxa"/>
            <w:gridSpan w:val="2"/>
          </w:tcPr>
          <w:p w14:paraId="5074BF5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13</w:t>
            </w:r>
          </w:p>
        </w:tc>
        <w:tc>
          <w:tcPr>
            <w:tcW w:w="2177" w:type="dxa"/>
            <w:gridSpan w:val="2"/>
          </w:tcPr>
          <w:p w14:paraId="29DE36E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4CEC961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25C88F18"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46180681"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Beri</w:t>
            </w:r>
          </w:p>
        </w:tc>
        <w:tc>
          <w:tcPr>
            <w:tcW w:w="1923" w:type="dxa"/>
            <w:gridSpan w:val="2"/>
            <w:tcBorders>
              <w:top w:val="single" w:sz="4" w:space="0" w:color="7F7F7F" w:themeColor="text1" w:themeTint="80"/>
              <w:bottom w:val="single" w:sz="4" w:space="0" w:color="7F7F7F" w:themeColor="text1" w:themeTint="80"/>
            </w:tcBorders>
          </w:tcPr>
          <w:p w14:paraId="22BE5EE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Župljanka</w:t>
            </w:r>
          </w:p>
        </w:tc>
        <w:tc>
          <w:tcPr>
            <w:tcW w:w="925" w:type="dxa"/>
            <w:gridSpan w:val="2"/>
            <w:tcBorders>
              <w:top w:val="single" w:sz="4" w:space="0" w:color="7F7F7F" w:themeColor="text1" w:themeTint="80"/>
              <w:bottom w:val="single" w:sz="4" w:space="0" w:color="7F7F7F" w:themeColor="text1" w:themeTint="80"/>
            </w:tcBorders>
          </w:tcPr>
          <w:p w14:paraId="7C4A934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13</w:t>
            </w:r>
          </w:p>
        </w:tc>
        <w:tc>
          <w:tcPr>
            <w:tcW w:w="2177" w:type="dxa"/>
            <w:gridSpan w:val="2"/>
            <w:tcBorders>
              <w:top w:val="single" w:sz="4" w:space="0" w:color="7F7F7F" w:themeColor="text1" w:themeTint="80"/>
              <w:bottom w:val="single" w:sz="4" w:space="0" w:color="7F7F7F" w:themeColor="text1" w:themeTint="80"/>
            </w:tcBorders>
          </w:tcPr>
          <w:p w14:paraId="5402390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7452C12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1D532181"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1A265FDE"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Beri</w:t>
            </w:r>
          </w:p>
        </w:tc>
        <w:tc>
          <w:tcPr>
            <w:tcW w:w="1923" w:type="dxa"/>
            <w:gridSpan w:val="2"/>
          </w:tcPr>
          <w:p w14:paraId="4D387A7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Malvasia</w:t>
            </w:r>
          </w:p>
        </w:tc>
        <w:tc>
          <w:tcPr>
            <w:tcW w:w="925" w:type="dxa"/>
            <w:gridSpan w:val="2"/>
          </w:tcPr>
          <w:p w14:paraId="0ABE6D7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13</w:t>
            </w:r>
          </w:p>
        </w:tc>
        <w:tc>
          <w:tcPr>
            <w:tcW w:w="2177" w:type="dxa"/>
            <w:gridSpan w:val="2"/>
          </w:tcPr>
          <w:p w14:paraId="467A1FF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5629D16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3FDF09FB"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19391779"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Beri</w:t>
            </w:r>
          </w:p>
        </w:tc>
        <w:tc>
          <w:tcPr>
            <w:tcW w:w="1923" w:type="dxa"/>
            <w:gridSpan w:val="2"/>
            <w:tcBorders>
              <w:top w:val="single" w:sz="4" w:space="0" w:color="7F7F7F" w:themeColor="text1" w:themeTint="80"/>
              <w:bottom w:val="single" w:sz="4" w:space="0" w:color="7F7F7F" w:themeColor="text1" w:themeTint="80"/>
            </w:tcBorders>
          </w:tcPr>
          <w:p w14:paraId="3E464CF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Muscat Hamburg</w:t>
            </w:r>
          </w:p>
        </w:tc>
        <w:tc>
          <w:tcPr>
            <w:tcW w:w="925" w:type="dxa"/>
            <w:gridSpan w:val="2"/>
            <w:tcBorders>
              <w:top w:val="single" w:sz="4" w:space="0" w:color="7F7F7F" w:themeColor="text1" w:themeTint="80"/>
              <w:bottom w:val="single" w:sz="4" w:space="0" w:color="7F7F7F" w:themeColor="text1" w:themeTint="80"/>
            </w:tcBorders>
          </w:tcPr>
          <w:p w14:paraId="2A0412B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13</w:t>
            </w:r>
          </w:p>
        </w:tc>
        <w:tc>
          <w:tcPr>
            <w:tcW w:w="2177" w:type="dxa"/>
            <w:gridSpan w:val="2"/>
            <w:tcBorders>
              <w:top w:val="single" w:sz="4" w:space="0" w:color="7F7F7F" w:themeColor="text1" w:themeTint="80"/>
              <w:bottom w:val="single" w:sz="4" w:space="0" w:color="7F7F7F" w:themeColor="text1" w:themeTint="80"/>
            </w:tcBorders>
          </w:tcPr>
          <w:p w14:paraId="794F1F5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6B73430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40A77810"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6A8EC310"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Beri</w:t>
            </w:r>
          </w:p>
        </w:tc>
        <w:tc>
          <w:tcPr>
            <w:tcW w:w="1923" w:type="dxa"/>
            <w:gridSpan w:val="2"/>
          </w:tcPr>
          <w:p w14:paraId="01DE37B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Chardonnay</w:t>
            </w:r>
          </w:p>
        </w:tc>
        <w:tc>
          <w:tcPr>
            <w:tcW w:w="925" w:type="dxa"/>
            <w:gridSpan w:val="2"/>
          </w:tcPr>
          <w:p w14:paraId="450B7D4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13</w:t>
            </w:r>
          </w:p>
        </w:tc>
        <w:tc>
          <w:tcPr>
            <w:tcW w:w="2177" w:type="dxa"/>
            <w:gridSpan w:val="2"/>
          </w:tcPr>
          <w:p w14:paraId="64D30AC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0F51654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52F01DA3"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73B5CFC8"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Savina</w:t>
            </w:r>
          </w:p>
        </w:tc>
        <w:tc>
          <w:tcPr>
            <w:tcW w:w="1923" w:type="dxa"/>
            <w:gridSpan w:val="2"/>
            <w:tcBorders>
              <w:top w:val="single" w:sz="4" w:space="0" w:color="7F7F7F" w:themeColor="text1" w:themeTint="80"/>
              <w:bottom w:val="single" w:sz="4" w:space="0" w:color="7F7F7F" w:themeColor="text1" w:themeTint="80"/>
            </w:tcBorders>
          </w:tcPr>
          <w:p w14:paraId="20F120E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Grenache</w:t>
            </w:r>
          </w:p>
        </w:tc>
        <w:tc>
          <w:tcPr>
            <w:tcW w:w="925" w:type="dxa"/>
            <w:gridSpan w:val="2"/>
            <w:tcBorders>
              <w:top w:val="single" w:sz="4" w:space="0" w:color="7F7F7F" w:themeColor="text1" w:themeTint="80"/>
              <w:bottom w:val="single" w:sz="4" w:space="0" w:color="7F7F7F" w:themeColor="text1" w:themeTint="80"/>
            </w:tcBorders>
          </w:tcPr>
          <w:p w14:paraId="5D88BB8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30</w:t>
            </w:r>
          </w:p>
        </w:tc>
        <w:tc>
          <w:tcPr>
            <w:tcW w:w="2177" w:type="dxa"/>
            <w:gridSpan w:val="2"/>
            <w:tcBorders>
              <w:top w:val="single" w:sz="4" w:space="0" w:color="7F7F7F" w:themeColor="text1" w:themeTint="80"/>
              <w:bottom w:val="single" w:sz="4" w:space="0" w:color="7F7F7F" w:themeColor="text1" w:themeTint="80"/>
            </w:tcBorders>
          </w:tcPr>
          <w:p w14:paraId="618FE47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683BA32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636325B9"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60ADCEB4"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Savina</w:t>
            </w:r>
          </w:p>
        </w:tc>
        <w:tc>
          <w:tcPr>
            <w:tcW w:w="1923" w:type="dxa"/>
            <w:gridSpan w:val="2"/>
          </w:tcPr>
          <w:p w14:paraId="06DFBD1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Merlot</w:t>
            </w:r>
          </w:p>
        </w:tc>
        <w:tc>
          <w:tcPr>
            <w:tcW w:w="925" w:type="dxa"/>
            <w:gridSpan w:val="2"/>
          </w:tcPr>
          <w:p w14:paraId="5065CBD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2177" w:type="dxa"/>
            <w:gridSpan w:val="2"/>
          </w:tcPr>
          <w:p w14:paraId="6C49983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5E61A77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5-10%</w:t>
            </w:r>
          </w:p>
        </w:tc>
      </w:tr>
      <w:tr w:rsidR="003801E8" w14:paraId="3692E805"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6DAB16B3"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Savina</w:t>
            </w:r>
          </w:p>
        </w:tc>
        <w:tc>
          <w:tcPr>
            <w:tcW w:w="1923" w:type="dxa"/>
            <w:gridSpan w:val="2"/>
            <w:tcBorders>
              <w:top w:val="single" w:sz="4" w:space="0" w:color="7F7F7F" w:themeColor="text1" w:themeTint="80"/>
              <w:bottom w:val="single" w:sz="4" w:space="0" w:color="7F7F7F" w:themeColor="text1" w:themeTint="80"/>
            </w:tcBorders>
          </w:tcPr>
          <w:p w14:paraId="5792D1D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Syrah</w:t>
            </w:r>
          </w:p>
        </w:tc>
        <w:tc>
          <w:tcPr>
            <w:tcW w:w="925" w:type="dxa"/>
            <w:gridSpan w:val="2"/>
            <w:tcBorders>
              <w:top w:val="single" w:sz="4" w:space="0" w:color="7F7F7F" w:themeColor="text1" w:themeTint="80"/>
              <w:bottom w:val="single" w:sz="4" w:space="0" w:color="7F7F7F" w:themeColor="text1" w:themeTint="80"/>
            </w:tcBorders>
          </w:tcPr>
          <w:p w14:paraId="3688952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2177" w:type="dxa"/>
            <w:gridSpan w:val="2"/>
            <w:tcBorders>
              <w:top w:val="single" w:sz="4" w:space="0" w:color="7F7F7F" w:themeColor="text1" w:themeTint="80"/>
              <w:bottom w:val="single" w:sz="4" w:space="0" w:color="7F7F7F" w:themeColor="text1" w:themeTint="80"/>
            </w:tcBorders>
          </w:tcPr>
          <w:p w14:paraId="30CE923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7FCB554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69F4B18F"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3CDBEB3F"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Savina</w:t>
            </w:r>
          </w:p>
        </w:tc>
        <w:tc>
          <w:tcPr>
            <w:tcW w:w="1923" w:type="dxa"/>
            <w:gridSpan w:val="2"/>
          </w:tcPr>
          <w:p w14:paraId="5BDCAB2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Cabernet Sauvignon</w:t>
            </w:r>
          </w:p>
        </w:tc>
        <w:tc>
          <w:tcPr>
            <w:tcW w:w="925" w:type="dxa"/>
            <w:gridSpan w:val="2"/>
          </w:tcPr>
          <w:p w14:paraId="3B9EB3C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30</w:t>
            </w:r>
          </w:p>
        </w:tc>
        <w:tc>
          <w:tcPr>
            <w:tcW w:w="2177" w:type="dxa"/>
            <w:gridSpan w:val="2"/>
          </w:tcPr>
          <w:p w14:paraId="5263FDD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610DD01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r>
      <w:tr w:rsidR="003801E8" w14:paraId="12C67B23"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6B4CA56C"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Savina</w:t>
            </w:r>
          </w:p>
        </w:tc>
        <w:tc>
          <w:tcPr>
            <w:tcW w:w="1923" w:type="dxa"/>
            <w:gridSpan w:val="2"/>
            <w:tcBorders>
              <w:top w:val="single" w:sz="4" w:space="0" w:color="7F7F7F" w:themeColor="text1" w:themeTint="80"/>
              <w:bottom w:val="single" w:sz="4" w:space="0" w:color="7F7F7F" w:themeColor="text1" w:themeTint="80"/>
            </w:tcBorders>
          </w:tcPr>
          <w:p w14:paraId="7672FE5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Chardonnay</w:t>
            </w:r>
          </w:p>
        </w:tc>
        <w:tc>
          <w:tcPr>
            <w:tcW w:w="925" w:type="dxa"/>
            <w:gridSpan w:val="2"/>
            <w:tcBorders>
              <w:top w:val="single" w:sz="4" w:space="0" w:color="7F7F7F" w:themeColor="text1" w:themeTint="80"/>
              <w:bottom w:val="single" w:sz="4" w:space="0" w:color="7F7F7F" w:themeColor="text1" w:themeTint="80"/>
            </w:tcBorders>
          </w:tcPr>
          <w:p w14:paraId="3494553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30</w:t>
            </w:r>
          </w:p>
        </w:tc>
        <w:tc>
          <w:tcPr>
            <w:tcW w:w="2177" w:type="dxa"/>
            <w:gridSpan w:val="2"/>
            <w:tcBorders>
              <w:top w:val="single" w:sz="4" w:space="0" w:color="7F7F7F" w:themeColor="text1" w:themeTint="80"/>
              <w:bottom w:val="single" w:sz="4" w:space="0" w:color="7F7F7F" w:themeColor="text1" w:themeTint="80"/>
            </w:tcBorders>
          </w:tcPr>
          <w:p w14:paraId="399580A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3774B16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783F9CC6"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636EA276"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Nudo</w:t>
            </w:r>
          </w:p>
        </w:tc>
        <w:tc>
          <w:tcPr>
            <w:tcW w:w="1923" w:type="dxa"/>
            <w:gridSpan w:val="2"/>
          </w:tcPr>
          <w:p w14:paraId="265B844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Vranac </w:t>
            </w:r>
          </w:p>
        </w:tc>
        <w:tc>
          <w:tcPr>
            <w:tcW w:w="925" w:type="dxa"/>
            <w:gridSpan w:val="2"/>
          </w:tcPr>
          <w:p w14:paraId="1FEE517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c>
          <w:tcPr>
            <w:tcW w:w="2177" w:type="dxa"/>
            <w:gridSpan w:val="2"/>
          </w:tcPr>
          <w:p w14:paraId="14B8FD0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17CEEBF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10-15%</w:t>
            </w:r>
          </w:p>
        </w:tc>
      </w:tr>
      <w:tr w:rsidR="003801E8" w14:paraId="7C660790"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3B6E58A8"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Nudo</w:t>
            </w:r>
          </w:p>
        </w:tc>
        <w:tc>
          <w:tcPr>
            <w:tcW w:w="1923" w:type="dxa"/>
            <w:gridSpan w:val="2"/>
            <w:tcBorders>
              <w:top w:val="single" w:sz="4" w:space="0" w:color="7F7F7F" w:themeColor="text1" w:themeTint="80"/>
              <w:bottom w:val="single" w:sz="4" w:space="0" w:color="7F7F7F" w:themeColor="text1" w:themeTint="80"/>
            </w:tcBorders>
          </w:tcPr>
          <w:p w14:paraId="134C014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Žilavka</w:t>
            </w:r>
          </w:p>
        </w:tc>
        <w:tc>
          <w:tcPr>
            <w:tcW w:w="925" w:type="dxa"/>
            <w:gridSpan w:val="2"/>
            <w:tcBorders>
              <w:top w:val="single" w:sz="4" w:space="0" w:color="7F7F7F" w:themeColor="text1" w:themeTint="80"/>
              <w:bottom w:val="single" w:sz="4" w:space="0" w:color="7F7F7F" w:themeColor="text1" w:themeTint="80"/>
            </w:tcBorders>
          </w:tcPr>
          <w:p w14:paraId="65D97E8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c>
          <w:tcPr>
            <w:tcW w:w="2177" w:type="dxa"/>
            <w:gridSpan w:val="2"/>
            <w:tcBorders>
              <w:top w:val="single" w:sz="4" w:space="0" w:color="7F7F7F" w:themeColor="text1" w:themeTint="80"/>
              <w:bottom w:val="single" w:sz="4" w:space="0" w:color="7F7F7F" w:themeColor="text1" w:themeTint="80"/>
            </w:tcBorders>
          </w:tcPr>
          <w:p w14:paraId="63D8897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051E747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1E23602F"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713D0A75"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Dobrsko selo</w:t>
            </w:r>
          </w:p>
        </w:tc>
        <w:tc>
          <w:tcPr>
            <w:tcW w:w="1923" w:type="dxa"/>
            <w:gridSpan w:val="2"/>
          </w:tcPr>
          <w:p w14:paraId="4DC7211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Bijela Tamjanika</w:t>
            </w:r>
          </w:p>
        </w:tc>
        <w:tc>
          <w:tcPr>
            <w:tcW w:w="925" w:type="dxa"/>
            <w:gridSpan w:val="2"/>
          </w:tcPr>
          <w:p w14:paraId="6B4E440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8</w:t>
            </w:r>
          </w:p>
        </w:tc>
        <w:tc>
          <w:tcPr>
            <w:tcW w:w="2177" w:type="dxa"/>
            <w:gridSpan w:val="2"/>
          </w:tcPr>
          <w:p w14:paraId="3495A3D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6BBBC93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4070C96C"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4E2DA1D9"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Dobrsko selo</w:t>
            </w:r>
          </w:p>
        </w:tc>
        <w:tc>
          <w:tcPr>
            <w:tcW w:w="1923" w:type="dxa"/>
            <w:gridSpan w:val="2"/>
            <w:tcBorders>
              <w:top w:val="single" w:sz="4" w:space="0" w:color="7F7F7F" w:themeColor="text1" w:themeTint="80"/>
              <w:bottom w:val="single" w:sz="4" w:space="0" w:color="7F7F7F" w:themeColor="text1" w:themeTint="80"/>
            </w:tcBorders>
          </w:tcPr>
          <w:p w14:paraId="47A6D33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Crvena Tamjanika </w:t>
            </w:r>
          </w:p>
        </w:tc>
        <w:tc>
          <w:tcPr>
            <w:tcW w:w="925" w:type="dxa"/>
            <w:gridSpan w:val="2"/>
            <w:tcBorders>
              <w:top w:val="single" w:sz="4" w:space="0" w:color="7F7F7F" w:themeColor="text1" w:themeTint="80"/>
              <w:bottom w:val="single" w:sz="4" w:space="0" w:color="7F7F7F" w:themeColor="text1" w:themeTint="80"/>
            </w:tcBorders>
          </w:tcPr>
          <w:p w14:paraId="660155C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8</w:t>
            </w:r>
          </w:p>
        </w:tc>
        <w:tc>
          <w:tcPr>
            <w:tcW w:w="2177" w:type="dxa"/>
            <w:gridSpan w:val="2"/>
            <w:tcBorders>
              <w:top w:val="single" w:sz="4" w:space="0" w:color="7F7F7F" w:themeColor="text1" w:themeTint="80"/>
              <w:bottom w:val="single" w:sz="4" w:space="0" w:color="7F7F7F" w:themeColor="text1" w:themeTint="80"/>
            </w:tcBorders>
          </w:tcPr>
          <w:p w14:paraId="5C44454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42227F0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37131E6E"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41EC1AD0"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Dobrsko selo</w:t>
            </w:r>
          </w:p>
        </w:tc>
        <w:tc>
          <w:tcPr>
            <w:tcW w:w="1923" w:type="dxa"/>
            <w:gridSpan w:val="2"/>
          </w:tcPr>
          <w:p w14:paraId="19CD6A9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Pinot Noir</w:t>
            </w:r>
          </w:p>
        </w:tc>
        <w:tc>
          <w:tcPr>
            <w:tcW w:w="925" w:type="dxa"/>
            <w:gridSpan w:val="2"/>
          </w:tcPr>
          <w:p w14:paraId="787EF23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8</w:t>
            </w:r>
          </w:p>
        </w:tc>
        <w:tc>
          <w:tcPr>
            <w:tcW w:w="2177" w:type="dxa"/>
            <w:gridSpan w:val="2"/>
          </w:tcPr>
          <w:p w14:paraId="391E9C7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6664761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6740AE9E"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73834623"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Briska gora</w:t>
            </w:r>
          </w:p>
        </w:tc>
        <w:tc>
          <w:tcPr>
            <w:tcW w:w="1923" w:type="dxa"/>
            <w:gridSpan w:val="2"/>
            <w:tcBorders>
              <w:top w:val="single" w:sz="4" w:space="0" w:color="7F7F7F" w:themeColor="text1" w:themeTint="80"/>
              <w:bottom w:val="single" w:sz="4" w:space="0" w:color="7F7F7F" w:themeColor="text1" w:themeTint="80"/>
            </w:tcBorders>
          </w:tcPr>
          <w:p w14:paraId="0E26A74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Vranac </w:t>
            </w:r>
          </w:p>
        </w:tc>
        <w:tc>
          <w:tcPr>
            <w:tcW w:w="925" w:type="dxa"/>
            <w:gridSpan w:val="2"/>
            <w:tcBorders>
              <w:top w:val="single" w:sz="4" w:space="0" w:color="7F7F7F" w:themeColor="text1" w:themeTint="80"/>
              <w:bottom w:val="single" w:sz="4" w:space="0" w:color="7F7F7F" w:themeColor="text1" w:themeTint="80"/>
            </w:tcBorders>
          </w:tcPr>
          <w:p w14:paraId="7BECEEB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13</w:t>
            </w:r>
          </w:p>
        </w:tc>
        <w:tc>
          <w:tcPr>
            <w:tcW w:w="2177" w:type="dxa"/>
            <w:gridSpan w:val="2"/>
            <w:tcBorders>
              <w:top w:val="single" w:sz="4" w:space="0" w:color="7F7F7F" w:themeColor="text1" w:themeTint="80"/>
              <w:bottom w:val="single" w:sz="4" w:space="0" w:color="7F7F7F" w:themeColor="text1" w:themeTint="80"/>
            </w:tcBorders>
          </w:tcPr>
          <w:p w14:paraId="4B8FCA9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665BB52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10-15%</w:t>
            </w:r>
          </w:p>
        </w:tc>
      </w:tr>
      <w:tr w:rsidR="003801E8" w14:paraId="233F8EB0"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3777D85D"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Briska gora</w:t>
            </w:r>
          </w:p>
        </w:tc>
        <w:tc>
          <w:tcPr>
            <w:tcW w:w="1923" w:type="dxa"/>
            <w:gridSpan w:val="2"/>
          </w:tcPr>
          <w:p w14:paraId="0BB4300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Vranac </w:t>
            </w:r>
          </w:p>
        </w:tc>
        <w:tc>
          <w:tcPr>
            <w:tcW w:w="925" w:type="dxa"/>
            <w:gridSpan w:val="2"/>
          </w:tcPr>
          <w:p w14:paraId="1AA2E73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53</w:t>
            </w:r>
          </w:p>
        </w:tc>
        <w:tc>
          <w:tcPr>
            <w:tcW w:w="2177" w:type="dxa"/>
            <w:gridSpan w:val="2"/>
          </w:tcPr>
          <w:p w14:paraId="768BFF3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73C9E41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r>
      <w:tr w:rsidR="003801E8" w14:paraId="62356414"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5851AB0F"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Beri</w:t>
            </w:r>
          </w:p>
        </w:tc>
        <w:tc>
          <w:tcPr>
            <w:tcW w:w="1923" w:type="dxa"/>
            <w:gridSpan w:val="2"/>
            <w:tcBorders>
              <w:top w:val="single" w:sz="4" w:space="0" w:color="7F7F7F" w:themeColor="text1" w:themeTint="80"/>
              <w:bottom w:val="single" w:sz="4" w:space="0" w:color="7F7F7F" w:themeColor="text1" w:themeTint="80"/>
            </w:tcBorders>
          </w:tcPr>
          <w:p w14:paraId="501C565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Vranac </w:t>
            </w:r>
          </w:p>
        </w:tc>
        <w:tc>
          <w:tcPr>
            <w:tcW w:w="925" w:type="dxa"/>
            <w:gridSpan w:val="2"/>
            <w:tcBorders>
              <w:top w:val="single" w:sz="4" w:space="0" w:color="7F7F7F" w:themeColor="text1" w:themeTint="80"/>
              <w:bottom w:val="single" w:sz="4" w:space="0" w:color="7F7F7F" w:themeColor="text1" w:themeTint="80"/>
            </w:tcBorders>
          </w:tcPr>
          <w:p w14:paraId="6A28ECB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11</w:t>
            </w:r>
          </w:p>
        </w:tc>
        <w:tc>
          <w:tcPr>
            <w:tcW w:w="2177" w:type="dxa"/>
            <w:gridSpan w:val="2"/>
            <w:tcBorders>
              <w:top w:val="single" w:sz="4" w:space="0" w:color="7F7F7F" w:themeColor="text1" w:themeTint="80"/>
              <w:bottom w:val="single" w:sz="4" w:space="0" w:color="7F7F7F" w:themeColor="text1" w:themeTint="80"/>
            </w:tcBorders>
          </w:tcPr>
          <w:p w14:paraId="3F0D3F2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7A3BC65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5-10%</w:t>
            </w:r>
          </w:p>
        </w:tc>
      </w:tr>
      <w:tr w:rsidR="003801E8" w14:paraId="2949748B"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354D36FF"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lastRenderedPageBreak/>
              <w:t>Beri</w:t>
            </w:r>
          </w:p>
        </w:tc>
        <w:tc>
          <w:tcPr>
            <w:tcW w:w="1923" w:type="dxa"/>
            <w:gridSpan w:val="2"/>
          </w:tcPr>
          <w:p w14:paraId="6E43A56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Kratošija</w:t>
            </w:r>
          </w:p>
        </w:tc>
        <w:tc>
          <w:tcPr>
            <w:tcW w:w="925" w:type="dxa"/>
            <w:gridSpan w:val="2"/>
          </w:tcPr>
          <w:p w14:paraId="342D7FA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c>
          <w:tcPr>
            <w:tcW w:w="2177" w:type="dxa"/>
            <w:gridSpan w:val="2"/>
          </w:tcPr>
          <w:p w14:paraId="50868FF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554DEB5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5-10%</w:t>
            </w:r>
          </w:p>
        </w:tc>
      </w:tr>
      <w:tr w:rsidR="003801E8" w14:paraId="72FC795C"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0208C47A"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Beri</w:t>
            </w:r>
          </w:p>
        </w:tc>
        <w:tc>
          <w:tcPr>
            <w:tcW w:w="1923" w:type="dxa"/>
            <w:gridSpan w:val="2"/>
            <w:tcBorders>
              <w:top w:val="single" w:sz="4" w:space="0" w:color="7F7F7F" w:themeColor="text1" w:themeTint="80"/>
              <w:bottom w:val="single" w:sz="4" w:space="0" w:color="7F7F7F" w:themeColor="text1" w:themeTint="80"/>
            </w:tcBorders>
          </w:tcPr>
          <w:p w14:paraId="256636D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Cabernet Sauvignon</w:t>
            </w:r>
          </w:p>
        </w:tc>
        <w:tc>
          <w:tcPr>
            <w:tcW w:w="925" w:type="dxa"/>
            <w:gridSpan w:val="2"/>
            <w:tcBorders>
              <w:top w:val="single" w:sz="4" w:space="0" w:color="7F7F7F" w:themeColor="text1" w:themeTint="80"/>
              <w:bottom w:val="single" w:sz="4" w:space="0" w:color="7F7F7F" w:themeColor="text1" w:themeTint="80"/>
            </w:tcBorders>
          </w:tcPr>
          <w:p w14:paraId="5D52AAA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c>
          <w:tcPr>
            <w:tcW w:w="2177" w:type="dxa"/>
            <w:gridSpan w:val="2"/>
            <w:tcBorders>
              <w:top w:val="single" w:sz="4" w:space="0" w:color="7F7F7F" w:themeColor="text1" w:themeTint="80"/>
              <w:bottom w:val="single" w:sz="4" w:space="0" w:color="7F7F7F" w:themeColor="text1" w:themeTint="80"/>
            </w:tcBorders>
          </w:tcPr>
          <w:p w14:paraId="4768A8C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151F75F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r>
      <w:tr w:rsidR="003801E8" w14:paraId="0AEEA364"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5AC8C451"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Beri</w:t>
            </w:r>
          </w:p>
        </w:tc>
        <w:tc>
          <w:tcPr>
            <w:tcW w:w="1923" w:type="dxa"/>
            <w:gridSpan w:val="2"/>
          </w:tcPr>
          <w:p w14:paraId="6320480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Syrah</w:t>
            </w:r>
          </w:p>
        </w:tc>
        <w:tc>
          <w:tcPr>
            <w:tcW w:w="925" w:type="dxa"/>
            <w:gridSpan w:val="2"/>
          </w:tcPr>
          <w:p w14:paraId="6878A80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11</w:t>
            </w:r>
          </w:p>
        </w:tc>
        <w:tc>
          <w:tcPr>
            <w:tcW w:w="2177" w:type="dxa"/>
            <w:gridSpan w:val="2"/>
          </w:tcPr>
          <w:p w14:paraId="77D42E0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21F68F9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6E8777AF"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7FFEF483"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Golubovci</w:t>
            </w:r>
          </w:p>
        </w:tc>
        <w:tc>
          <w:tcPr>
            <w:tcW w:w="1923" w:type="dxa"/>
            <w:gridSpan w:val="2"/>
            <w:tcBorders>
              <w:top w:val="single" w:sz="4" w:space="0" w:color="7F7F7F" w:themeColor="text1" w:themeTint="80"/>
              <w:bottom w:val="single" w:sz="4" w:space="0" w:color="7F7F7F" w:themeColor="text1" w:themeTint="80"/>
            </w:tcBorders>
          </w:tcPr>
          <w:p w14:paraId="72F746D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Vranac </w:t>
            </w:r>
          </w:p>
        </w:tc>
        <w:tc>
          <w:tcPr>
            <w:tcW w:w="925" w:type="dxa"/>
            <w:gridSpan w:val="2"/>
            <w:tcBorders>
              <w:top w:val="single" w:sz="4" w:space="0" w:color="7F7F7F" w:themeColor="text1" w:themeTint="80"/>
              <w:bottom w:val="single" w:sz="4" w:space="0" w:color="7F7F7F" w:themeColor="text1" w:themeTint="80"/>
            </w:tcBorders>
          </w:tcPr>
          <w:p w14:paraId="13658CA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12</w:t>
            </w:r>
          </w:p>
        </w:tc>
        <w:tc>
          <w:tcPr>
            <w:tcW w:w="2177" w:type="dxa"/>
            <w:gridSpan w:val="2"/>
            <w:tcBorders>
              <w:top w:val="single" w:sz="4" w:space="0" w:color="7F7F7F" w:themeColor="text1" w:themeTint="80"/>
              <w:bottom w:val="single" w:sz="4" w:space="0" w:color="7F7F7F" w:themeColor="text1" w:themeTint="80"/>
            </w:tcBorders>
          </w:tcPr>
          <w:p w14:paraId="39D2E2A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6A4EDD2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5-10%</w:t>
            </w:r>
          </w:p>
        </w:tc>
      </w:tr>
      <w:tr w:rsidR="003801E8" w14:paraId="371FDB32"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5E077633"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Golubovci</w:t>
            </w:r>
          </w:p>
        </w:tc>
        <w:tc>
          <w:tcPr>
            <w:tcW w:w="1923" w:type="dxa"/>
            <w:gridSpan w:val="2"/>
          </w:tcPr>
          <w:p w14:paraId="5F4E65A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Ribijer</w:t>
            </w:r>
          </w:p>
        </w:tc>
        <w:tc>
          <w:tcPr>
            <w:tcW w:w="925" w:type="dxa"/>
            <w:gridSpan w:val="2"/>
          </w:tcPr>
          <w:p w14:paraId="5D9EC3C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12</w:t>
            </w:r>
          </w:p>
        </w:tc>
        <w:tc>
          <w:tcPr>
            <w:tcW w:w="2177" w:type="dxa"/>
            <w:gridSpan w:val="2"/>
          </w:tcPr>
          <w:p w14:paraId="2EC9C31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0D4F529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r>
      <w:tr w:rsidR="003801E8" w14:paraId="5C266406"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5C28E86D"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Golubovci</w:t>
            </w:r>
          </w:p>
        </w:tc>
        <w:tc>
          <w:tcPr>
            <w:tcW w:w="1923" w:type="dxa"/>
            <w:gridSpan w:val="2"/>
            <w:tcBorders>
              <w:top w:val="single" w:sz="4" w:space="0" w:color="7F7F7F" w:themeColor="text1" w:themeTint="80"/>
              <w:bottom w:val="single" w:sz="4" w:space="0" w:color="7F7F7F" w:themeColor="text1" w:themeTint="80"/>
            </w:tcBorders>
          </w:tcPr>
          <w:p w14:paraId="2869809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Kardinal </w:t>
            </w:r>
          </w:p>
        </w:tc>
        <w:tc>
          <w:tcPr>
            <w:tcW w:w="925" w:type="dxa"/>
            <w:gridSpan w:val="2"/>
            <w:tcBorders>
              <w:top w:val="single" w:sz="4" w:space="0" w:color="7F7F7F" w:themeColor="text1" w:themeTint="80"/>
              <w:bottom w:val="single" w:sz="4" w:space="0" w:color="7F7F7F" w:themeColor="text1" w:themeTint="80"/>
            </w:tcBorders>
          </w:tcPr>
          <w:p w14:paraId="7276859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22</w:t>
            </w:r>
          </w:p>
        </w:tc>
        <w:tc>
          <w:tcPr>
            <w:tcW w:w="2177" w:type="dxa"/>
            <w:gridSpan w:val="2"/>
            <w:tcBorders>
              <w:top w:val="single" w:sz="4" w:space="0" w:color="7F7F7F" w:themeColor="text1" w:themeTint="80"/>
              <w:bottom w:val="single" w:sz="4" w:space="0" w:color="7F7F7F" w:themeColor="text1" w:themeTint="80"/>
            </w:tcBorders>
          </w:tcPr>
          <w:p w14:paraId="47EF7A7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493A499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10-15%</w:t>
            </w:r>
          </w:p>
        </w:tc>
      </w:tr>
      <w:tr w:rsidR="003801E8" w14:paraId="004CAF73"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47D8142B"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Golubovci</w:t>
            </w:r>
          </w:p>
        </w:tc>
        <w:tc>
          <w:tcPr>
            <w:tcW w:w="1923" w:type="dxa"/>
            <w:gridSpan w:val="2"/>
          </w:tcPr>
          <w:p w14:paraId="478A953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Viktoria </w:t>
            </w:r>
          </w:p>
        </w:tc>
        <w:tc>
          <w:tcPr>
            <w:tcW w:w="925" w:type="dxa"/>
            <w:gridSpan w:val="2"/>
          </w:tcPr>
          <w:p w14:paraId="2A8BC99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17</w:t>
            </w:r>
          </w:p>
        </w:tc>
        <w:tc>
          <w:tcPr>
            <w:tcW w:w="2177" w:type="dxa"/>
            <w:gridSpan w:val="2"/>
          </w:tcPr>
          <w:p w14:paraId="4FC1281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402C588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5-10%</w:t>
            </w:r>
          </w:p>
        </w:tc>
      </w:tr>
      <w:tr w:rsidR="003801E8" w14:paraId="01219711"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18F38D0C"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Golubovci</w:t>
            </w:r>
          </w:p>
        </w:tc>
        <w:tc>
          <w:tcPr>
            <w:tcW w:w="1923" w:type="dxa"/>
            <w:gridSpan w:val="2"/>
            <w:tcBorders>
              <w:top w:val="single" w:sz="4" w:space="0" w:color="7F7F7F" w:themeColor="text1" w:themeTint="80"/>
              <w:bottom w:val="single" w:sz="4" w:space="0" w:color="7F7F7F" w:themeColor="text1" w:themeTint="80"/>
            </w:tcBorders>
          </w:tcPr>
          <w:p w14:paraId="5276B6A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Kardinal </w:t>
            </w:r>
          </w:p>
        </w:tc>
        <w:tc>
          <w:tcPr>
            <w:tcW w:w="925" w:type="dxa"/>
            <w:gridSpan w:val="2"/>
            <w:tcBorders>
              <w:top w:val="single" w:sz="4" w:space="0" w:color="7F7F7F" w:themeColor="text1" w:themeTint="80"/>
              <w:bottom w:val="single" w:sz="4" w:space="0" w:color="7F7F7F" w:themeColor="text1" w:themeTint="80"/>
            </w:tcBorders>
          </w:tcPr>
          <w:p w14:paraId="2F4A6D8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17</w:t>
            </w:r>
          </w:p>
        </w:tc>
        <w:tc>
          <w:tcPr>
            <w:tcW w:w="2177" w:type="dxa"/>
            <w:gridSpan w:val="2"/>
            <w:tcBorders>
              <w:top w:val="single" w:sz="4" w:space="0" w:color="7F7F7F" w:themeColor="text1" w:themeTint="80"/>
              <w:bottom w:val="single" w:sz="4" w:space="0" w:color="7F7F7F" w:themeColor="text1" w:themeTint="80"/>
            </w:tcBorders>
          </w:tcPr>
          <w:p w14:paraId="5558DB4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4CE17A6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10-15%</w:t>
            </w:r>
          </w:p>
        </w:tc>
      </w:tr>
      <w:tr w:rsidR="003801E8" w14:paraId="749D34DA"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00AD0BE5"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Golubovci</w:t>
            </w:r>
          </w:p>
        </w:tc>
        <w:tc>
          <w:tcPr>
            <w:tcW w:w="1923" w:type="dxa"/>
            <w:gridSpan w:val="2"/>
          </w:tcPr>
          <w:p w14:paraId="09AE03D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Marselan </w:t>
            </w:r>
          </w:p>
        </w:tc>
        <w:tc>
          <w:tcPr>
            <w:tcW w:w="925" w:type="dxa"/>
            <w:gridSpan w:val="2"/>
          </w:tcPr>
          <w:p w14:paraId="73D5540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4</w:t>
            </w:r>
          </w:p>
        </w:tc>
        <w:tc>
          <w:tcPr>
            <w:tcW w:w="2177" w:type="dxa"/>
            <w:gridSpan w:val="2"/>
          </w:tcPr>
          <w:p w14:paraId="5A05A61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25C0E85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3FAD614D"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4E018FB2"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Golubovci</w:t>
            </w:r>
          </w:p>
        </w:tc>
        <w:tc>
          <w:tcPr>
            <w:tcW w:w="1923" w:type="dxa"/>
            <w:gridSpan w:val="2"/>
            <w:tcBorders>
              <w:top w:val="single" w:sz="4" w:space="0" w:color="7F7F7F" w:themeColor="text1" w:themeTint="80"/>
              <w:bottom w:val="single" w:sz="4" w:space="0" w:color="7F7F7F" w:themeColor="text1" w:themeTint="80"/>
            </w:tcBorders>
          </w:tcPr>
          <w:p w14:paraId="2CF28D4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Chardonnay</w:t>
            </w:r>
          </w:p>
        </w:tc>
        <w:tc>
          <w:tcPr>
            <w:tcW w:w="925" w:type="dxa"/>
            <w:gridSpan w:val="2"/>
            <w:tcBorders>
              <w:top w:val="single" w:sz="4" w:space="0" w:color="7F7F7F" w:themeColor="text1" w:themeTint="80"/>
              <w:bottom w:val="single" w:sz="4" w:space="0" w:color="7F7F7F" w:themeColor="text1" w:themeTint="80"/>
            </w:tcBorders>
          </w:tcPr>
          <w:p w14:paraId="7022F96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4</w:t>
            </w:r>
          </w:p>
        </w:tc>
        <w:tc>
          <w:tcPr>
            <w:tcW w:w="2177" w:type="dxa"/>
            <w:gridSpan w:val="2"/>
            <w:tcBorders>
              <w:top w:val="single" w:sz="4" w:space="0" w:color="7F7F7F" w:themeColor="text1" w:themeTint="80"/>
              <w:bottom w:val="single" w:sz="4" w:space="0" w:color="7F7F7F" w:themeColor="text1" w:themeTint="80"/>
            </w:tcBorders>
          </w:tcPr>
          <w:p w14:paraId="08C6634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3DDC18B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7DE71495"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797A969E"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Golubovci</w:t>
            </w:r>
          </w:p>
        </w:tc>
        <w:tc>
          <w:tcPr>
            <w:tcW w:w="1923" w:type="dxa"/>
            <w:gridSpan w:val="2"/>
          </w:tcPr>
          <w:p w14:paraId="6EF12ED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Cabernet Sauvignon</w:t>
            </w:r>
          </w:p>
        </w:tc>
        <w:tc>
          <w:tcPr>
            <w:tcW w:w="925" w:type="dxa"/>
            <w:gridSpan w:val="2"/>
          </w:tcPr>
          <w:p w14:paraId="359E1F3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4</w:t>
            </w:r>
          </w:p>
        </w:tc>
        <w:tc>
          <w:tcPr>
            <w:tcW w:w="2177" w:type="dxa"/>
            <w:gridSpan w:val="2"/>
          </w:tcPr>
          <w:p w14:paraId="0E2003E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7D4291F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081CE74B"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250DA692"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Golubovci</w:t>
            </w:r>
          </w:p>
        </w:tc>
        <w:tc>
          <w:tcPr>
            <w:tcW w:w="1923" w:type="dxa"/>
            <w:gridSpan w:val="2"/>
            <w:tcBorders>
              <w:top w:val="single" w:sz="4" w:space="0" w:color="7F7F7F" w:themeColor="text1" w:themeTint="80"/>
              <w:bottom w:val="single" w:sz="4" w:space="0" w:color="7F7F7F" w:themeColor="text1" w:themeTint="80"/>
            </w:tcBorders>
          </w:tcPr>
          <w:p w14:paraId="17BBEE0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Lisičina</w:t>
            </w:r>
          </w:p>
        </w:tc>
        <w:tc>
          <w:tcPr>
            <w:tcW w:w="925" w:type="dxa"/>
            <w:gridSpan w:val="2"/>
            <w:tcBorders>
              <w:top w:val="single" w:sz="4" w:space="0" w:color="7F7F7F" w:themeColor="text1" w:themeTint="80"/>
              <w:bottom w:val="single" w:sz="4" w:space="0" w:color="7F7F7F" w:themeColor="text1" w:themeTint="80"/>
            </w:tcBorders>
          </w:tcPr>
          <w:p w14:paraId="1FA85FB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4</w:t>
            </w:r>
          </w:p>
        </w:tc>
        <w:tc>
          <w:tcPr>
            <w:tcW w:w="2177" w:type="dxa"/>
            <w:gridSpan w:val="2"/>
            <w:tcBorders>
              <w:top w:val="single" w:sz="4" w:space="0" w:color="7F7F7F" w:themeColor="text1" w:themeTint="80"/>
              <w:bottom w:val="single" w:sz="4" w:space="0" w:color="7F7F7F" w:themeColor="text1" w:themeTint="80"/>
            </w:tcBorders>
          </w:tcPr>
          <w:p w14:paraId="196C8DA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7484076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28604CD5"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57E1D8E0"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Golubovci</w:t>
            </w:r>
          </w:p>
        </w:tc>
        <w:tc>
          <w:tcPr>
            <w:tcW w:w="1923" w:type="dxa"/>
            <w:gridSpan w:val="2"/>
          </w:tcPr>
          <w:p w14:paraId="0E49DEC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Malvasia</w:t>
            </w:r>
          </w:p>
        </w:tc>
        <w:tc>
          <w:tcPr>
            <w:tcW w:w="925" w:type="dxa"/>
            <w:gridSpan w:val="2"/>
          </w:tcPr>
          <w:p w14:paraId="42F4EE4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w:t>
            </w:r>
          </w:p>
        </w:tc>
        <w:tc>
          <w:tcPr>
            <w:tcW w:w="2177" w:type="dxa"/>
            <w:gridSpan w:val="2"/>
          </w:tcPr>
          <w:p w14:paraId="4966268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6EE027B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0C712E09"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11704772"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Balabani</w:t>
            </w:r>
          </w:p>
        </w:tc>
        <w:tc>
          <w:tcPr>
            <w:tcW w:w="1923" w:type="dxa"/>
            <w:gridSpan w:val="2"/>
            <w:tcBorders>
              <w:top w:val="single" w:sz="4" w:space="0" w:color="7F7F7F" w:themeColor="text1" w:themeTint="80"/>
              <w:bottom w:val="single" w:sz="4" w:space="0" w:color="7F7F7F" w:themeColor="text1" w:themeTint="80"/>
            </w:tcBorders>
          </w:tcPr>
          <w:p w14:paraId="1B719F8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Vranac</w:t>
            </w:r>
          </w:p>
        </w:tc>
        <w:tc>
          <w:tcPr>
            <w:tcW w:w="925" w:type="dxa"/>
            <w:gridSpan w:val="2"/>
            <w:tcBorders>
              <w:top w:val="single" w:sz="4" w:space="0" w:color="7F7F7F" w:themeColor="text1" w:themeTint="80"/>
              <w:bottom w:val="single" w:sz="4" w:space="0" w:color="7F7F7F" w:themeColor="text1" w:themeTint="80"/>
            </w:tcBorders>
          </w:tcPr>
          <w:p w14:paraId="7100EF7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2177" w:type="dxa"/>
            <w:gridSpan w:val="2"/>
            <w:tcBorders>
              <w:top w:val="single" w:sz="4" w:space="0" w:color="7F7F7F" w:themeColor="text1" w:themeTint="80"/>
              <w:bottom w:val="single" w:sz="4" w:space="0" w:color="7F7F7F" w:themeColor="text1" w:themeTint="80"/>
            </w:tcBorders>
          </w:tcPr>
          <w:p w14:paraId="4BEF1BF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2F0FCE7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15-20%</w:t>
            </w:r>
          </w:p>
        </w:tc>
      </w:tr>
      <w:tr w:rsidR="003801E8" w14:paraId="7511434D"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6CFFD194"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Balabani</w:t>
            </w:r>
          </w:p>
        </w:tc>
        <w:tc>
          <w:tcPr>
            <w:tcW w:w="1923" w:type="dxa"/>
            <w:gridSpan w:val="2"/>
          </w:tcPr>
          <w:p w14:paraId="2D18117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Kratošija</w:t>
            </w:r>
          </w:p>
        </w:tc>
        <w:tc>
          <w:tcPr>
            <w:tcW w:w="925" w:type="dxa"/>
            <w:gridSpan w:val="2"/>
          </w:tcPr>
          <w:p w14:paraId="0F625E3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2177" w:type="dxa"/>
            <w:gridSpan w:val="2"/>
          </w:tcPr>
          <w:p w14:paraId="4BC4497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4443B8B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20-25%</w:t>
            </w:r>
          </w:p>
        </w:tc>
      </w:tr>
      <w:tr w:rsidR="003801E8" w14:paraId="1C8A5204"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324FDB7B"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Piperi</w:t>
            </w:r>
          </w:p>
        </w:tc>
        <w:tc>
          <w:tcPr>
            <w:tcW w:w="1923" w:type="dxa"/>
            <w:gridSpan w:val="2"/>
            <w:tcBorders>
              <w:top w:val="single" w:sz="4" w:space="0" w:color="7F7F7F" w:themeColor="text1" w:themeTint="80"/>
              <w:bottom w:val="single" w:sz="4" w:space="0" w:color="7F7F7F" w:themeColor="text1" w:themeTint="80"/>
            </w:tcBorders>
          </w:tcPr>
          <w:p w14:paraId="3CA3D6E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Merlot</w:t>
            </w:r>
          </w:p>
        </w:tc>
        <w:tc>
          <w:tcPr>
            <w:tcW w:w="925" w:type="dxa"/>
            <w:gridSpan w:val="2"/>
            <w:tcBorders>
              <w:top w:val="single" w:sz="4" w:space="0" w:color="7F7F7F" w:themeColor="text1" w:themeTint="80"/>
              <w:bottom w:val="single" w:sz="4" w:space="0" w:color="7F7F7F" w:themeColor="text1" w:themeTint="80"/>
            </w:tcBorders>
          </w:tcPr>
          <w:p w14:paraId="7479026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8</w:t>
            </w:r>
          </w:p>
        </w:tc>
        <w:tc>
          <w:tcPr>
            <w:tcW w:w="2177" w:type="dxa"/>
            <w:gridSpan w:val="2"/>
            <w:tcBorders>
              <w:top w:val="single" w:sz="4" w:space="0" w:color="7F7F7F" w:themeColor="text1" w:themeTint="80"/>
              <w:bottom w:val="single" w:sz="4" w:space="0" w:color="7F7F7F" w:themeColor="text1" w:themeTint="80"/>
            </w:tcBorders>
          </w:tcPr>
          <w:p w14:paraId="615D63F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56D09FA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33A6D61B"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017936B4"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Piperi</w:t>
            </w:r>
          </w:p>
        </w:tc>
        <w:tc>
          <w:tcPr>
            <w:tcW w:w="1923" w:type="dxa"/>
            <w:gridSpan w:val="2"/>
          </w:tcPr>
          <w:p w14:paraId="2234434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Cabernet Sauvignon </w:t>
            </w:r>
          </w:p>
        </w:tc>
        <w:tc>
          <w:tcPr>
            <w:tcW w:w="925" w:type="dxa"/>
            <w:gridSpan w:val="2"/>
          </w:tcPr>
          <w:p w14:paraId="4A06A56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8</w:t>
            </w:r>
          </w:p>
        </w:tc>
        <w:tc>
          <w:tcPr>
            <w:tcW w:w="2177" w:type="dxa"/>
            <w:gridSpan w:val="2"/>
          </w:tcPr>
          <w:p w14:paraId="7C037FB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2D47B99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620A1015"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227088E6"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Straševina</w:t>
            </w:r>
          </w:p>
        </w:tc>
        <w:tc>
          <w:tcPr>
            <w:tcW w:w="1923" w:type="dxa"/>
            <w:gridSpan w:val="2"/>
            <w:tcBorders>
              <w:top w:val="single" w:sz="4" w:space="0" w:color="7F7F7F" w:themeColor="text1" w:themeTint="80"/>
              <w:bottom w:val="single" w:sz="4" w:space="0" w:color="7F7F7F" w:themeColor="text1" w:themeTint="80"/>
            </w:tcBorders>
          </w:tcPr>
          <w:p w14:paraId="5240B72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Moldava</w:t>
            </w:r>
          </w:p>
        </w:tc>
        <w:tc>
          <w:tcPr>
            <w:tcW w:w="925" w:type="dxa"/>
            <w:gridSpan w:val="2"/>
            <w:tcBorders>
              <w:top w:val="single" w:sz="4" w:space="0" w:color="7F7F7F" w:themeColor="text1" w:themeTint="80"/>
              <w:bottom w:val="single" w:sz="4" w:space="0" w:color="7F7F7F" w:themeColor="text1" w:themeTint="80"/>
            </w:tcBorders>
          </w:tcPr>
          <w:p w14:paraId="17BEED3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30</w:t>
            </w:r>
          </w:p>
        </w:tc>
        <w:tc>
          <w:tcPr>
            <w:tcW w:w="2177" w:type="dxa"/>
            <w:gridSpan w:val="2"/>
            <w:tcBorders>
              <w:top w:val="single" w:sz="4" w:space="0" w:color="7F7F7F" w:themeColor="text1" w:themeTint="80"/>
              <w:bottom w:val="single" w:sz="4" w:space="0" w:color="7F7F7F" w:themeColor="text1" w:themeTint="80"/>
            </w:tcBorders>
          </w:tcPr>
          <w:p w14:paraId="12A0457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29955C7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r>
      <w:tr w:rsidR="003801E8" w14:paraId="381DC614"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3717EC51"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Straševina</w:t>
            </w:r>
          </w:p>
        </w:tc>
        <w:tc>
          <w:tcPr>
            <w:tcW w:w="1923" w:type="dxa"/>
            <w:gridSpan w:val="2"/>
          </w:tcPr>
          <w:p w14:paraId="2BD1AE7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sz w:val="18"/>
                <w:szCs w:val="18"/>
              </w:rPr>
            </w:pPr>
            <w:r>
              <w:rPr>
                <w:rFonts w:ascii="Book Antiqua" w:hAnsi="Book Antiqua" w:cs="Times New Roman"/>
                <w:i/>
                <w:iCs/>
                <w:sz w:val="18"/>
                <w:szCs w:val="18"/>
              </w:rPr>
              <w:t>V. labrusca</w:t>
            </w:r>
          </w:p>
        </w:tc>
        <w:tc>
          <w:tcPr>
            <w:tcW w:w="925" w:type="dxa"/>
            <w:gridSpan w:val="2"/>
          </w:tcPr>
          <w:p w14:paraId="261F4A0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30</w:t>
            </w:r>
          </w:p>
        </w:tc>
        <w:tc>
          <w:tcPr>
            <w:tcW w:w="2177" w:type="dxa"/>
            <w:gridSpan w:val="2"/>
          </w:tcPr>
          <w:p w14:paraId="1966A70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1221DCB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7804A2B6"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6944C66E"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Orja Luka</w:t>
            </w:r>
          </w:p>
        </w:tc>
        <w:tc>
          <w:tcPr>
            <w:tcW w:w="1923" w:type="dxa"/>
            <w:gridSpan w:val="2"/>
            <w:tcBorders>
              <w:top w:val="single" w:sz="4" w:space="0" w:color="7F7F7F" w:themeColor="text1" w:themeTint="80"/>
              <w:bottom w:val="single" w:sz="4" w:space="0" w:color="7F7F7F" w:themeColor="text1" w:themeTint="80"/>
            </w:tcBorders>
          </w:tcPr>
          <w:p w14:paraId="0E7D49A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Kardinal</w:t>
            </w:r>
          </w:p>
        </w:tc>
        <w:tc>
          <w:tcPr>
            <w:tcW w:w="925" w:type="dxa"/>
            <w:gridSpan w:val="2"/>
            <w:tcBorders>
              <w:top w:val="single" w:sz="4" w:space="0" w:color="7F7F7F" w:themeColor="text1" w:themeTint="80"/>
              <w:bottom w:val="single" w:sz="4" w:space="0" w:color="7F7F7F" w:themeColor="text1" w:themeTint="80"/>
            </w:tcBorders>
          </w:tcPr>
          <w:p w14:paraId="777F170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w:t>
            </w:r>
          </w:p>
        </w:tc>
        <w:tc>
          <w:tcPr>
            <w:tcW w:w="2177" w:type="dxa"/>
            <w:gridSpan w:val="2"/>
            <w:tcBorders>
              <w:top w:val="single" w:sz="4" w:space="0" w:color="7F7F7F" w:themeColor="text1" w:themeTint="80"/>
              <w:bottom w:val="single" w:sz="4" w:space="0" w:color="7F7F7F" w:themeColor="text1" w:themeTint="80"/>
            </w:tcBorders>
          </w:tcPr>
          <w:p w14:paraId="61A4654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7ACF267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32C6AD49"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64E31288"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Orja Luka</w:t>
            </w:r>
          </w:p>
        </w:tc>
        <w:tc>
          <w:tcPr>
            <w:tcW w:w="1923" w:type="dxa"/>
            <w:gridSpan w:val="2"/>
          </w:tcPr>
          <w:p w14:paraId="764AD35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Moldava</w:t>
            </w:r>
          </w:p>
        </w:tc>
        <w:tc>
          <w:tcPr>
            <w:tcW w:w="925" w:type="dxa"/>
            <w:gridSpan w:val="2"/>
          </w:tcPr>
          <w:p w14:paraId="2F9A3B3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w:t>
            </w:r>
          </w:p>
        </w:tc>
        <w:tc>
          <w:tcPr>
            <w:tcW w:w="2177" w:type="dxa"/>
            <w:gridSpan w:val="2"/>
          </w:tcPr>
          <w:p w14:paraId="4ADFB1E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02B9F3B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6E426DB5"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0AF29727"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Orja Luka</w:t>
            </w:r>
          </w:p>
        </w:tc>
        <w:tc>
          <w:tcPr>
            <w:tcW w:w="1923" w:type="dxa"/>
            <w:gridSpan w:val="2"/>
            <w:tcBorders>
              <w:top w:val="single" w:sz="4" w:space="0" w:color="7F7F7F" w:themeColor="text1" w:themeTint="80"/>
              <w:bottom w:val="single" w:sz="4" w:space="0" w:color="7F7F7F" w:themeColor="text1" w:themeTint="80"/>
            </w:tcBorders>
          </w:tcPr>
          <w:p w14:paraId="179D5E2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Rozaklija </w:t>
            </w:r>
          </w:p>
        </w:tc>
        <w:tc>
          <w:tcPr>
            <w:tcW w:w="925" w:type="dxa"/>
            <w:gridSpan w:val="2"/>
            <w:tcBorders>
              <w:top w:val="single" w:sz="4" w:space="0" w:color="7F7F7F" w:themeColor="text1" w:themeTint="80"/>
              <w:bottom w:val="single" w:sz="4" w:space="0" w:color="7F7F7F" w:themeColor="text1" w:themeTint="80"/>
            </w:tcBorders>
          </w:tcPr>
          <w:p w14:paraId="0B32C83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w:t>
            </w:r>
          </w:p>
        </w:tc>
        <w:tc>
          <w:tcPr>
            <w:tcW w:w="2177" w:type="dxa"/>
            <w:gridSpan w:val="2"/>
            <w:tcBorders>
              <w:top w:val="single" w:sz="4" w:space="0" w:color="7F7F7F" w:themeColor="text1" w:themeTint="80"/>
              <w:bottom w:val="single" w:sz="4" w:space="0" w:color="7F7F7F" w:themeColor="text1" w:themeTint="80"/>
            </w:tcBorders>
          </w:tcPr>
          <w:p w14:paraId="363837C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25C0BDE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12927123"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05779F56"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Orja Luka</w:t>
            </w:r>
          </w:p>
        </w:tc>
        <w:tc>
          <w:tcPr>
            <w:tcW w:w="1923" w:type="dxa"/>
            <w:gridSpan w:val="2"/>
          </w:tcPr>
          <w:p w14:paraId="59284CF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Black Magic</w:t>
            </w:r>
          </w:p>
        </w:tc>
        <w:tc>
          <w:tcPr>
            <w:tcW w:w="925" w:type="dxa"/>
            <w:gridSpan w:val="2"/>
          </w:tcPr>
          <w:p w14:paraId="7A1E0F7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w:t>
            </w:r>
          </w:p>
        </w:tc>
        <w:tc>
          <w:tcPr>
            <w:tcW w:w="2177" w:type="dxa"/>
            <w:gridSpan w:val="2"/>
          </w:tcPr>
          <w:p w14:paraId="6E4584E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7C0979C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0F0B5440"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170B0018"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Orja Luka</w:t>
            </w:r>
          </w:p>
        </w:tc>
        <w:tc>
          <w:tcPr>
            <w:tcW w:w="1923" w:type="dxa"/>
            <w:gridSpan w:val="2"/>
            <w:tcBorders>
              <w:top w:val="single" w:sz="4" w:space="0" w:color="7F7F7F" w:themeColor="text1" w:themeTint="80"/>
              <w:bottom w:val="single" w:sz="4" w:space="0" w:color="7F7F7F" w:themeColor="text1" w:themeTint="80"/>
            </w:tcBorders>
          </w:tcPr>
          <w:p w14:paraId="1C0F4AE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Frankovka </w:t>
            </w:r>
          </w:p>
        </w:tc>
        <w:tc>
          <w:tcPr>
            <w:tcW w:w="925" w:type="dxa"/>
            <w:gridSpan w:val="2"/>
            <w:tcBorders>
              <w:top w:val="single" w:sz="4" w:space="0" w:color="7F7F7F" w:themeColor="text1" w:themeTint="80"/>
              <w:bottom w:val="single" w:sz="4" w:space="0" w:color="7F7F7F" w:themeColor="text1" w:themeTint="80"/>
            </w:tcBorders>
          </w:tcPr>
          <w:p w14:paraId="11BA0E0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w:t>
            </w:r>
          </w:p>
        </w:tc>
        <w:tc>
          <w:tcPr>
            <w:tcW w:w="2177" w:type="dxa"/>
            <w:gridSpan w:val="2"/>
            <w:tcBorders>
              <w:top w:val="single" w:sz="4" w:space="0" w:color="7F7F7F" w:themeColor="text1" w:themeTint="80"/>
              <w:bottom w:val="single" w:sz="4" w:space="0" w:color="7F7F7F" w:themeColor="text1" w:themeTint="80"/>
            </w:tcBorders>
          </w:tcPr>
          <w:p w14:paraId="29B941F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4325752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4589D7FB"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40ABC5E2"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Donja Gorica</w:t>
            </w:r>
          </w:p>
        </w:tc>
        <w:tc>
          <w:tcPr>
            <w:tcW w:w="1923" w:type="dxa"/>
            <w:gridSpan w:val="2"/>
          </w:tcPr>
          <w:p w14:paraId="18D35681"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Vranac </w:t>
            </w:r>
          </w:p>
        </w:tc>
        <w:tc>
          <w:tcPr>
            <w:tcW w:w="925" w:type="dxa"/>
            <w:gridSpan w:val="2"/>
          </w:tcPr>
          <w:p w14:paraId="7EAA5FD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25</w:t>
            </w:r>
          </w:p>
        </w:tc>
        <w:tc>
          <w:tcPr>
            <w:tcW w:w="2177" w:type="dxa"/>
            <w:gridSpan w:val="2"/>
          </w:tcPr>
          <w:p w14:paraId="692A9D4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22E1A52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15-20%</w:t>
            </w:r>
          </w:p>
        </w:tc>
      </w:tr>
      <w:tr w:rsidR="003801E8" w14:paraId="7D0E40A3"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542F99F7"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Donja Gorica</w:t>
            </w:r>
          </w:p>
        </w:tc>
        <w:tc>
          <w:tcPr>
            <w:tcW w:w="1923" w:type="dxa"/>
            <w:gridSpan w:val="2"/>
            <w:tcBorders>
              <w:top w:val="single" w:sz="4" w:space="0" w:color="7F7F7F" w:themeColor="text1" w:themeTint="80"/>
              <w:bottom w:val="single" w:sz="4" w:space="0" w:color="7F7F7F" w:themeColor="text1" w:themeTint="80"/>
            </w:tcBorders>
          </w:tcPr>
          <w:p w14:paraId="4132742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Kratošija</w:t>
            </w:r>
          </w:p>
        </w:tc>
        <w:tc>
          <w:tcPr>
            <w:tcW w:w="925" w:type="dxa"/>
            <w:gridSpan w:val="2"/>
            <w:tcBorders>
              <w:top w:val="single" w:sz="4" w:space="0" w:color="7F7F7F" w:themeColor="text1" w:themeTint="80"/>
              <w:bottom w:val="single" w:sz="4" w:space="0" w:color="7F7F7F" w:themeColor="text1" w:themeTint="80"/>
            </w:tcBorders>
          </w:tcPr>
          <w:p w14:paraId="479E79F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25</w:t>
            </w:r>
          </w:p>
        </w:tc>
        <w:tc>
          <w:tcPr>
            <w:tcW w:w="2177" w:type="dxa"/>
            <w:gridSpan w:val="2"/>
            <w:tcBorders>
              <w:top w:val="single" w:sz="4" w:space="0" w:color="7F7F7F" w:themeColor="text1" w:themeTint="80"/>
              <w:bottom w:val="single" w:sz="4" w:space="0" w:color="7F7F7F" w:themeColor="text1" w:themeTint="80"/>
            </w:tcBorders>
          </w:tcPr>
          <w:p w14:paraId="25BAFB3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11441CB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15-20%</w:t>
            </w:r>
          </w:p>
        </w:tc>
      </w:tr>
      <w:tr w:rsidR="003801E8" w14:paraId="7C28D725"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26D2BB35"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Donja Gorica</w:t>
            </w:r>
          </w:p>
        </w:tc>
        <w:tc>
          <w:tcPr>
            <w:tcW w:w="1923" w:type="dxa"/>
            <w:gridSpan w:val="2"/>
          </w:tcPr>
          <w:p w14:paraId="7D649BD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Ribier</w:t>
            </w:r>
          </w:p>
        </w:tc>
        <w:tc>
          <w:tcPr>
            <w:tcW w:w="925" w:type="dxa"/>
            <w:gridSpan w:val="2"/>
          </w:tcPr>
          <w:p w14:paraId="17BAB0A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25</w:t>
            </w:r>
          </w:p>
        </w:tc>
        <w:tc>
          <w:tcPr>
            <w:tcW w:w="2177" w:type="dxa"/>
            <w:gridSpan w:val="2"/>
          </w:tcPr>
          <w:p w14:paraId="7017460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47E6CBE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5-10%</w:t>
            </w:r>
          </w:p>
        </w:tc>
      </w:tr>
      <w:tr w:rsidR="003801E8" w14:paraId="64F4EAD7"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45D2A72B"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Ubli</w:t>
            </w:r>
          </w:p>
        </w:tc>
        <w:tc>
          <w:tcPr>
            <w:tcW w:w="1923" w:type="dxa"/>
            <w:gridSpan w:val="2"/>
            <w:tcBorders>
              <w:top w:val="single" w:sz="4" w:space="0" w:color="7F7F7F" w:themeColor="text1" w:themeTint="80"/>
              <w:bottom w:val="single" w:sz="4" w:space="0" w:color="7F7F7F" w:themeColor="text1" w:themeTint="80"/>
            </w:tcBorders>
          </w:tcPr>
          <w:p w14:paraId="3D63F8D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Čubrica </w:t>
            </w:r>
          </w:p>
        </w:tc>
        <w:tc>
          <w:tcPr>
            <w:tcW w:w="925" w:type="dxa"/>
            <w:gridSpan w:val="2"/>
            <w:tcBorders>
              <w:top w:val="single" w:sz="4" w:space="0" w:color="7F7F7F" w:themeColor="text1" w:themeTint="80"/>
              <w:bottom w:val="single" w:sz="4" w:space="0" w:color="7F7F7F" w:themeColor="text1" w:themeTint="80"/>
            </w:tcBorders>
          </w:tcPr>
          <w:p w14:paraId="3F4EDA6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50</w:t>
            </w:r>
          </w:p>
        </w:tc>
        <w:tc>
          <w:tcPr>
            <w:tcW w:w="2177" w:type="dxa"/>
            <w:gridSpan w:val="2"/>
            <w:tcBorders>
              <w:top w:val="single" w:sz="4" w:space="0" w:color="7F7F7F" w:themeColor="text1" w:themeTint="80"/>
              <w:bottom w:val="single" w:sz="4" w:space="0" w:color="7F7F7F" w:themeColor="text1" w:themeTint="80"/>
            </w:tcBorders>
          </w:tcPr>
          <w:p w14:paraId="4F1D6A0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3679426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r>
      <w:tr w:rsidR="003801E8" w14:paraId="0410836F"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22E22541"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Ubli</w:t>
            </w:r>
          </w:p>
        </w:tc>
        <w:tc>
          <w:tcPr>
            <w:tcW w:w="1923" w:type="dxa"/>
            <w:gridSpan w:val="2"/>
          </w:tcPr>
          <w:p w14:paraId="58BBFEB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Čubrica</w:t>
            </w:r>
          </w:p>
        </w:tc>
        <w:tc>
          <w:tcPr>
            <w:tcW w:w="925" w:type="dxa"/>
            <w:gridSpan w:val="2"/>
          </w:tcPr>
          <w:p w14:paraId="3F276CA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70</w:t>
            </w:r>
          </w:p>
        </w:tc>
        <w:tc>
          <w:tcPr>
            <w:tcW w:w="2177" w:type="dxa"/>
            <w:gridSpan w:val="2"/>
          </w:tcPr>
          <w:p w14:paraId="667F0E2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334F4B8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23227F67"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088EFE90"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Tološi</w:t>
            </w:r>
          </w:p>
        </w:tc>
        <w:tc>
          <w:tcPr>
            <w:tcW w:w="1923" w:type="dxa"/>
            <w:gridSpan w:val="2"/>
            <w:tcBorders>
              <w:top w:val="single" w:sz="4" w:space="0" w:color="7F7F7F" w:themeColor="text1" w:themeTint="80"/>
              <w:bottom w:val="single" w:sz="4" w:space="0" w:color="7F7F7F" w:themeColor="text1" w:themeTint="80"/>
            </w:tcBorders>
          </w:tcPr>
          <w:p w14:paraId="70C8877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Vranac</w:t>
            </w:r>
          </w:p>
        </w:tc>
        <w:tc>
          <w:tcPr>
            <w:tcW w:w="925" w:type="dxa"/>
            <w:gridSpan w:val="2"/>
            <w:tcBorders>
              <w:top w:val="single" w:sz="4" w:space="0" w:color="7F7F7F" w:themeColor="text1" w:themeTint="80"/>
              <w:bottom w:val="single" w:sz="4" w:space="0" w:color="7F7F7F" w:themeColor="text1" w:themeTint="80"/>
            </w:tcBorders>
          </w:tcPr>
          <w:p w14:paraId="5802DAE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35</w:t>
            </w:r>
          </w:p>
        </w:tc>
        <w:tc>
          <w:tcPr>
            <w:tcW w:w="2177" w:type="dxa"/>
            <w:gridSpan w:val="2"/>
            <w:tcBorders>
              <w:top w:val="single" w:sz="4" w:space="0" w:color="7F7F7F" w:themeColor="text1" w:themeTint="80"/>
              <w:bottom w:val="single" w:sz="4" w:space="0" w:color="7F7F7F" w:themeColor="text1" w:themeTint="80"/>
            </w:tcBorders>
          </w:tcPr>
          <w:p w14:paraId="009543D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79573F4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20-25%</w:t>
            </w:r>
          </w:p>
        </w:tc>
      </w:tr>
      <w:tr w:rsidR="003801E8" w14:paraId="3219346F"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7D7E48E3"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Lješkopolje</w:t>
            </w:r>
          </w:p>
        </w:tc>
        <w:tc>
          <w:tcPr>
            <w:tcW w:w="1923" w:type="dxa"/>
            <w:gridSpan w:val="2"/>
          </w:tcPr>
          <w:p w14:paraId="70BF2EB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Vranac</w:t>
            </w:r>
          </w:p>
        </w:tc>
        <w:tc>
          <w:tcPr>
            <w:tcW w:w="925" w:type="dxa"/>
            <w:gridSpan w:val="2"/>
          </w:tcPr>
          <w:p w14:paraId="716F0A7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2177" w:type="dxa"/>
            <w:gridSpan w:val="2"/>
          </w:tcPr>
          <w:p w14:paraId="4BF0C90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6F5BDC2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25-30%</w:t>
            </w:r>
          </w:p>
        </w:tc>
      </w:tr>
      <w:tr w:rsidR="003801E8" w14:paraId="335602A0"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0BFD5AC6"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Crmnica</w:t>
            </w:r>
          </w:p>
        </w:tc>
        <w:tc>
          <w:tcPr>
            <w:tcW w:w="1923" w:type="dxa"/>
            <w:gridSpan w:val="2"/>
            <w:tcBorders>
              <w:top w:val="single" w:sz="4" w:space="0" w:color="7F7F7F" w:themeColor="text1" w:themeTint="80"/>
              <w:bottom w:val="single" w:sz="4" w:space="0" w:color="7F7F7F" w:themeColor="text1" w:themeTint="80"/>
            </w:tcBorders>
          </w:tcPr>
          <w:p w14:paraId="1190063F"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Vranac</w:t>
            </w:r>
          </w:p>
        </w:tc>
        <w:tc>
          <w:tcPr>
            <w:tcW w:w="925" w:type="dxa"/>
            <w:gridSpan w:val="2"/>
            <w:tcBorders>
              <w:top w:val="single" w:sz="4" w:space="0" w:color="7F7F7F" w:themeColor="text1" w:themeTint="80"/>
              <w:bottom w:val="single" w:sz="4" w:space="0" w:color="7F7F7F" w:themeColor="text1" w:themeTint="80"/>
            </w:tcBorders>
          </w:tcPr>
          <w:p w14:paraId="5D4C47B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18</w:t>
            </w:r>
          </w:p>
        </w:tc>
        <w:tc>
          <w:tcPr>
            <w:tcW w:w="2177" w:type="dxa"/>
            <w:gridSpan w:val="2"/>
            <w:tcBorders>
              <w:top w:val="single" w:sz="4" w:space="0" w:color="7F7F7F" w:themeColor="text1" w:themeTint="80"/>
              <w:bottom w:val="single" w:sz="4" w:space="0" w:color="7F7F7F" w:themeColor="text1" w:themeTint="80"/>
            </w:tcBorders>
          </w:tcPr>
          <w:p w14:paraId="52685DD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08E4246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10-15%</w:t>
            </w:r>
          </w:p>
        </w:tc>
      </w:tr>
      <w:tr w:rsidR="003801E8" w14:paraId="2E231865"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05AF813B"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Drušići</w:t>
            </w:r>
          </w:p>
        </w:tc>
        <w:tc>
          <w:tcPr>
            <w:tcW w:w="1923" w:type="dxa"/>
            <w:gridSpan w:val="2"/>
          </w:tcPr>
          <w:p w14:paraId="38FD646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Kratošija</w:t>
            </w:r>
          </w:p>
        </w:tc>
        <w:tc>
          <w:tcPr>
            <w:tcW w:w="925" w:type="dxa"/>
            <w:gridSpan w:val="2"/>
          </w:tcPr>
          <w:p w14:paraId="6C010D6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27</w:t>
            </w:r>
          </w:p>
        </w:tc>
        <w:tc>
          <w:tcPr>
            <w:tcW w:w="2177" w:type="dxa"/>
            <w:gridSpan w:val="2"/>
          </w:tcPr>
          <w:p w14:paraId="7F6BB6F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625691C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5-10%</w:t>
            </w:r>
          </w:p>
        </w:tc>
      </w:tr>
      <w:tr w:rsidR="003801E8" w14:paraId="6653D71D"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136BAEC4"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Drušići</w:t>
            </w:r>
          </w:p>
        </w:tc>
        <w:tc>
          <w:tcPr>
            <w:tcW w:w="1923" w:type="dxa"/>
            <w:gridSpan w:val="2"/>
            <w:tcBorders>
              <w:top w:val="single" w:sz="4" w:space="0" w:color="7F7F7F" w:themeColor="text1" w:themeTint="80"/>
              <w:bottom w:val="single" w:sz="4" w:space="0" w:color="7F7F7F" w:themeColor="text1" w:themeTint="80"/>
            </w:tcBorders>
          </w:tcPr>
          <w:p w14:paraId="251C410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Vranac </w:t>
            </w:r>
          </w:p>
        </w:tc>
        <w:tc>
          <w:tcPr>
            <w:tcW w:w="925" w:type="dxa"/>
            <w:gridSpan w:val="2"/>
            <w:tcBorders>
              <w:top w:val="single" w:sz="4" w:space="0" w:color="7F7F7F" w:themeColor="text1" w:themeTint="80"/>
              <w:bottom w:val="single" w:sz="4" w:space="0" w:color="7F7F7F" w:themeColor="text1" w:themeTint="80"/>
            </w:tcBorders>
          </w:tcPr>
          <w:p w14:paraId="47F7DA1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27</w:t>
            </w:r>
          </w:p>
        </w:tc>
        <w:tc>
          <w:tcPr>
            <w:tcW w:w="2177" w:type="dxa"/>
            <w:gridSpan w:val="2"/>
            <w:tcBorders>
              <w:top w:val="single" w:sz="4" w:space="0" w:color="7F7F7F" w:themeColor="text1" w:themeTint="80"/>
              <w:bottom w:val="single" w:sz="4" w:space="0" w:color="7F7F7F" w:themeColor="text1" w:themeTint="80"/>
            </w:tcBorders>
          </w:tcPr>
          <w:p w14:paraId="0A75E2A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6784A25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15-20%</w:t>
            </w:r>
          </w:p>
        </w:tc>
      </w:tr>
      <w:tr w:rsidR="003801E8" w14:paraId="5917AD72"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39705DA2"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Reževići</w:t>
            </w:r>
          </w:p>
        </w:tc>
        <w:tc>
          <w:tcPr>
            <w:tcW w:w="1923" w:type="dxa"/>
            <w:gridSpan w:val="2"/>
          </w:tcPr>
          <w:p w14:paraId="26C4F17C"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Rozaklija</w:t>
            </w:r>
          </w:p>
        </w:tc>
        <w:tc>
          <w:tcPr>
            <w:tcW w:w="925" w:type="dxa"/>
            <w:gridSpan w:val="2"/>
          </w:tcPr>
          <w:p w14:paraId="6C70EF85"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w:t>
            </w:r>
          </w:p>
        </w:tc>
        <w:tc>
          <w:tcPr>
            <w:tcW w:w="2177" w:type="dxa"/>
            <w:gridSpan w:val="2"/>
          </w:tcPr>
          <w:p w14:paraId="43A1BA7A"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2E7BA93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221D1E4C"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7C65E206"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Reževići</w:t>
            </w:r>
          </w:p>
        </w:tc>
        <w:tc>
          <w:tcPr>
            <w:tcW w:w="1923" w:type="dxa"/>
            <w:gridSpan w:val="2"/>
            <w:tcBorders>
              <w:top w:val="single" w:sz="4" w:space="0" w:color="7F7F7F" w:themeColor="text1" w:themeTint="80"/>
              <w:bottom w:val="single" w:sz="4" w:space="0" w:color="7F7F7F" w:themeColor="text1" w:themeTint="80"/>
            </w:tcBorders>
          </w:tcPr>
          <w:p w14:paraId="6B9D0AC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Demir Kapija</w:t>
            </w:r>
          </w:p>
        </w:tc>
        <w:tc>
          <w:tcPr>
            <w:tcW w:w="925" w:type="dxa"/>
            <w:gridSpan w:val="2"/>
            <w:tcBorders>
              <w:top w:val="single" w:sz="4" w:space="0" w:color="7F7F7F" w:themeColor="text1" w:themeTint="80"/>
              <w:bottom w:val="single" w:sz="4" w:space="0" w:color="7F7F7F" w:themeColor="text1" w:themeTint="80"/>
            </w:tcBorders>
          </w:tcPr>
          <w:p w14:paraId="02B40F73"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w:t>
            </w:r>
          </w:p>
        </w:tc>
        <w:tc>
          <w:tcPr>
            <w:tcW w:w="2177" w:type="dxa"/>
            <w:gridSpan w:val="2"/>
            <w:tcBorders>
              <w:top w:val="single" w:sz="4" w:space="0" w:color="7F7F7F" w:themeColor="text1" w:themeTint="80"/>
              <w:bottom w:val="single" w:sz="4" w:space="0" w:color="7F7F7F" w:themeColor="text1" w:themeTint="80"/>
            </w:tcBorders>
          </w:tcPr>
          <w:p w14:paraId="50C1727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28500D5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126DBB0E"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522012F7"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Reževići</w:t>
            </w:r>
          </w:p>
        </w:tc>
        <w:tc>
          <w:tcPr>
            <w:tcW w:w="1923" w:type="dxa"/>
            <w:gridSpan w:val="2"/>
          </w:tcPr>
          <w:p w14:paraId="338460E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Muscat Hamburg</w:t>
            </w:r>
          </w:p>
        </w:tc>
        <w:tc>
          <w:tcPr>
            <w:tcW w:w="925" w:type="dxa"/>
            <w:gridSpan w:val="2"/>
          </w:tcPr>
          <w:p w14:paraId="7886493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w:t>
            </w:r>
          </w:p>
        </w:tc>
        <w:tc>
          <w:tcPr>
            <w:tcW w:w="2177" w:type="dxa"/>
            <w:gridSpan w:val="2"/>
          </w:tcPr>
          <w:p w14:paraId="52B3D83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587B6F6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6817812C"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16ADCC80"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Piperi</w:t>
            </w:r>
          </w:p>
        </w:tc>
        <w:tc>
          <w:tcPr>
            <w:tcW w:w="1923" w:type="dxa"/>
            <w:gridSpan w:val="2"/>
            <w:tcBorders>
              <w:top w:val="single" w:sz="4" w:space="0" w:color="7F7F7F" w:themeColor="text1" w:themeTint="80"/>
              <w:bottom w:val="single" w:sz="4" w:space="0" w:color="7F7F7F" w:themeColor="text1" w:themeTint="80"/>
            </w:tcBorders>
          </w:tcPr>
          <w:p w14:paraId="248AF7C2"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Vranac</w:t>
            </w:r>
          </w:p>
        </w:tc>
        <w:tc>
          <w:tcPr>
            <w:tcW w:w="925" w:type="dxa"/>
            <w:gridSpan w:val="2"/>
            <w:tcBorders>
              <w:top w:val="single" w:sz="4" w:space="0" w:color="7F7F7F" w:themeColor="text1" w:themeTint="80"/>
              <w:bottom w:val="single" w:sz="4" w:space="0" w:color="7F7F7F" w:themeColor="text1" w:themeTint="80"/>
            </w:tcBorders>
          </w:tcPr>
          <w:p w14:paraId="024F9C3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8</w:t>
            </w:r>
          </w:p>
        </w:tc>
        <w:tc>
          <w:tcPr>
            <w:tcW w:w="2177" w:type="dxa"/>
            <w:gridSpan w:val="2"/>
            <w:tcBorders>
              <w:top w:val="single" w:sz="4" w:space="0" w:color="7F7F7F" w:themeColor="text1" w:themeTint="80"/>
              <w:bottom w:val="single" w:sz="4" w:space="0" w:color="7F7F7F" w:themeColor="text1" w:themeTint="80"/>
            </w:tcBorders>
          </w:tcPr>
          <w:p w14:paraId="4329333D"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1E9F80A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r>
      <w:tr w:rsidR="003801E8" w14:paraId="2F665849"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68C37483"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Kuće Rakića</w:t>
            </w:r>
          </w:p>
        </w:tc>
        <w:tc>
          <w:tcPr>
            <w:tcW w:w="1923" w:type="dxa"/>
            <w:gridSpan w:val="2"/>
          </w:tcPr>
          <w:p w14:paraId="2D59A54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Vranac </w:t>
            </w:r>
          </w:p>
        </w:tc>
        <w:tc>
          <w:tcPr>
            <w:tcW w:w="925" w:type="dxa"/>
            <w:gridSpan w:val="2"/>
          </w:tcPr>
          <w:p w14:paraId="6326468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w:t>
            </w:r>
          </w:p>
        </w:tc>
        <w:tc>
          <w:tcPr>
            <w:tcW w:w="2177" w:type="dxa"/>
            <w:gridSpan w:val="2"/>
          </w:tcPr>
          <w:p w14:paraId="4E6D33B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Pr>
          <w:p w14:paraId="4E65B890"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5-10%</w:t>
            </w:r>
          </w:p>
        </w:tc>
      </w:tr>
      <w:tr w:rsidR="003801E8" w14:paraId="45B3174E"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0455B88C"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Kuće Rakića</w:t>
            </w:r>
          </w:p>
        </w:tc>
        <w:tc>
          <w:tcPr>
            <w:tcW w:w="1923" w:type="dxa"/>
            <w:gridSpan w:val="2"/>
            <w:tcBorders>
              <w:top w:val="single" w:sz="4" w:space="0" w:color="7F7F7F" w:themeColor="text1" w:themeTint="80"/>
              <w:bottom w:val="single" w:sz="4" w:space="0" w:color="7F7F7F" w:themeColor="text1" w:themeTint="80"/>
            </w:tcBorders>
          </w:tcPr>
          <w:p w14:paraId="67958609"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Kratošija</w:t>
            </w:r>
          </w:p>
        </w:tc>
        <w:tc>
          <w:tcPr>
            <w:tcW w:w="925" w:type="dxa"/>
            <w:gridSpan w:val="2"/>
            <w:tcBorders>
              <w:top w:val="single" w:sz="4" w:space="0" w:color="7F7F7F" w:themeColor="text1" w:themeTint="80"/>
              <w:bottom w:val="single" w:sz="4" w:space="0" w:color="7F7F7F" w:themeColor="text1" w:themeTint="80"/>
            </w:tcBorders>
          </w:tcPr>
          <w:p w14:paraId="6E43E36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w:t>
            </w:r>
          </w:p>
        </w:tc>
        <w:tc>
          <w:tcPr>
            <w:tcW w:w="2177" w:type="dxa"/>
            <w:gridSpan w:val="2"/>
            <w:tcBorders>
              <w:top w:val="single" w:sz="4" w:space="0" w:color="7F7F7F" w:themeColor="text1" w:themeTint="80"/>
              <w:bottom w:val="single" w:sz="4" w:space="0" w:color="7F7F7F" w:themeColor="text1" w:themeTint="80"/>
            </w:tcBorders>
          </w:tcPr>
          <w:p w14:paraId="3D78DCD6"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Da</w:t>
            </w:r>
          </w:p>
        </w:tc>
        <w:tc>
          <w:tcPr>
            <w:tcW w:w="1387" w:type="dxa"/>
            <w:gridSpan w:val="2"/>
            <w:tcBorders>
              <w:top w:val="single" w:sz="4" w:space="0" w:color="7F7F7F" w:themeColor="text1" w:themeTint="80"/>
              <w:bottom w:val="single" w:sz="4" w:space="0" w:color="7F7F7F" w:themeColor="text1" w:themeTint="80"/>
            </w:tcBorders>
          </w:tcPr>
          <w:p w14:paraId="60BCCA8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r>
      <w:tr w:rsidR="003801E8" w14:paraId="713E4B70"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Pr>
          <w:p w14:paraId="0291D8E4"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Martinići</w:t>
            </w:r>
          </w:p>
        </w:tc>
        <w:tc>
          <w:tcPr>
            <w:tcW w:w="1923" w:type="dxa"/>
            <w:gridSpan w:val="2"/>
          </w:tcPr>
          <w:p w14:paraId="303A563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Muscat Hamburg</w:t>
            </w:r>
          </w:p>
        </w:tc>
        <w:tc>
          <w:tcPr>
            <w:tcW w:w="925" w:type="dxa"/>
            <w:gridSpan w:val="2"/>
          </w:tcPr>
          <w:p w14:paraId="490AE024"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4</w:t>
            </w:r>
          </w:p>
        </w:tc>
        <w:tc>
          <w:tcPr>
            <w:tcW w:w="2177" w:type="dxa"/>
            <w:gridSpan w:val="2"/>
          </w:tcPr>
          <w:p w14:paraId="4145933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Pr>
          <w:p w14:paraId="252E033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r w:rsidR="003801E8" w14:paraId="185305C7" w14:textId="77777777" w:rsidTr="003801E8">
        <w:tc>
          <w:tcPr>
            <w:cnfStyle w:val="001000000000" w:firstRow="0" w:lastRow="0" w:firstColumn="1" w:lastColumn="0" w:oddVBand="0" w:evenVBand="0" w:oddHBand="0" w:evenHBand="0" w:firstRowFirstColumn="0" w:firstRowLastColumn="0" w:lastRowFirstColumn="0" w:lastRowLastColumn="0"/>
            <w:tcW w:w="2039" w:type="dxa"/>
            <w:gridSpan w:val="2"/>
            <w:tcBorders>
              <w:top w:val="single" w:sz="4" w:space="0" w:color="7F7F7F" w:themeColor="text1" w:themeTint="80"/>
              <w:bottom w:val="single" w:sz="4" w:space="0" w:color="7F7F7F" w:themeColor="text1" w:themeTint="80"/>
            </w:tcBorders>
          </w:tcPr>
          <w:p w14:paraId="7DE10E8E" w14:textId="77777777" w:rsidR="003801E8" w:rsidRDefault="00E44AAE">
            <w:pPr>
              <w:spacing w:after="0" w:line="240" w:lineRule="auto"/>
              <w:jc w:val="center"/>
              <w:rPr>
                <w:rFonts w:ascii="Book Antiqua" w:hAnsi="Book Antiqua" w:cs="Times New Roman"/>
                <w:b w:val="0"/>
                <w:bCs w:val="0"/>
                <w:sz w:val="18"/>
                <w:szCs w:val="18"/>
              </w:rPr>
            </w:pPr>
            <w:r>
              <w:rPr>
                <w:rFonts w:ascii="Book Antiqua" w:hAnsi="Book Antiqua" w:cs="Times New Roman"/>
                <w:sz w:val="18"/>
                <w:szCs w:val="18"/>
              </w:rPr>
              <w:t>Martinići</w:t>
            </w:r>
          </w:p>
        </w:tc>
        <w:tc>
          <w:tcPr>
            <w:tcW w:w="1923" w:type="dxa"/>
            <w:gridSpan w:val="2"/>
            <w:tcBorders>
              <w:top w:val="single" w:sz="4" w:space="0" w:color="7F7F7F" w:themeColor="text1" w:themeTint="80"/>
              <w:bottom w:val="single" w:sz="4" w:space="0" w:color="7F7F7F" w:themeColor="text1" w:themeTint="80"/>
            </w:tcBorders>
          </w:tcPr>
          <w:p w14:paraId="3DF85BFE"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Afus ali</w:t>
            </w:r>
          </w:p>
        </w:tc>
        <w:tc>
          <w:tcPr>
            <w:tcW w:w="925" w:type="dxa"/>
            <w:gridSpan w:val="2"/>
            <w:tcBorders>
              <w:top w:val="single" w:sz="4" w:space="0" w:color="7F7F7F" w:themeColor="text1" w:themeTint="80"/>
              <w:bottom w:val="single" w:sz="4" w:space="0" w:color="7F7F7F" w:themeColor="text1" w:themeTint="80"/>
            </w:tcBorders>
          </w:tcPr>
          <w:p w14:paraId="7BEDE33B"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4</w:t>
            </w:r>
          </w:p>
        </w:tc>
        <w:tc>
          <w:tcPr>
            <w:tcW w:w="2177" w:type="dxa"/>
            <w:gridSpan w:val="2"/>
            <w:tcBorders>
              <w:top w:val="single" w:sz="4" w:space="0" w:color="7F7F7F" w:themeColor="text1" w:themeTint="80"/>
              <w:bottom w:val="single" w:sz="4" w:space="0" w:color="7F7F7F" w:themeColor="text1" w:themeTint="80"/>
            </w:tcBorders>
          </w:tcPr>
          <w:p w14:paraId="703344F8"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Ne</w:t>
            </w:r>
          </w:p>
        </w:tc>
        <w:tc>
          <w:tcPr>
            <w:tcW w:w="1387" w:type="dxa"/>
            <w:gridSpan w:val="2"/>
            <w:tcBorders>
              <w:top w:val="single" w:sz="4" w:space="0" w:color="7F7F7F" w:themeColor="text1" w:themeTint="80"/>
              <w:bottom w:val="single" w:sz="4" w:space="0" w:color="7F7F7F" w:themeColor="text1" w:themeTint="80"/>
            </w:tcBorders>
          </w:tcPr>
          <w:p w14:paraId="79E9C5B7" w14:textId="77777777" w:rsidR="003801E8" w:rsidRDefault="00E44AA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0%</w:t>
            </w:r>
          </w:p>
        </w:tc>
      </w:tr>
    </w:tbl>
    <w:p w14:paraId="4411665B"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6A907A56"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43B227CF"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24ADFFA0"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42346548"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6F1E51EC" w14:textId="77777777" w:rsidR="003801E8" w:rsidRDefault="00E44AAE">
      <w:pPr>
        <w:tabs>
          <w:tab w:val="left" w:pos="3315"/>
        </w:tabs>
        <w:spacing w:line="360" w:lineRule="auto"/>
        <w:jc w:val="both"/>
        <w:rPr>
          <w:rFonts w:ascii="Book Antiqua" w:hAnsi="Book Antiqua" w:cs="Times New Roman"/>
          <w:bCs/>
          <w:sz w:val="24"/>
          <w:szCs w:val="24"/>
          <w:lang w:val="sr-Latn-RS"/>
        </w:rPr>
      </w:pPr>
      <w:r>
        <w:rPr>
          <w:rFonts w:ascii="Book Antiqua" w:hAnsi="Book Antiqua" w:cs="Times New Roman"/>
          <w:bCs/>
          <w:sz w:val="24"/>
          <w:szCs w:val="24"/>
          <w:lang w:val="sr-Latn-RS"/>
        </w:rPr>
        <w:lastRenderedPageBreak/>
        <w:t xml:space="preserve">Rezultati ankete su pokazali da samo 17% anketiranih vinogradara nikada nije primijetilo simptome eska oboljenja (Grafikon 1). Međutim, samo 31% vinogradara zna o kom se oboljenju tačno radi, dok 69% ispitanika nije upoznato konkretno sa problemom eska oboljenja u Crnoj Gori (Grafikon 2). Podaci ankete o ocjeni intenziteta bolesti pokazuju da je intenzitet tipa I prisutan kod 35%, intenzitet tipa II kod 55%, a intenzitet tipa III kod 10% anketiranih vinogradara (Grafikon 3). Anketa pokazuje da pojava simptoma dostiže maksimum od 15 do 25 godine starosti vinograda, dok je samo jedan vinogradar istakao da dolazi do pojave simptoma u drugoj ili trećoj godini po sadnji (Grafikon 4). Rezultati ankete pokazuju da se u Crnoj Gori simptomi eska oboljenja rijetko javljaju na introdukovanim sortama, dok autohtone sorte Vranac i Kratošija odlikuje visok stepen osjetljivosti (Grafikon 5). </w:t>
      </w:r>
    </w:p>
    <w:p w14:paraId="7939B19C" w14:textId="77777777" w:rsidR="003801E8" w:rsidRDefault="00E44AAE">
      <w:pPr>
        <w:tabs>
          <w:tab w:val="left" w:pos="3315"/>
        </w:tabs>
        <w:spacing w:line="240" w:lineRule="auto"/>
        <w:jc w:val="both"/>
        <w:rPr>
          <w:rFonts w:ascii="Book Antiqua" w:hAnsi="Book Antiqua" w:cs="Times New Roman"/>
          <w:bCs/>
          <w:sz w:val="24"/>
          <w:szCs w:val="24"/>
          <w:lang w:val="sr-Latn-RS"/>
        </w:rPr>
      </w:pPr>
      <w:r>
        <w:rPr>
          <w:rFonts w:ascii="Book Antiqua" w:hAnsi="Book Antiqua" w:cs="Times New Roman"/>
          <w:b/>
          <w:noProof/>
          <w:sz w:val="24"/>
          <w:szCs w:val="24"/>
          <w:lang w:val="en-US"/>
        </w:rPr>
        <w:drawing>
          <wp:inline distT="0" distB="0" distL="0" distR="0" wp14:anchorId="5E218F80" wp14:editId="488B00CF">
            <wp:extent cx="2623820" cy="2637155"/>
            <wp:effectExtent l="0" t="0" r="5080" b="0"/>
            <wp:docPr id="1740490012"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Pr>
          <w:rFonts w:ascii="Book Antiqua" w:hAnsi="Book Antiqua" w:cs="Times New Roman"/>
          <w:bCs/>
          <w:sz w:val="24"/>
          <w:szCs w:val="24"/>
          <w:lang w:val="sr-Latn-RS"/>
        </w:rPr>
        <w:t xml:space="preserve">         </w:t>
      </w:r>
      <w:r>
        <w:rPr>
          <w:rFonts w:ascii="Book Antiqua" w:hAnsi="Book Antiqua" w:cs="Times New Roman"/>
          <w:b/>
          <w:noProof/>
          <w:sz w:val="24"/>
          <w:szCs w:val="24"/>
          <w:lang w:val="en-US"/>
        </w:rPr>
        <w:drawing>
          <wp:inline distT="0" distB="0" distL="0" distR="0" wp14:anchorId="17AAE0D7" wp14:editId="11805134">
            <wp:extent cx="2345055" cy="2459990"/>
            <wp:effectExtent l="0" t="0" r="0" b="0"/>
            <wp:docPr id="1451396979"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55F96A6" w14:textId="77777777" w:rsidR="003801E8" w:rsidRDefault="00E44AAE">
      <w:pPr>
        <w:tabs>
          <w:tab w:val="left" w:pos="3315"/>
        </w:tabs>
        <w:spacing w:line="240" w:lineRule="auto"/>
        <w:jc w:val="both"/>
        <w:rPr>
          <w:rFonts w:ascii="Book Antiqua" w:hAnsi="Book Antiqua" w:cs="Times New Roman"/>
          <w:bCs/>
          <w:sz w:val="22"/>
          <w:szCs w:val="22"/>
          <w:lang w:val="sr-Latn-RS"/>
        </w:rPr>
      </w:pPr>
      <w:r>
        <w:rPr>
          <w:rFonts w:ascii="Book Antiqua" w:hAnsi="Book Antiqua" w:cs="Times New Roman"/>
          <w:b/>
          <w:sz w:val="22"/>
          <w:szCs w:val="22"/>
          <w:lang w:val="sr-Latn-RS"/>
        </w:rPr>
        <w:t>Grafikon 1</w:t>
      </w:r>
      <w:r>
        <w:rPr>
          <w:rFonts w:ascii="Book Antiqua" w:hAnsi="Book Antiqua" w:cs="Times New Roman"/>
          <w:bCs/>
          <w:sz w:val="22"/>
          <w:szCs w:val="22"/>
          <w:lang w:val="sr-Latn-RS"/>
        </w:rPr>
        <w:t>. Rezultati ankete vinogradara o pojavi simptoma eska oboljenja u vinogradu</w:t>
      </w:r>
    </w:p>
    <w:p w14:paraId="2F232437" w14:textId="77777777" w:rsidR="003801E8" w:rsidRDefault="00E44AAE">
      <w:pPr>
        <w:tabs>
          <w:tab w:val="left" w:pos="3315"/>
        </w:tabs>
        <w:spacing w:line="240" w:lineRule="auto"/>
        <w:jc w:val="both"/>
        <w:rPr>
          <w:rFonts w:ascii="Book Antiqua" w:hAnsi="Book Antiqua" w:cs="Times New Roman"/>
          <w:bCs/>
          <w:sz w:val="22"/>
          <w:szCs w:val="22"/>
          <w:lang w:val="sr-Latn-RS"/>
        </w:rPr>
      </w:pPr>
      <w:r>
        <w:rPr>
          <w:rFonts w:ascii="Book Antiqua" w:hAnsi="Book Antiqua" w:cs="Times New Roman"/>
          <w:b/>
          <w:sz w:val="22"/>
          <w:szCs w:val="22"/>
          <w:lang w:val="sr-Latn-RS"/>
        </w:rPr>
        <w:t>Grafikon 2</w:t>
      </w:r>
      <w:r>
        <w:rPr>
          <w:rFonts w:ascii="Book Antiqua" w:hAnsi="Book Antiqua" w:cs="Times New Roman"/>
          <w:bCs/>
          <w:sz w:val="22"/>
          <w:szCs w:val="22"/>
          <w:lang w:val="sr-Latn-RS"/>
        </w:rPr>
        <w:t>. Rezultati ankete informisanosti vinogradara o eska oboljenju</w:t>
      </w:r>
    </w:p>
    <w:p w14:paraId="72311783"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605FEC02"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5AEDE676" w14:textId="77777777" w:rsidR="003801E8" w:rsidRDefault="00E44AAE">
      <w:pPr>
        <w:tabs>
          <w:tab w:val="left" w:pos="3315"/>
        </w:tabs>
        <w:spacing w:line="360" w:lineRule="auto"/>
        <w:jc w:val="both"/>
        <w:rPr>
          <w:rFonts w:ascii="Book Antiqua" w:hAnsi="Book Antiqua" w:cs="Times New Roman"/>
          <w:b/>
          <w:sz w:val="24"/>
          <w:szCs w:val="24"/>
          <w:lang w:val="sr-Latn-RS"/>
        </w:rPr>
      </w:pPr>
      <w:r>
        <w:rPr>
          <w:rFonts w:ascii="Book Antiqua" w:hAnsi="Book Antiqua" w:cs="Times New Roman"/>
          <w:b/>
          <w:sz w:val="24"/>
          <w:szCs w:val="24"/>
          <w:lang w:val="sr-Latn-RS"/>
        </w:rPr>
        <w:t xml:space="preserve"> </w:t>
      </w:r>
    </w:p>
    <w:p w14:paraId="73AF1F9F" w14:textId="77777777" w:rsidR="003801E8" w:rsidRDefault="00E44AAE">
      <w:pPr>
        <w:tabs>
          <w:tab w:val="left" w:pos="3315"/>
        </w:tabs>
        <w:spacing w:line="360" w:lineRule="auto"/>
        <w:jc w:val="both"/>
        <w:rPr>
          <w:rFonts w:ascii="Book Antiqua" w:hAnsi="Book Antiqua" w:cs="Times New Roman"/>
          <w:b/>
          <w:sz w:val="24"/>
          <w:szCs w:val="24"/>
          <w:lang w:val="sr-Latn-RS"/>
        </w:rPr>
      </w:pPr>
      <w:r>
        <w:rPr>
          <w:rFonts w:ascii="Book Antiqua" w:hAnsi="Book Antiqua" w:cs="Times New Roman"/>
          <w:bCs/>
          <w:noProof/>
          <w:sz w:val="24"/>
          <w:szCs w:val="24"/>
          <w:lang w:val="en-US"/>
        </w:rPr>
        <w:lastRenderedPageBreak/>
        <w:drawing>
          <wp:inline distT="0" distB="0" distL="0" distR="0" wp14:anchorId="02B7FB1B" wp14:editId="6728EBA9">
            <wp:extent cx="5402580" cy="3151505"/>
            <wp:effectExtent l="0" t="0" r="7620" b="10795"/>
            <wp:docPr id="331380994" name="Chart 3313809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05D000A" w14:textId="77777777" w:rsidR="003801E8" w:rsidRDefault="00E44AAE">
      <w:pPr>
        <w:tabs>
          <w:tab w:val="left" w:pos="3315"/>
        </w:tabs>
        <w:spacing w:line="360" w:lineRule="auto"/>
        <w:rPr>
          <w:rFonts w:ascii="Book Antiqua" w:hAnsi="Book Antiqua" w:cs="Times New Roman"/>
          <w:bCs/>
          <w:sz w:val="22"/>
          <w:szCs w:val="22"/>
          <w:lang w:val="sr-Latn-RS"/>
        </w:rPr>
      </w:pPr>
      <w:r>
        <w:rPr>
          <w:rFonts w:ascii="Book Antiqua" w:hAnsi="Book Antiqua" w:cs="Times New Roman"/>
          <w:b/>
          <w:sz w:val="22"/>
          <w:szCs w:val="22"/>
          <w:lang w:val="sr-Latn-RS"/>
        </w:rPr>
        <w:t>Grafikon 3</w:t>
      </w:r>
      <w:r>
        <w:rPr>
          <w:rFonts w:ascii="Book Antiqua" w:hAnsi="Book Antiqua" w:cs="Times New Roman"/>
          <w:bCs/>
          <w:sz w:val="22"/>
          <w:szCs w:val="22"/>
          <w:lang w:val="sr-Latn-RS"/>
        </w:rPr>
        <w:t>. Rezultati ocjene intenziteta zaraze anketiranih vinogradara</w:t>
      </w:r>
    </w:p>
    <w:p w14:paraId="2AD73B0D" w14:textId="77777777" w:rsidR="003801E8" w:rsidRDefault="003801E8">
      <w:pPr>
        <w:tabs>
          <w:tab w:val="left" w:pos="3315"/>
        </w:tabs>
        <w:spacing w:line="360" w:lineRule="auto"/>
        <w:rPr>
          <w:rFonts w:ascii="Book Antiqua" w:hAnsi="Book Antiqua" w:cs="Times New Roman"/>
          <w:bCs/>
          <w:sz w:val="22"/>
          <w:szCs w:val="22"/>
          <w:lang w:val="sr-Latn-RS"/>
        </w:rPr>
      </w:pPr>
    </w:p>
    <w:p w14:paraId="1E013D23" w14:textId="77777777" w:rsidR="003801E8" w:rsidRDefault="00E44AAE">
      <w:pPr>
        <w:tabs>
          <w:tab w:val="left" w:pos="3315"/>
        </w:tabs>
        <w:spacing w:line="360" w:lineRule="auto"/>
        <w:rPr>
          <w:rFonts w:ascii="Book Antiqua" w:hAnsi="Book Antiqua" w:cs="Times New Roman"/>
          <w:bCs/>
          <w:color w:val="FFFFFF" w:themeColor="background1"/>
          <w:sz w:val="22"/>
          <w:szCs w:val="22"/>
          <w:lang w:val="sr-Latn-RS"/>
          <w14:textFill>
            <w14:noFill/>
          </w14:textFill>
        </w:rPr>
      </w:pPr>
      <w:r>
        <w:rPr>
          <w:rFonts w:ascii="Book Antiqua" w:hAnsi="Book Antiqua" w:cs="Times New Roman"/>
          <w:bCs/>
          <w:noProof/>
          <w:sz w:val="22"/>
          <w:szCs w:val="22"/>
          <w:lang w:val="en-US"/>
        </w:rPr>
        <w:drawing>
          <wp:inline distT="0" distB="0" distL="0" distR="0" wp14:anchorId="27E59CB9" wp14:editId="2EBA2605">
            <wp:extent cx="5400040" cy="3150235"/>
            <wp:effectExtent l="0" t="0" r="0" b="0"/>
            <wp:docPr id="48850486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0933245" w14:textId="77777777" w:rsidR="003801E8" w:rsidRDefault="00E44AAE">
      <w:pPr>
        <w:tabs>
          <w:tab w:val="left" w:pos="3315"/>
        </w:tabs>
        <w:spacing w:line="360" w:lineRule="auto"/>
        <w:rPr>
          <w:rFonts w:ascii="Book Antiqua" w:hAnsi="Book Antiqua" w:cs="Times New Roman"/>
          <w:bCs/>
          <w:sz w:val="22"/>
          <w:szCs w:val="22"/>
          <w:lang w:val="sr-Latn-RS"/>
        </w:rPr>
      </w:pPr>
      <w:r>
        <w:rPr>
          <w:rFonts w:ascii="Book Antiqua" w:hAnsi="Book Antiqua" w:cs="Times New Roman"/>
          <w:b/>
          <w:sz w:val="22"/>
          <w:szCs w:val="22"/>
          <w:lang w:val="sr-Latn-RS"/>
        </w:rPr>
        <w:t>Grafikon 4</w:t>
      </w:r>
      <w:r>
        <w:rPr>
          <w:rFonts w:ascii="Book Antiqua" w:hAnsi="Book Antiqua" w:cs="Times New Roman"/>
          <w:bCs/>
          <w:sz w:val="22"/>
          <w:szCs w:val="22"/>
          <w:lang w:val="sr-Latn-RS"/>
        </w:rPr>
        <w:t>. Rezultati ankete vinogradara o pojavi simptoma eska oboljenja u odnosu na starost vinove loze</w:t>
      </w:r>
    </w:p>
    <w:p w14:paraId="19FC50A5"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7FAE79AB" w14:textId="77777777" w:rsidR="003801E8" w:rsidRDefault="00E44AAE">
      <w:pPr>
        <w:tabs>
          <w:tab w:val="left" w:pos="3315"/>
        </w:tabs>
        <w:spacing w:line="240" w:lineRule="auto"/>
        <w:jc w:val="both"/>
        <w:rPr>
          <w:rFonts w:ascii="Book Antiqua" w:hAnsi="Book Antiqua" w:cs="Times New Roman"/>
          <w:b/>
          <w:sz w:val="24"/>
          <w:szCs w:val="24"/>
          <w:lang w:val="sr-Latn-RS"/>
        </w:rPr>
      </w:pPr>
      <w:r>
        <w:rPr>
          <w:rFonts w:ascii="Book Antiqua" w:hAnsi="Book Antiqua" w:cs="Times New Roman"/>
          <w:b/>
          <w:noProof/>
          <w:sz w:val="24"/>
          <w:szCs w:val="24"/>
          <w:lang w:val="en-US"/>
        </w:rPr>
        <w:lastRenderedPageBreak/>
        <w:drawing>
          <wp:inline distT="0" distB="0" distL="0" distR="0" wp14:anchorId="36516C3A" wp14:editId="6CB1C1D0">
            <wp:extent cx="5762625" cy="3514725"/>
            <wp:effectExtent l="0" t="0" r="9525" b="9525"/>
            <wp:docPr id="1575507931"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37E8A02" w14:textId="77777777" w:rsidR="003801E8" w:rsidRDefault="00E44AAE">
      <w:pPr>
        <w:tabs>
          <w:tab w:val="left" w:pos="3315"/>
        </w:tabs>
        <w:spacing w:line="360" w:lineRule="auto"/>
        <w:rPr>
          <w:rFonts w:ascii="Book Antiqua" w:hAnsi="Book Antiqua" w:cs="Times New Roman"/>
          <w:bCs/>
          <w:sz w:val="22"/>
          <w:szCs w:val="22"/>
          <w:lang w:val="sr-Latn-RS"/>
        </w:rPr>
      </w:pPr>
      <w:r>
        <w:rPr>
          <w:rFonts w:ascii="Book Antiqua" w:hAnsi="Book Antiqua" w:cs="Times New Roman"/>
          <w:b/>
          <w:sz w:val="22"/>
          <w:szCs w:val="22"/>
          <w:lang w:val="sr-Latn-RS"/>
        </w:rPr>
        <w:t>Grafikon 5</w:t>
      </w:r>
      <w:r>
        <w:rPr>
          <w:rFonts w:ascii="Book Antiqua" w:hAnsi="Book Antiqua" w:cs="Times New Roman"/>
          <w:bCs/>
          <w:sz w:val="22"/>
          <w:szCs w:val="22"/>
          <w:lang w:val="sr-Latn-RS"/>
        </w:rPr>
        <w:t>. Rezultati ankete vinogradara o pojavi simptoma eska oboljenja u odnosu na sortiment vinove loze</w:t>
      </w:r>
    </w:p>
    <w:p w14:paraId="0881565B" w14:textId="77777777" w:rsidR="003801E8" w:rsidRDefault="003801E8">
      <w:pPr>
        <w:tabs>
          <w:tab w:val="left" w:pos="3315"/>
        </w:tabs>
        <w:rPr>
          <w:rFonts w:ascii="Times New Roman" w:hAnsi="Times New Roman" w:cs="Times New Roman"/>
          <w:bCs/>
          <w:color w:val="1F3864" w:themeColor="accent1" w:themeShade="80"/>
          <w:sz w:val="18"/>
          <w:szCs w:val="18"/>
          <w:lang w:val="sr-Latn-RS"/>
        </w:rPr>
      </w:pPr>
    </w:p>
    <w:p w14:paraId="64DA9C8D" w14:textId="77777777" w:rsidR="003801E8" w:rsidRDefault="003801E8">
      <w:pPr>
        <w:tabs>
          <w:tab w:val="left" w:pos="3315"/>
        </w:tabs>
        <w:jc w:val="center"/>
        <w:rPr>
          <w:rFonts w:ascii="Times New Roman" w:hAnsi="Times New Roman" w:cs="Times New Roman"/>
          <w:bCs/>
          <w:color w:val="1F3864" w:themeColor="accent1" w:themeShade="80"/>
          <w:sz w:val="18"/>
          <w:szCs w:val="18"/>
          <w:lang w:val="sr-Latn-RS"/>
        </w:rPr>
      </w:pPr>
    </w:p>
    <w:p w14:paraId="31B4AF9B" w14:textId="77777777" w:rsidR="003801E8" w:rsidRDefault="003801E8">
      <w:pPr>
        <w:tabs>
          <w:tab w:val="left" w:pos="3315"/>
        </w:tabs>
        <w:jc w:val="center"/>
        <w:rPr>
          <w:rFonts w:ascii="Times New Roman" w:hAnsi="Times New Roman" w:cs="Times New Roman"/>
          <w:bCs/>
          <w:color w:val="1F3864" w:themeColor="accent1" w:themeShade="80"/>
          <w:sz w:val="18"/>
          <w:szCs w:val="18"/>
          <w:lang w:val="sr-Latn-RS"/>
        </w:rPr>
      </w:pPr>
    </w:p>
    <w:p w14:paraId="7BC193BD" w14:textId="77777777" w:rsidR="003801E8" w:rsidRDefault="003801E8">
      <w:pPr>
        <w:tabs>
          <w:tab w:val="left" w:pos="3315"/>
        </w:tabs>
        <w:jc w:val="center"/>
        <w:rPr>
          <w:rFonts w:ascii="Times New Roman" w:hAnsi="Times New Roman" w:cs="Times New Roman"/>
          <w:bCs/>
          <w:color w:val="1F3864" w:themeColor="accent1" w:themeShade="80"/>
          <w:sz w:val="18"/>
          <w:szCs w:val="18"/>
          <w:lang w:val="sr-Latn-RS"/>
        </w:rPr>
      </w:pPr>
    </w:p>
    <w:p w14:paraId="4C4DAFF9" w14:textId="77777777" w:rsidR="003801E8" w:rsidRDefault="003801E8">
      <w:pPr>
        <w:tabs>
          <w:tab w:val="left" w:pos="3315"/>
        </w:tabs>
        <w:jc w:val="center"/>
        <w:rPr>
          <w:rFonts w:ascii="Times New Roman" w:hAnsi="Times New Roman" w:cs="Times New Roman"/>
          <w:bCs/>
          <w:color w:val="1F3864" w:themeColor="accent1" w:themeShade="80"/>
          <w:sz w:val="18"/>
          <w:szCs w:val="18"/>
          <w:lang w:val="sr-Latn-RS"/>
        </w:rPr>
      </w:pPr>
    </w:p>
    <w:p w14:paraId="5B64B61A" w14:textId="77777777" w:rsidR="003801E8" w:rsidRDefault="003801E8">
      <w:pPr>
        <w:tabs>
          <w:tab w:val="left" w:pos="3315"/>
        </w:tabs>
        <w:jc w:val="center"/>
        <w:rPr>
          <w:rFonts w:ascii="Times New Roman" w:hAnsi="Times New Roman" w:cs="Times New Roman"/>
          <w:bCs/>
          <w:color w:val="1F3864" w:themeColor="accent1" w:themeShade="80"/>
          <w:sz w:val="18"/>
          <w:szCs w:val="18"/>
          <w:lang w:val="sr-Latn-RS"/>
        </w:rPr>
      </w:pPr>
    </w:p>
    <w:p w14:paraId="41AAEAB2" w14:textId="77777777" w:rsidR="003801E8" w:rsidRDefault="003801E8">
      <w:pPr>
        <w:tabs>
          <w:tab w:val="left" w:pos="3315"/>
        </w:tabs>
        <w:jc w:val="center"/>
        <w:rPr>
          <w:rFonts w:ascii="Times New Roman" w:hAnsi="Times New Roman" w:cs="Times New Roman"/>
          <w:bCs/>
          <w:color w:val="1F3864" w:themeColor="accent1" w:themeShade="80"/>
          <w:sz w:val="18"/>
          <w:szCs w:val="18"/>
          <w:lang w:val="sr-Latn-RS"/>
        </w:rPr>
      </w:pPr>
    </w:p>
    <w:p w14:paraId="54FA940B" w14:textId="77777777" w:rsidR="003801E8" w:rsidRDefault="003801E8">
      <w:pPr>
        <w:tabs>
          <w:tab w:val="left" w:pos="3315"/>
        </w:tabs>
        <w:jc w:val="center"/>
        <w:rPr>
          <w:rFonts w:ascii="Times New Roman" w:hAnsi="Times New Roman" w:cs="Times New Roman"/>
          <w:bCs/>
          <w:color w:val="1F3864" w:themeColor="accent1" w:themeShade="80"/>
          <w:sz w:val="18"/>
          <w:szCs w:val="18"/>
          <w:lang w:val="sr-Latn-RS"/>
        </w:rPr>
      </w:pPr>
    </w:p>
    <w:p w14:paraId="2C0E3A9F" w14:textId="77777777" w:rsidR="003801E8" w:rsidRDefault="003801E8">
      <w:pPr>
        <w:tabs>
          <w:tab w:val="left" w:pos="3315"/>
        </w:tabs>
        <w:jc w:val="center"/>
        <w:rPr>
          <w:rFonts w:ascii="Times New Roman" w:hAnsi="Times New Roman" w:cs="Times New Roman"/>
          <w:bCs/>
          <w:color w:val="1F3864" w:themeColor="accent1" w:themeShade="80"/>
          <w:sz w:val="18"/>
          <w:szCs w:val="18"/>
          <w:lang w:val="sr-Latn-RS"/>
        </w:rPr>
      </w:pPr>
    </w:p>
    <w:p w14:paraId="38EBAA52" w14:textId="77777777" w:rsidR="003801E8" w:rsidRDefault="003801E8">
      <w:pPr>
        <w:tabs>
          <w:tab w:val="left" w:pos="3315"/>
        </w:tabs>
        <w:jc w:val="center"/>
        <w:rPr>
          <w:rFonts w:ascii="Times New Roman" w:hAnsi="Times New Roman" w:cs="Times New Roman"/>
          <w:bCs/>
          <w:color w:val="1F3864" w:themeColor="accent1" w:themeShade="80"/>
          <w:sz w:val="18"/>
          <w:szCs w:val="18"/>
          <w:lang w:val="sr-Latn-RS"/>
        </w:rPr>
      </w:pPr>
    </w:p>
    <w:p w14:paraId="43F1ED59" w14:textId="77777777" w:rsidR="003801E8" w:rsidRDefault="003801E8">
      <w:pPr>
        <w:tabs>
          <w:tab w:val="left" w:pos="3315"/>
        </w:tabs>
        <w:jc w:val="center"/>
        <w:rPr>
          <w:rFonts w:ascii="Times New Roman" w:hAnsi="Times New Roman" w:cs="Times New Roman"/>
          <w:bCs/>
          <w:color w:val="1F3864" w:themeColor="accent1" w:themeShade="80"/>
          <w:sz w:val="18"/>
          <w:szCs w:val="18"/>
          <w:lang w:val="sr-Latn-RS"/>
        </w:rPr>
      </w:pPr>
    </w:p>
    <w:p w14:paraId="332B35D7" w14:textId="77777777" w:rsidR="003801E8" w:rsidRDefault="003801E8">
      <w:pPr>
        <w:tabs>
          <w:tab w:val="left" w:pos="3315"/>
        </w:tabs>
        <w:jc w:val="center"/>
        <w:rPr>
          <w:rFonts w:ascii="Times New Roman" w:hAnsi="Times New Roman" w:cs="Times New Roman"/>
          <w:bCs/>
          <w:color w:val="1F3864" w:themeColor="accent1" w:themeShade="80"/>
          <w:sz w:val="18"/>
          <w:szCs w:val="18"/>
          <w:lang w:val="sr-Latn-RS"/>
        </w:rPr>
      </w:pPr>
    </w:p>
    <w:p w14:paraId="1BBD5006" w14:textId="77777777" w:rsidR="003801E8" w:rsidRDefault="003801E8">
      <w:pPr>
        <w:tabs>
          <w:tab w:val="left" w:pos="3315"/>
        </w:tabs>
        <w:jc w:val="center"/>
        <w:rPr>
          <w:rFonts w:ascii="Times New Roman" w:hAnsi="Times New Roman" w:cs="Times New Roman"/>
          <w:bCs/>
          <w:color w:val="1F3864" w:themeColor="accent1" w:themeShade="80"/>
          <w:sz w:val="18"/>
          <w:szCs w:val="18"/>
          <w:lang w:val="sr-Latn-RS"/>
        </w:rPr>
      </w:pPr>
    </w:p>
    <w:p w14:paraId="48B3C4A1" w14:textId="77777777" w:rsidR="003801E8" w:rsidRDefault="003801E8">
      <w:pPr>
        <w:tabs>
          <w:tab w:val="left" w:pos="3315"/>
        </w:tabs>
        <w:jc w:val="center"/>
        <w:rPr>
          <w:rFonts w:ascii="Times New Roman" w:hAnsi="Times New Roman" w:cs="Times New Roman"/>
          <w:bCs/>
          <w:color w:val="1F3864" w:themeColor="accent1" w:themeShade="80"/>
          <w:sz w:val="18"/>
          <w:szCs w:val="18"/>
          <w:lang w:val="sr-Latn-RS"/>
        </w:rPr>
      </w:pPr>
    </w:p>
    <w:p w14:paraId="338B3526" w14:textId="77777777" w:rsidR="003801E8" w:rsidRDefault="003801E8">
      <w:pPr>
        <w:tabs>
          <w:tab w:val="left" w:pos="3315"/>
        </w:tabs>
        <w:jc w:val="both"/>
        <w:rPr>
          <w:rFonts w:ascii="Times New Roman" w:hAnsi="Times New Roman" w:cs="Times New Roman"/>
          <w:b/>
          <w:color w:val="1F3864" w:themeColor="accent1" w:themeShade="80"/>
          <w:sz w:val="22"/>
          <w:szCs w:val="22"/>
          <w:lang w:val="sr-Latn-RS"/>
        </w:rPr>
      </w:pPr>
    </w:p>
    <w:p w14:paraId="7E82B26A" w14:textId="77777777" w:rsidR="003801E8" w:rsidRDefault="00E44AAE">
      <w:pPr>
        <w:tabs>
          <w:tab w:val="left" w:pos="3315"/>
        </w:tabs>
        <w:spacing w:line="360" w:lineRule="auto"/>
        <w:jc w:val="both"/>
        <w:rPr>
          <w:rFonts w:ascii="Book Antiqua" w:hAnsi="Book Antiqua" w:cs="Times New Roman"/>
          <w:b/>
          <w:iCs/>
          <w:kern w:val="2"/>
          <w:sz w:val="24"/>
          <w:szCs w:val="24"/>
          <w:lang w:val="en-US" w:eastAsia="sr-Latn-ME"/>
        </w:rPr>
      </w:pPr>
      <w:r>
        <w:rPr>
          <w:rFonts w:ascii="Book Antiqua" w:hAnsi="Book Antiqua" w:cs="Times New Roman"/>
          <w:b/>
          <w:iCs/>
          <w:kern w:val="2"/>
          <w:sz w:val="24"/>
          <w:szCs w:val="24"/>
          <w:lang w:val="en-US" w:eastAsia="sr-Latn-ME"/>
        </w:rPr>
        <w:lastRenderedPageBreak/>
        <w:t>5.2 Izolacija patogena iz čokota i sadnog materijala vinove loze</w:t>
      </w:r>
    </w:p>
    <w:p w14:paraId="770394E0"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Iz 40 uzoraka drveta vinove loze, uzetih sa čokota sa simptomima eska oboljenja, dobijeno je 236 izolata gljiva. Na osnovu morfološkog izgleda kolonije odabrana su 82 izolata, koja su se mogla dovesti u vezu sa patogenima prouzrokovačima bolesti drveta vinove loze.  Jedan dobijeni izolat je svojim karakteristikama, ukazivao na potencijalnu pripadnost gljivama iz roda </w:t>
      </w:r>
      <w:r>
        <w:rPr>
          <w:rFonts w:ascii="Book Antiqua" w:hAnsi="Book Antiqua" w:cs="Times New Roman"/>
          <w:i/>
          <w:sz w:val="24"/>
          <w:szCs w:val="24"/>
          <w:lang w:val="sr-Latn-RS"/>
        </w:rPr>
        <w:t>Trichoderma</w:t>
      </w:r>
      <w:r>
        <w:rPr>
          <w:rFonts w:ascii="Book Antiqua" w:hAnsi="Book Antiqua" w:cs="Times New Roman"/>
          <w:sz w:val="24"/>
          <w:szCs w:val="24"/>
          <w:lang w:val="sr-Latn-RS"/>
        </w:rPr>
        <w:t xml:space="preserve">. </w:t>
      </w:r>
    </w:p>
    <w:p w14:paraId="5F7345B1"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Iz 10 uzoraka prikupljenih sa čokota vinove loze koji nijesu pokazivali simptome eska oboljenja, dobijeno je 59 različitih izolata od kojih se na osnovu morfoloških karakteristika 15 izolata moglo dovesti u vezu sa patogenima prouzrokovačima bolesti drveta vinove loze. </w:t>
      </w:r>
    </w:p>
    <w:p w14:paraId="64457BED"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Iz 30 uzoraka sadnog materijala, dobijeno je 27 različitih izolata. Na osnovu morfološkog izgleda kolonija, osam dobijenih izolata su ukazivali na potencijalnu pripadnost patogenima prouzrokova</w:t>
      </w:r>
      <w:r>
        <w:rPr>
          <w:rFonts w:ascii="Book Antiqua" w:hAnsi="Book Antiqua" w:cs="Times New Roman"/>
          <w:sz w:val="24"/>
          <w:szCs w:val="24"/>
        </w:rPr>
        <w:t>čima bolesti drveta vinove loze</w:t>
      </w:r>
      <w:r>
        <w:rPr>
          <w:rFonts w:ascii="Book Antiqua" w:hAnsi="Book Antiqua" w:cs="Times New Roman"/>
          <w:sz w:val="24"/>
          <w:szCs w:val="24"/>
          <w:lang w:val="sr-Latn-RS"/>
        </w:rPr>
        <w:t xml:space="preserve">. </w:t>
      </w:r>
    </w:p>
    <w:p w14:paraId="58B03120" w14:textId="77777777" w:rsidR="003801E8" w:rsidRDefault="003801E8">
      <w:pPr>
        <w:tabs>
          <w:tab w:val="left" w:pos="3315"/>
        </w:tabs>
        <w:spacing w:line="360" w:lineRule="auto"/>
        <w:jc w:val="both"/>
        <w:rPr>
          <w:rFonts w:ascii="Book Antiqua" w:hAnsi="Book Antiqua" w:cs="Times New Roman"/>
          <w:sz w:val="24"/>
          <w:szCs w:val="24"/>
          <w:lang w:val="sr-Latn-RS"/>
        </w:rPr>
      </w:pPr>
    </w:p>
    <w:p w14:paraId="7A598664" w14:textId="77777777" w:rsidR="003801E8" w:rsidRDefault="00E44AAE">
      <w:pPr>
        <w:tabs>
          <w:tab w:val="left" w:pos="3315"/>
        </w:tabs>
        <w:spacing w:line="360" w:lineRule="auto"/>
        <w:jc w:val="both"/>
        <w:rPr>
          <w:rFonts w:ascii="Book Antiqua" w:hAnsi="Book Antiqua" w:cs="Times New Roman"/>
          <w:b/>
          <w:sz w:val="24"/>
          <w:szCs w:val="24"/>
          <w:lang w:val="sr-Latn-RS"/>
        </w:rPr>
      </w:pPr>
      <w:r>
        <w:rPr>
          <w:rFonts w:ascii="Book Antiqua" w:hAnsi="Book Antiqua" w:cs="Times New Roman"/>
          <w:b/>
          <w:sz w:val="24"/>
          <w:szCs w:val="24"/>
          <w:lang w:val="sr-Latn-RS"/>
        </w:rPr>
        <w:t>5.3 Molekularna  identifikacija</w:t>
      </w:r>
    </w:p>
    <w:p w14:paraId="5785AE80"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rPr>
        <w:t xml:space="preserve">Nakon ekstrakcije DNK iz odabranih izolata, amplifikacije ITS i LSU regiona i housekeping gena (TEF1α, TUB2, ACT, HIS, CAL, RPB2), dobijeni su amplikoni dužine 600–700 bp za ITS, 300–400 bp za TEF1α, 800–900 bp za LSU, 400–450 bp za TUB2, 600–700 bp za RPB2, 300-350 bp za ACT, 550-600 bp za CAL i 400-450 bp za HIS3. </w:t>
      </w:r>
      <w:r>
        <w:rPr>
          <w:rFonts w:ascii="Book Antiqua" w:hAnsi="Book Antiqua" w:cs="Times New Roman"/>
          <w:sz w:val="24"/>
          <w:szCs w:val="24"/>
          <w:lang w:val="sr-Latn-RS"/>
        </w:rPr>
        <w:t xml:space="preserve">BLAST pretragom dobijenih nukleotidnih parova (≥99 - 100 % sličnosti), utvrđeno je da ispitivani izolati pripadaju fitopatogenim gljivama </w:t>
      </w:r>
      <w:r>
        <w:rPr>
          <w:rFonts w:ascii="Book Antiqua" w:hAnsi="Book Antiqua" w:cs="Times New Roman"/>
          <w:i/>
          <w:sz w:val="24"/>
          <w:szCs w:val="24"/>
          <w:lang w:val="sr-Latn-RS"/>
        </w:rPr>
        <w:t xml:space="preserve">F. mediterranea </w:t>
      </w:r>
      <w:r>
        <w:rPr>
          <w:rFonts w:ascii="Book Antiqua" w:hAnsi="Book Antiqua" w:cs="Times New Roman"/>
          <w:iCs/>
          <w:sz w:val="24"/>
          <w:szCs w:val="24"/>
          <w:lang w:val="sr-Latn-RS"/>
        </w:rPr>
        <w:t>(četiri izolata)</w:t>
      </w:r>
      <w:r>
        <w:rPr>
          <w:rFonts w:ascii="Book Antiqua" w:hAnsi="Book Antiqua" w:cs="Times New Roman"/>
          <w:sz w:val="24"/>
          <w:szCs w:val="24"/>
          <w:lang w:val="sr-Latn-RS"/>
        </w:rPr>
        <w:t xml:space="preserve">, </w:t>
      </w:r>
      <w:r>
        <w:rPr>
          <w:rFonts w:ascii="Book Antiqua" w:hAnsi="Book Antiqua" w:cs="Times New Roman"/>
          <w:i/>
          <w:sz w:val="24"/>
          <w:szCs w:val="24"/>
          <w:lang w:val="sr-Latn-RS"/>
        </w:rPr>
        <w:t xml:space="preserve">P. minimum </w:t>
      </w:r>
      <w:r>
        <w:rPr>
          <w:rFonts w:ascii="Book Antiqua" w:hAnsi="Book Antiqua" w:cs="Times New Roman"/>
          <w:iCs/>
          <w:sz w:val="24"/>
          <w:szCs w:val="24"/>
          <w:lang w:val="sr-Latn-RS"/>
        </w:rPr>
        <w:t>(sedam izolata)</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P. iranianum</w:t>
      </w:r>
      <w:r>
        <w:rPr>
          <w:rFonts w:ascii="Book Antiqua" w:hAnsi="Book Antiqua" w:cs="Times New Roman"/>
          <w:sz w:val="24"/>
          <w:szCs w:val="24"/>
          <w:lang w:val="sr-Latn-RS"/>
        </w:rPr>
        <w:t xml:space="preserve"> (jedan izolat), </w:t>
      </w:r>
      <w:r>
        <w:rPr>
          <w:rFonts w:ascii="Book Antiqua" w:hAnsi="Book Antiqua" w:cs="Times New Roman"/>
          <w:i/>
          <w:iCs/>
          <w:sz w:val="24"/>
          <w:szCs w:val="24"/>
          <w:lang w:val="sr-Latn-RS"/>
        </w:rPr>
        <w:t>D. mutila</w:t>
      </w:r>
      <w:r>
        <w:rPr>
          <w:rFonts w:ascii="Book Antiqua" w:hAnsi="Book Antiqua" w:cs="Times New Roman"/>
          <w:sz w:val="24"/>
          <w:szCs w:val="24"/>
          <w:lang w:val="sr-Latn-RS"/>
        </w:rPr>
        <w:t xml:space="preserve"> (jedan izolat), </w:t>
      </w:r>
      <w:r>
        <w:rPr>
          <w:rFonts w:ascii="Book Antiqua" w:hAnsi="Book Antiqua" w:cs="Times New Roman"/>
          <w:i/>
          <w:iCs/>
          <w:sz w:val="24"/>
          <w:szCs w:val="24"/>
          <w:lang w:val="sr-Latn-RS"/>
        </w:rPr>
        <w:t>S. vitis</w:t>
      </w:r>
      <w:r>
        <w:rPr>
          <w:rFonts w:ascii="Book Antiqua" w:hAnsi="Book Antiqua" w:cs="Times New Roman"/>
          <w:sz w:val="24"/>
          <w:szCs w:val="24"/>
          <w:lang w:val="sr-Latn-RS"/>
        </w:rPr>
        <w:t xml:space="preserve"> (jedan izolat), </w:t>
      </w:r>
      <w:r>
        <w:rPr>
          <w:rFonts w:ascii="Book Antiqua" w:hAnsi="Book Antiqua" w:cs="Times New Roman"/>
          <w:i/>
          <w:sz w:val="24"/>
          <w:szCs w:val="24"/>
          <w:lang w:val="sr-Latn-RS"/>
        </w:rPr>
        <w:t xml:space="preserve">P. chlamydospora </w:t>
      </w:r>
      <w:r>
        <w:rPr>
          <w:rFonts w:ascii="Book Antiqua" w:hAnsi="Book Antiqua" w:cs="Times New Roman"/>
          <w:iCs/>
          <w:sz w:val="24"/>
          <w:szCs w:val="24"/>
          <w:lang w:val="sr-Latn-RS"/>
        </w:rPr>
        <w:t>(pet izolata)</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 xml:space="preserve">D. seriata </w:t>
      </w:r>
      <w:r>
        <w:rPr>
          <w:rFonts w:ascii="Book Antiqua" w:hAnsi="Book Antiqua" w:cs="Times New Roman"/>
          <w:iCs/>
          <w:sz w:val="24"/>
          <w:szCs w:val="24"/>
          <w:lang w:val="sr-Latn-RS"/>
        </w:rPr>
        <w:t>(jedan izolat)</w:t>
      </w:r>
      <w:r>
        <w:rPr>
          <w:rFonts w:ascii="Book Antiqua" w:hAnsi="Book Antiqua" w:cs="Times New Roman"/>
          <w:sz w:val="24"/>
          <w:szCs w:val="24"/>
          <w:lang w:val="sr-Latn-RS"/>
        </w:rPr>
        <w:t xml:space="preserve">,  </w:t>
      </w:r>
      <w:r>
        <w:rPr>
          <w:rFonts w:ascii="Book Antiqua" w:hAnsi="Book Antiqua" w:cs="Times New Roman"/>
          <w:i/>
          <w:iCs/>
          <w:sz w:val="24"/>
          <w:szCs w:val="24"/>
          <w:lang w:val="sr-Latn-RS"/>
        </w:rPr>
        <w:t xml:space="preserve">B. mediterranea </w:t>
      </w:r>
      <w:r>
        <w:rPr>
          <w:rFonts w:ascii="Book Antiqua" w:hAnsi="Book Antiqua" w:cs="Times New Roman"/>
          <w:iCs/>
          <w:sz w:val="24"/>
          <w:szCs w:val="24"/>
          <w:lang w:val="sr-Latn-RS"/>
        </w:rPr>
        <w:t xml:space="preserve">(dva izolata), </w:t>
      </w:r>
      <w:r>
        <w:rPr>
          <w:rFonts w:ascii="Book Antiqua" w:hAnsi="Book Antiqua" w:cs="Times New Roman"/>
          <w:i/>
          <w:sz w:val="24"/>
          <w:szCs w:val="24"/>
          <w:lang w:val="sr-Latn-RS"/>
        </w:rPr>
        <w:t>C. luteo olivacea</w:t>
      </w:r>
      <w:r>
        <w:rPr>
          <w:rFonts w:ascii="Book Antiqua" w:hAnsi="Book Antiqua" w:cs="Times New Roman"/>
          <w:iCs/>
          <w:sz w:val="24"/>
          <w:szCs w:val="24"/>
          <w:lang w:val="sr-Latn-RS"/>
        </w:rPr>
        <w:t xml:space="preserve"> (jedan izolat), </w:t>
      </w:r>
      <w:r>
        <w:rPr>
          <w:rFonts w:ascii="Book Antiqua" w:hAnsi="Book Antiqua" w:cs="Times New Roman"/>
          <w:i/>
          <w:sz w:val="24"/>
          <w:szCs w:val="24"/>
          <w:lang w:val="sr-Latn-RS"/>
        </w:rPr>
        <w:t>D. eres</w:t>
      </w:r>
      <w:r>
        <w:rPr>
          <w:rFonts w:ascii="Book Antiqua" w:hAnsi="Book Antiqua" w:cs="Times New Roman"/>
          <w:iCs/>
          <w:sz w:val="24"/>
          <w:szCs w:val="24"/>
          <w:lang w:val="sr-Latn-RS"/>
        </w:rPr>
        <w:t xml:space="preserve"> (jedan izolat), </w:t>
      </w:r>
      <w:r>
        <w:rPr>
          <w:rFonts w:ascii="Book Antiqua" w:hAnsi="Book Antiqua" w:cs="Times New Roman"/>
          <w:i/>
          <w:sz w:val="24"/>
          <w:szCs w:val="24"/>
          <w:lang w:val="sr-Latn-RS"/>
        </w:rPr>
        <w:t>D. ampelina</w:t>
      </w:r>
      <w:r>
        <w:rPr>
          <w:rFonts w:ascii="Book Antiqua" w:hAnsi="Book Antiqua" w:cs="Times New Roman"/>
          <w:iCs/>
          <w:sz w:val="24"/>
          <w:szCs w:val="24"/>
          <w:lang w:val="sr-Latn-RS"/>
        </w:rPr>
        <w:t xml:space="preserve"> (jedan izolat).  </w:t>
      </w:r>
      <w:r>
        <w:rPr>
          <w:rFonts w:ascii="Book Antiqua" w:hAnsi="Book Antiqua" w:cs="Times New Roman"/>
          <w:sz w:val="24"/>
          <w:szCs w:val="24"/>
          <w:lang w:val="sr-Latn-RS"/>
        </w:rPr>
        <w:t xml:space="preserve">Takođe je utvrđeno prisustvo endofitne gljive </w:t>
      </w:r>
      <w:r>
        <w:rPr>
          <w:rFonts w:ascii="Book Antiqua" w:hAnsi="Book Antiqua" w:cs="Times New Roman"/>
          <w:i/>
          <w:iCs/>
          <w:sz w:val="24"/>
          <w:szCs w:val="24"/>
          <w:lang w:val="sr-Latn-RS"/>
        </w:rPr>
        <w:t xml:space="preserve">Trichoderma citrinoviride </w:t>
      </w:r>
      <w:r>
        <w:rPr>
          <w:rFonts w:ascii="Book Antiqua" w:hAnsi="Book Antiqua" w:cs="Times New Roman"/>
          <w:iCs/>
          <w:sz w:val="24"/>
          <w:szCs w:val="24"/>
          <w:lang w:val="sr-Latn-RS"/>
        </w:rPr>
        <w:t>(1 izolat)</w:t>
      </w:r>
      <w:r>
        <w:rPr>
          <w:rFonts w:ascii="Book Antiqua" w:hAnsi="Book Antiqua" w:cs="Times New Roman"/>
          <w:sz w:val="24"/>
          <w:szCs w:val="24"/>
          <w:lang w:val="sr-Latn-RS"/>
        </w:rPr>
        <w:t xml:space="preserve">. Većina preostalih </w:t>
      </w:r>
      <w:r>
        <w:rPr>
          <w:rFonts w:ascii="Book Antiqua" w:hAnsi="Book Antiqua" w:cs="Times New Roman"/>
          <w:sz w:val="24"/>
          <w:szCs w:val="24"/>
          <w:lang w:val="sr-Latn-RS"/>
        </w:rPr>
        <w:lastRenderedPageBreak/>
        <w:t xml:space="preserve">izolata je identifikovana na bazi morfoloških karakteristika, poređenjem sa prethodno identifikovanim izolatima. Izolovani i molekularno identifikovani mikroorganizmi porijeklom iz čokota sa simptomima eska oboljenja su prikazani u tabeli 17. </w:t>
      </w:r>
    </w:p>
    <w:p w14:paraId="3E844E39" w14:textId="77777777" w:rsidR="003801E8" w:rsidRDefault="00E44AAE">
      <w:pPr>
        <w:tabs>
          <w:tab w:val="left" w:pos="3315"/>
        </w:tabs>
        <w:spacing w:line="360" w:lineRule="auto"/>
        <w:jc w:val="both"/>
        <w:rPr>
          <w:rFonts w:ascii="Book Antiqua" w:hAnsi="Book Antiqua" w:cs="Times New Roman"/>
          <w:b/>
          <w:sz w:val="22"/>
          <w:szCs w:val="22"/>
          <w:lang w:val="sr-Latn-RS"/>
        </w:rPr>
      </w:pPr>
      <w:r>
        <w:rPr>
          <w:rFonts w:ascii="Book Antiqua" w:hAnsi="Book Antiqua" w:cs="Times New Roman"/>
          <w:b/>
          <w:sz w:val="22"/>
          <w:szCs w:val="22"/>
          <w:lang w:val="sr-Latn-RS"/>
        </w:rPr>
        <w:t xml:space="preserve">Tabela 17. </w:t>
      </w:r>
      <w:r>
        <w:rPr>
          <w:rFonts w:ascii="Book Antiqua" w:hAnsi="Book Antiqua" w:cs="Times New Roman"/>
          <w:bCs/>
          <w:sz w:val="22"/>
          <w:szCs w:val="22"/>
          <w:lang w:val="sr-Latn-RS"/>
        </w:rPr>
        <w:t>Molekularno identifikovani izolati gljiva iz drveta vinove loze sa simptomima eska oboljenja</w:t>
      </w:r>
    </w:p>
    <w:tbl>
      <w:tblPr>
        <w:tblStyle w:val="PlainTable210"/>
        <w:tblW w:w="8227" w:type="dxa"/>
        <w:tblLook w:val="04A0" w:firstRow="1" w:lastRow="0" w:firstColumn="1" w:lastColumn="0" w:noHBand="0" w:noVBand="1"/>
      </w:tblPr>
      <w:tblGrid>
        <w:gridCol w:w="1563"/>
        <w:gridCol w:w="1105"/>
        <w:gridCol w:w="1522"/>
        <w:gridCol w:w="1478"/>
        <w:gridCol w:w="2559"/>
      </w:tblGrid>
      <w:tr w:rsidR="003801E8" w14:paraId="61123FC3" w14:textId="77777777" w:rsidTr="003801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3" w:type="dxa"/>
          </w:tcPr>
          <w:p w14:paraId="74B9C5DB" w14:textId="77777777" w:rsidR="003801E8" w:rsidRDefault="00E44AAE">
            <w:pPr>
              <w:tabs>
                <w:tab w:val="left" w:pos="3315"/>
              </w:tabs>
              <w:spacing w:after="0" w:line="360" w:lineRule="auto"/>
              <w:jc w:val="center"/>
              <w:rPr>
                <w:rFonts w:ascii="Book Antiqua" w:hAnsi="Book Antiqua" w:cs="Times New Roman"/>
                <w:bCs w:val="0"/>
                <w:sz w:val="18"/>
                <w:szCs w:val="18"/>
                <w:lang w:val="sr-Latn-RS"/>
              </w:rPr>
            </w:pPr>
            <w:r>
              <w:rPr>
                <w:rFonts w:ascii="Book Antiqua" w:hAnsi="Book Antiqua" w:cs="Times New Roman"/>
                <w:sz w:val="18"/>
                <w:szCs w:val="18"/>
              </w:rPr>
              <w:t>Sorta</w:t>
            </w:r>
          </w:p>
        </w:tc>
        <w:tc>
          <w:tcPr>
            <w:tcW w:w="1105" w:type="dxa"/>
          </w:tcPr>
          <w:p w14:paraId="15E86B02" w14:textId="77777777" w:rsidR="003801E8" w:rsidRDefault="00E44AAE">
            <w:pPr>
              <w:tabs>
                <w:tab w:val="left" w:pos="3315"/>
              </w:tabs>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bCs w:val="0"/>
                <w:sz w:val="18"/>
                <w:szCs w:val="18"/>
                <w:lang w:val="sr-Latn-RS"/>
              </w:rPr>
            </w:pPr>
            <w:r>
              <w:rPr>
                <w:rFonts w:ascii="Book Antiqua" w:hAnsi="Book Antiqua" w:cs="Times New Roman"/>
                <w:sz w:val="18"/>
                <w:szCs w:val="18"/>
              </w:rPr>
              <w:t>Starost</w:t>
            </w:r>
          </w:p>
        </w:tc>
        <w:tc>
          <w:tcPr>
            <w:tcW w:w="1522" w:type="dxa"/>
          </w:tcPr>
          <w:p w14:paraId="105DD65D" w14:textId="77777777" w:rsidR="003801E8" w:rsidRDefault="00E44AAE">
            <w:pPr>
              <w:tabs>
                <w:tab w:val="left" w:pos="3315"/>
              </w:tabs>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bCs w:val="0"/>
                <w:sz w:val="18"/>
                <w:szCs w:val="18"/>
                <w:lang w:val="sr-Latn-RS"/>
              </w:rPr>
            </w:pPr>
            <w:r>
              <w:rPr>
                <w:rFonts w:ascii="Book Antiqua" w:hAnsi="Book Antiqua" w:cs="Times New Roman"/>
                <w:sz w:val="18"/>
                <w:szCs w:val="18"/>
              </w:rPr>
              <w:t>Lokalitet</w:t>
            </w:r>
          </w:p>
        </w:tc>
        <w:tc>
          <w:tcPr>
            <w:tcW w:w="1478" w:type="dxa"/>
          </w:tcPr>
          <w:p w14:paraId="7AF56ED2" w14:textId="77777777" w:rsidR="003801E8" w:rsidRDefault="00E44AAE">
            <w:pPr>
              <w:tabs>
                <w:tab w:val="left" w:pos="3315"/>
              </w:tabs>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b w:val="0"/>
                <w:sz w:val="18"/>
                <w:szCs w:val="18"/>
                <w:lang w:val="sr-Latn-RS"/>
              </w:rPr>
            </w:pPr>
            <w:r>
              <w:rPr>
                <w:rFonts w:ascii="Book Antiqua" w:hAnsi="Book Antiqua" w:cs="Times New Roman"/>
                <w:bCs w:val="0"/>
                <w:sz w:val="18"/>
                <w:szCs w:val="18"/>
              </w:rPr>
              <w:t>Identifikacija</w:t>
            </w:r>
          </w:p>
        </w:tc>
        <w:tc>
          <w:tcPr>
            <w:tcW w:w="2559" w:type="dxa"/>
          </w:tcPr>
          <w:p w14:paraId="34A9619B" w14:textId="77777777" w:rsidR="003801E8" w:rsidRDefault="00E44AAE">
            <w:pPr>
              <w:tabs>
                <w:tab w:val="left" w:pos="3315"/>
              </w:tabs>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bCs w:val="0"/>
                <w:sz w:val="18"/>
                <w:szCs w:val="18"/>
                <w:lang w:val="sr-Latn-RS"/>
              </w:rPr>
            </w:pPr>
            <w:r>
              <w:rPr>
                <w:rFonts w:ascii="Book Antiqua" w:hAnsi="Book Antiqua" w:cs="Times New Roman"/>
                <w:sz w:val="18"/>
                <w:szCs w:val="18"/>
              </w:rPr>
              <w:t>Identifikovani patogen</w:t>
            </w:r>
          </w:p>
        </w:tc>
      </w:tr>
      <w:tr w:rsidR="003801E8" w14:paraId="6E7BB11F"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14250E7C" w14:textId="77777777" w:rsidR="003801E8" w:rsidRDefault="00E44AAE">
            <w:pPr>
              <w:tabs>
                <w:tab w:val="left" w:pos="3315"/>
              </w:tabs>
              <w:spacing w:after="0" w:line="360" w:lineRule="auto"/>
              <w:rPr>
                <w:rFonts w:ascii="Book Antiqua" w:hAnsi="Book Antiqua" w:cs="Times New Roman"/>
                <w:b w:val="0"/>
                <w:bCs w:val="0"/>
                <w:sz w:val="18"/>
                <w:szCs w:val="18"/>
                <w:lang w:val="sr-Latn-RS"/>
              </w:rPr>
            </w:pPr>
            <w:r>
              <w:rPr>
                <w:rFonts w:ascii="Book Antiqua" w:hAnsi="Book Antiqua" w:cs="Times New Roman"/>
                <w:sz w:val="18"/>
                <w:szCs w:val="18"/>
              </w:rPr>
              <w:t>Vranac</w:t>
            </w:r>
          </w:p>
        </w:tc>
        <w:tc>
          <w:tcPr>
            <w:tcW w:w="1105" w:type="dxa"/>
            <w:tcBorders>
              <w:top w:val="single" w:sz="4" w:space="0" w:color="7F7F7F" w:themeColor="text1" w:themeTint="80"/>
              <w:bottom w:val="single" w:sz="4" w:space="0" w:color="7F7F7F" w:themeColor="text1" w:themeTint="80"/>
            </w:tcBorders>
          </w:tcPr>
          <w:p w14:paraId="6CA95B13"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20</w:t>
            </w:r>
          </w:p>
        </w:tc>
        <w:tc>
          <w:tcPr>
            <w:tcW w:w="1522" w:type="dxa"/>
            <w:tcBorders>
              <w:top w:val="single" w:sz="4" w:space="0" w:color="7F7F7F" w:themeColor="text1" w:themeTint="80"/>
              <w:bottom w:val="single" w:sz="4" w:space="0" w:color="7F7F7F" w:themeColor="text1" w:themeTint="80"/>
            </w:tcBorders>
          </w:tcPr>
          <w:p w14:paraId="3817D24D"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Lješkopolje</w:t>
            </w:r>
          </w:p>
        </w:tc>
        <w:tc>
          <w:tcPr>
            <w:tcW w:w="1478" w:type="dxa"/>
            <w:tcBorders>
              <w:top w:val="single" w:sz="4" w:space="0" w:color="7F7F7F" w:themeColor="text1" w:themeTint="80"/>
              <w:bottom w:val="single" w:sz="4" w:space="0" w:color="7F7F7F" w:themeColor="text1" w:themeTint="80"/>
            </w:tcBorders>
          </w:tcPr>
          <w:p w14:paraId="04EBAB1E"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60105AE3"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i/>
                <w:sz w:val="18"/>
                <w:szCs w:val="18"/>
              </w:rPr>
              <w:t>F. mediterranea</w:t>
            </w:r>
          </w:p>
        </w:tc>
      </w:tr>
      <w:tr w:rsidR="003801E8" w14:paraId="112A4385" w14:textId="77777777" w:rsidTr="003801E8">
        <w:tc>
          <w:tcPr>
            <w:cnfStyle w:val="001000000000" w:firstRow="0" w:lastRow="0" w:firstColumn="1" w:lastColumn="0" w:oddVBand="0" w:evenVBand="0" w:oddHBand="0" w:evenHBand="0" w:firstRowFirstColumn="0" w:firstRowLastColumn="0" w:lastRowFirstColumn="0" w:lastRowLastColumn="0"/>
            <w:tcW w:w="1563" w:type="dxa"/>
          </w:tcPr>
          <w:p w14:paraId="1A46D95E" w14:textId="77777777" w:rsidR="003801E8" w:rsidRDefault="00E44AAE">
            <w:pPr>
              <w:tabs>
                <w:tab w:val="left" w:pos="3315"/>
              </w:tabs>
              <w:spacing w:after="0" w:line="360" w:lineRule="auto"/>
              <w:rPr>
                <w:rFonts w:ascii="Book Antiqua" w:hAnsi="Book Antiqua" w:cs="Times New Roman"/>
                <w:b w:val="0"/>
                <w:bCs w:val="0"/>
                <w:sz w:val="18"/>
                <w:szCs w:val="18"/>
                <w:lang w:val="sr-Latn-RS"/>
              </w:rPr>
            </w:pPr>
            <w:r>
              <w:rPr>
                <w:rFonts w:ascii="Book Antiqua" w:hAnsi="Book Antiqua" w:cs="Times New Roman"/>
                <w:sz w:val="18"/>
                <w:szCs w:val="18"/>
              </w:rPr>
              <w:t>Vranac</w:t>
            </w:r>
          </w:p>
        </w:tc>
        <w:tc>
          <w:tcPr>
            <w:tcW w:w="1105" w:type="dxa"/>
          </w:tcPr>
          <w:p w14:paraId="2B0D9C3A"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15</w:t>
            </w:r>
          </w:p>
        </w:tc>
        <w:tc>
          <w:tcPr>
            <w:tcW w:w="1522" w:type="dxa"/>
          </w:tcPr>
          <w:p w14:paraId="442F35EF"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Nudo</w:t>
            </w:r>
          </w:p>
        </w:tc>
        <w:tc>
          <w:tcPr>
            <w:tcW w:w="1478" w:type="dxa"/>
          </w:tcPr>
          <w:p w14:paraId="6234FBFF"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PCR</w:t>
            </w:r>
          </w:p>
        </w:tc>
        <w:tc>
          <w:tcPr>
            <w:tcW w:w="2559" w:type="dxa"/>
          </w:tcPr>
          <w:p w14:paraId="25B44E3D"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i/>
                <w:sz w:val="18"/>
                <w:szCs w:val="18"/>
              </w:rPr>
              <w:t xml:space="preserve">F. mediterranea </w:t>
            </w:r>
          </w:p>
        </w:tc>
      </w:tr>
      <w:tr w:rsidR="003801E8" w14:paraId="1B601A6B"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1D6CF220"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Vranac</w:t>
            </w:r>
          </w:p>
        </w:tc>
        <w:tc>
          <w:tcPr>
            <w:tcW w:w="1105" w:type="dxa"/>
            <w:tcBorders>
              <w:top w:val="single" w:sz="4" w:space="0" w:color="7F7F7F" w:themeColor="text1" w:themeTint="80"/>
              <w:bottom w:val="single" w:sz="4" w:space="0" w:color="7F7F7F" w:themeColor="text1" w:themeTint="80"/>
            </w:tcBorders>
          </w:tcPr>
          <w:p w14:paraId="779180ED"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c>
          <w:tcPr>
            <w:tcW w:w="1522" w:type="dxa"/>
            <w:tcBorders>
              <w:top w:val="single" w:sz="4" w:space="0" w:color="7F7F7F" w:themeColor="text1" w:themeTint="80"/>
              <w:bottom w:val="single" w:sz="4" w:space="0" w:color="7F7F7F" w:themeColor="text1" w:themeTint="80"/>
            </w:tcBorders>
          </w:tcPr>
          <w:p w14:paraId="240BF2FE"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Nudo</w:t>
            </w:r>
          </w:p>
        </w:tc>
        <w:tc>
          <w:tcPr>
            <w:tcW w:w="1478" w:type="dxa"/>
            <w:tcBorders>
              <w:top w:val="single" w:sz="4" w:space="0" w:color="7F7F7F" w:themeColor="text1" w:themeTint="80"/>
              <w:bottom w:val="single" w:sz="4" w:space="0" w:color="7F7F7F" w:themeColor="text1" w:themeTint="80"/>
            </w:tcBorders>
          </w:tcPr>
          <w:p w14:paraId="7975CD84"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375A3997"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 xml:space="preserve">F. mediterranea </w:t>
            </w:r>
          </w:p>
        </w:tc>
      </w:tr>
      <w:tr w:rsidR="003801E8" w14:paraId="136D24C4" w14:textId="77777777" w:rsidTr="003801E8">
        <w:tc>
          <w:tcPr>
            <w:cnfStyle w:val="001000000000" w:firstRow="0" w:lastRow="0" w:firstColumn="1" w:lastColumn="0" w:oddVBand="0" w:evenVBand="0" w:oddHBand="0" w:evenHBand="0" w:firstRowFirstColumn="0" w:firstRowLastColumn="0" w:lastRowFirstColumn="0" w:lastRowLastColumn="0"/>
            <w:tcW w:w="1563" w:type="dxa"/>
          </w:tcPr>
          <w:p w14:paraId="50E23610" w14:textId="77777777" w:rsidR="003801E8" w:rsidRDefault="00E44AAE">
            <w:pPr>
              <w:tabs>
                <w:tab w:val="left" w:pos="3315"/>
              </w:tabs>
              <w:spacing w:after="0" w:line="360" w:lineRule="auto"/>
              <w:rPr>
                <w:rFonts w:ascii="Book Antiqua" w:hAnsi="Book Antiqua" w:cs="Times New Roman"/>
                <w:b w:val="0"/>
                <w:bCs w:val="0"/>
                <w:sz w:val="18"/>
                <w:szCs w:val="18"/>
                <w:lang w:val="sr-Latn-RS"/>
              </w:rPr>
            </w:pPr>
            <w:r>
              <w:rPr>
                <w:rFonts w:ascii="Book Antiqua" w:hAnsi="Book Antiqua" w:cs="Times New Roman"/>
                <w:sz w:val="18"/>
                <w:szCs w:val="18"/>
              </w:rPr>
              <w:t xml:space="preserve">Ribijer </w:t>
            </w:r>
          </w:p>
        </w:tc>
        <w:tc>
          <w:tcPr>
            <w:tcW w:w="1105" w:type="dxa"/>
          </w:tcPr>
          <w:p w14:paraId="1140F0B0"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30</w:t>
            </w:r>
          </w:p>
        </w:tc>
        <w:tc>
          <w:tcPr>
            <w:tcW w:w="1522" w:type="dxa"/>
          </w:tcPr>
          <w:p w14:paraId="035E407F"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Sige</w:t>
            </w:r>
          </w:p>
        </w:tc>
        <w:tc>
          <w:tcPr>
            <w:tcW w:w="1478" w:type="dxa"/>
          </w:tcPr>
          <w:p w14:paraId="51DCF039"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PCR</w:t>
            </w:r>
          </w:p>
        </w:tc>
        <w:tc>
          <w:tcPr>
            <w:tcW w:w="2559" w:type="dxa"/>
          </w:tcPr>
          <w:p w14:paraId="23F89B5E"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i/>
                <w:sz w:val="18"/>
                <w:szCs w:val="18"/>
              </w:rPr>
              <w:t>P. minimum</w:t>
            </w:r>
          </w:p>
        </w:tc>
      </w:tr>
      <w:tr w:rsidR="003801E8" w14:paraId="63BE08E4"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5D282ED8" w14:textId="77777777" w:rsidR="003801E8" w:rsidRDefault="00E44AAE">
            <w:pPr>
              <w:tabs>
                <w:tab w:val="left" w:pos="3315"/>
              </w:tabs>
              <w:spacing w:after="0" w:line="360" w:lineRule="auto"/>
              <w:rPr>
                <w:rFonts w:ascii="Book Antiqua" w:hAnsi="Book Antiqua" w:cs="Times New Roman"/>
                <w:b w:val="0"/>
                <w:bCs w:val="0"/>
                <w:sz w:val="18"/>
                <w:szCs w:val="18"/>
                <w:lang w:val="sr-Latn-RS"/>
              </w:rPr>
            </w:pPr>
            <w:r>
              <w:rPr>
                <w:rFonts w:ascii="Book Antiqua" w:hAnsi="Book Antiqua" w:cs="Times New Roman"/>
                <w:sz w:val="18"/>
                <w:szCs w:val="18"/>
              </w:rPr>
              <w:t>Vranac</w:t>
            </w:r>
          </w:p>
        </w:tc>
        <w:tc>
          <w:tcPr>
            <w:tcW w:w="1105" w:type="dxa"/>
            <w:tcBorders>
              <w:top w:val="single" w:sz="4" w:space="0" w:color="7F7F7F" w:themeColor="text1" w:themeTint="80"/>
              <w:bottom w:val="single" w:sz="4" w:space="0" w:color="7F7F7F" w:themeColor="text1" w:themeTint="80"/>
            </w:tcBorders>
          </w:tcPr>
          <w:p w14:paraId="699A04C9"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20</w:t>
            </w:r>
          </w:p>
        </w:tc>
        <w:tc>
          <w:tcPr>
            <w:tcW w:w="1522" w:type="dxa"/>
            <w:tcBorders>
              <w:top w:val="single" w:sz="4" w:space="0" w:color="7F7F7F" w:themeColor="text1" w:themeTint="80"/>
              <w:bottom w:val="single" w:sz="4" w:space="0" w:color="7F7F7F" w:themeColor="text1" w:themeTint="80"/>
            </w:tcBorders>
          </w:tcPr>
          <w:p w14:paraId="54B67793"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Lješkopolje</w:t>
            </w:r>
          </w:p>
        </w:tc>
        <w:tc>
          <w:tcPr>
            <w:tcW w:w="1478" w:type="dxa"/>
            <w:tcBorders>
              <w:top w:val="single" w:sz="4" w:space="0" w:color="7F7F7F" w:themeColor="text1" w:themeTint="80"/>
              <w:bottom w:val="single" w:sz="4" w:space="0" w:color="7F7F7F" w:themeColor="text1" w:themeTint="80"/>
            </w:tcBorders>
          </w:tcPr>
          <w:p w14:paraId="77161319"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24E797FA"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i/>
                <w:sz w:val="18"/>
                <w:szCs w:val="18"/>
              </w:rPr>
              <w:t xml:space="preserve">P. minimum </w:t>
            </w:r>
          </w:p>
        </w:tc>
      </w:tr>
      <w:tr w:rsidR="003801E8" w14:paraId="320F5415" w14:textId="77777777" w:rsidTr="003801E8">
        <w:tc>
          <w:tcPr>
            <w:cnfStyle w:val="001000000000" w:firstRow="0" w:lastRow="0" w:firstColumn="1" w:lastColumn="0" w:oddVBand="0" w:evenVBand="0" w:oddHBand="0" w:evenHBand="0" w:firstRowFirstColumn="0" w:firstRowLastColumn="0" w:lastRowFirstColumn="0" w:lastRowLastColumn="0"/>
            <w:tcW w:w="1563" w:type="dxa"/>
          </w:tcPr>
          <w:p w14:paraId="0C680014" w14:textId="77777777" w:rsidR="003801E8" w:rsidRDefault="00E44AAE">
            <w:pPr>
              <w:tabs>
                <w:tab w:val="left" w:pos="3315"/>
              </w:tabs>
              <w:spacing w:after="0" w:line="360" w:lineRule="auto"/>
              <w:rPr>
                <w:rFonts w:ascii="Book Antiqua" w:hAnsi="Book Antiqua" w:cs="Times New Roman"/>
                <w:b w:val="0"/>
                <w:bCs w:val="0"/>
                <w:sz w:val="18"/>
                <w:szCs w:val="18"/>
                <w:lang w:val="sr-Latn-RS"/>
              </w:rPr>
            </w:pPr>
            <w:r>
              <w:rPr>
                <w:rFonts w:ascii="Book Antiqua" w:hAnsi="Book Antiqua" w:cs="Times New Roman"/>
                <w:sz w:val="18"/>
                <w:szCs w:val="18"/>
              </w:rPr>
              <w:t>Vranac</w:t>
            </w:r>
          </w:p>
        </w:tc>
        <w:tc>
          <w:tcPr>
            <w:tcW w:w="1105" w:type="dxa"/>
          </w:tcPr>
          <w:p w14:paraId="0CD7AC4D"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20</w:t>
            </w:r>
          </w:p>
        </w:tc>
        <w:tc>
          <w:tcPr>
            <w:tcW w:w="1522" w:type="dxa"/>
          </w:tcPr>
          <w:p w14:paraId="48F9BFD1"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Balabani</w:t>
            </w:r>
          </w:p>
        </w:tc>
        <w:tc>
          <w:tcPr>
            <w:tcW w:w="1478" w:type="dxa"/>
          </w:tcPr>
          <w:p w14:paraId="30409775"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PCR</w:t>
            </w:r>
          </w:p>
        </w:tc>
        <w:tc>
          <w:tcPr>
            <w:tcW w:w="2559" w:type="dxa"/>
          </w:tcPr>
          <w:p w14:paraId="38FF37E0"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i/>
                <w:sz w:val="18"/>
                <w:szCs w:val="18"/>
              </w:rPr>
              <w:t xml:space="preserve">P. minimum </w:t>
            </w:r>
          </w:p>
        </w:tc>
      </w:tr>
      <w:tr w:rsidR="003801E8" w14:paraId="27560E3D"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11197CF4" w14:textId="77777777" w:rsidR="003801E8" w:rsidRDefault="00E44AAE">
            <w:pPr>
              <w:tabs>
                <w:tab w:val="left" w:pos="3315"/>
              </w:tabs>
              <w:spacing w:after="0" w:line="360" w:lineRule="auto"/>
              <w:rPr>
                <w:rFonts w:ascii="Book Antiqua" w:hAnsi="Book Antiqua" w:cs="Times New Roman"/>
                <w:b w:val="0"/>
                <w:bCs w:val="0"/>
                <w:sz w:val="18"/>
                <w:szCs w:val="18"/>
                <w:lang w:val="sr-Latn-RS"/>
              </w:rPr>
            </w:pPr>
            <w:r>
              <w:rPr>
                <w:rFonts w:ascii="Book Antiqua" w:hAnsi="Book Antiqua" w:cs="Times New Roman"/>
                <w:sz w:val="18"/>
                <w:szCs w:val="18"/>
              </w:rPr>
              <w:t xml:space="preserve">Ribijer </w:t>
            </w:r>
          </w:p>
        </w:tc>
        <w:tc>
          <w:tcPr>
            <w:tcW w:w="1105" w:type="dxa"/>
            <w:tcBorders>
              <w:top w:val="single" w:sz="4" w:space="0" w:color="7F7F7F" w:themeColor="text1" w:themeTint="80"/>
              <w:bottom w:val="single" w:sz="4" w:space="0" w:color="7F7F7F" w:themeColor="text1" w:themeTint="80"/>
            </w:tcBorders>
          </w:tcPr>
          <w:p w14:paraId="19DB4F85"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25</w:t>
            </w:r>
          </w:p>
        </w:tc>
        <w:tc>
          <w:tcPr>
            <w:tcW w:w="1522" w:type="dxa"/>
            <w:tcBorders>
              <w:top w:val="single" w:sz="4" w:space="0" w:color="7F7F7F" w:themeColor="text1" w:themeTint="80"/>
              <w:bottom w:val="single" w:sz="4" w:space="0" w:color="7F7F7F" w:themeColor="text1" w:themeTint="80"/>
            </w:tcBorders>
          </w:tcPr>
          <w:p w14:paraId="0D86619C"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 xml:space="preserve">Donja Gorica </w:t>
            </w:r>
          </w:p>
        </w:tc>
        <w:tc>
          <w:tcPr>
            <w:tcW w:w="1478" w:type="dxa"/>
            <w:tcBorders>
              <w:top w:val="single" w:sz="4" w:space="0" w:color="7F7F7F" w:themeColor="text1" w:themeTint="80"/>
              <w:bottom w:val="single" w:sz="4" w:space="0" w:color="7F7F7F" w:themeColor="text1" w:themeTint="80"/>
            </w:tcBorders>
          </w:tcPr>
          <w:p w14:paraId="775B4B4D"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0464BA91"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i/>
                <w:sz w:val="18"/>
                <w:szCs w:val="18"/>
              </w:rPr>
              <w:t xml:space="preserve">P. minimum </w:t>
            </w:r>
          </w:p>
        </w:tc>
      </w:tr>
      <w:tr w:rsidR="003801E8" w14:paraId="6ED8D93D" w14:textId="77777777" w:rsidTr="003801E8">
        <w:tc>
          <w:tcPr>
            <w:cnfStyle w:val="001000000000" w:firstRow="0" w:lastRow="0" w:firstColumn="1" w:lastColumn="0" w:oddVBand="0" w:evenVBand="0" w:oddHBand="0" w:evenHBand="0" w:firstRowFirstColumn="0" w:firstRowLastColumn="0" w:lastRowFirstColumn="0" w:lastRowLastColumn="0"/>
            <w:tcW w:w="1563" w:type="dxa"/>
          </w:tcPr>
          <w:p w14:paraId="2B6D1187" w14:textId="77777777" w:rsidR="003801E8" w:rsidRDefault="00E44AAE">
            <w:pPr>
              <w:tabs>
                <w:tab w:val="left" w:pos="3315"/>
              </w:tabs>
              <w:spacing w:after="0" w:line="360" w:lineRule="auto"/>
              <w:rPr>
                <w:rFonts w:ascii="Book Antiqua" w:hAnsi="Book Antiqua" w:cs="Times New Roman"/>
                <w:b w:val="0"/>
                <w:bCs w:val="0"/>
                <w:sz w:val="18"/>
                <w:szCs w:val="18"/>
                <w:lang w:val="sr-Latn-RS"/>
              </w:rPr>
            </w:pPr>
            <w:r>
              <w:rPr>
                <w:rFonts w:ascii="Book Antiqua" w:hAnsi="Book Antiqua" w:cs="Times New Roman"/>
                <w:sz w:val="18"/>
                <w:szCs w:val="18"/>
              </w:rPr>
              <w:t>Vranac</w:t>
            </w:r>
          </w:p>
        </w:tc>
        <w:tc>
          <w:tcPr>
            <w:tcW w:w="1105" w:type="dxa"/>
          </w:tcPr>
          <w:p w14:paraId="124639F1"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15</w:t>
            </w:r>
          </w:p>
        </w:tc>
        <w:tc>
          <w:tcPr>
            <w:tcW w:w="1522" w:type="dxa"/>
          </w:tcPr>
          <w:p w14:paraId="2B299A7C"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Nudo</w:t>
            </w:r>
          </w:p>
        </w:tc>
        <w:tc>
          <w:tcPr>
            <w:tcW w:w="1478" w:type="dxa"/>
          </w:tcPr>
          <w:p w14:paraId="761848E8"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sz w:val="18"/>
                <w:szCs w:val="18"/>
              </w:rPr>
              <w:t>PCR</w:t>
            </w:r>
          </w:p>
        </w:tc>
        <w:tc>
          <w:tcPr>
            <w:tcW w:w="2559" w:type="dxa"/>
          </w:tcPr>
          <w:p w14:paraId="1CB1DF86"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lang w:val="sr-Latn-RS"/>
              </w:rPr>
            </w:pPr>
            <w:r>
              <w:rPr>
                <w:rFonts w:ascii="Book Antiqua" w:hAnsi="Book Antiqua" w:cs="Times New Roman"/>
                <w:i/>
                <w:sz w:val="18"/>
                <w:szCs w:val="18"/>
              </w:rPr>
              <w:t xml:space="preserve">P. minimum </w:t>
            </w:r>
          </w:p>
        </w:tc>
      </w:tr>
      <w:tr w:rsidR="003801E8" w14:paraId="00562AEF"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1012F6E5"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Moldava</w:t>
            </w:r>
          </w:p>
        </w:tc>
        <w:tc>
          <w:tcPr>
            <w:tcW w:w="1105" w:type="dxa"/>
            <w:tcBorders>
              <w:top w:val="single" w:sz="4" w:space="0" w:color="7F7F7F" w:themeColor="text1" w:themeTint="80"/>
              <w:bottom w:val="single" w:sz="4" w:space="0" w:color="7F7F7F" w:themeColor="text1" w:themeTint="80"/>
            </w:tcBorders>
          </w:tcPr>
          <w:p w14:paraId="42965AE0"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30</w:t>
            </w:r>
          </w:p>
        </w:tc>
        <w:tc>
          <w:tcPr>
            <w:tcW w:w="1522" w:type="dxa"/>
            <w:tcBorders>
              <w:top w:val="single" w:sz="4" w:space="0" w:color="7F7F7F" w:themeColor="text1" w:themeTint="80"/>
              <w:bottom w:val="single" w:sz="4" w:space="0" w:color="7F7F7F" w:themeColor="text1" w:themeTint="80"/>
            </w:tcBorders>
          </w:tcPr>
          <w:p w14:paraId="1D29193F"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Straševina</w:t>
            </w:r>
          </w:p>
        </w:tc>
        <w:tc>
          <w:tcPr>
            <w:tcW w:w="1478" w:type="dxa"/>
            <w:tcBorders>
              <w:top w:val="single" w:sz="4" w:space="0" w:color="7F7F7F" w:themeColor="text1" w:themeTint="80"/>
              <w:bottom w:val="single" w:sz="4" w:space="0" w:color="7F7F7F" w:themeColor="text1" w:themeTint="80"/>
            </w:tcBorders>
          </w:tcPr>
          <w:p w14:paraId="4CBA3F82"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20232BDB"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 xml:space="preserve">P. minimum </w:t>
            </w:r>
          </w:p>
        </w:tc>
      </w:tr>
      <w:tr w:rsidR="003801E8" w14:paraId="4288514C" w14:textId="77777777" w:rsidTr="003801E8">
        <w:tc>
          <w:tcPr>
            <w:cnfStyle w:val="001000000000" w:firstRow="0" w:lastRow="0" w:firstColumn="1" w:lastColumn="0" w:oddVBand="0" w:evenVBand="0" w:oddHBand="0" w:evenHBand="0" w:firstRowFirstColumn="0" w:firstRowLastColumn="0" w:lastRowFirstColumn="0" w:lastRowLastColumn="0"/>
            <w:tcW w:w="1563" w:type="dxa"/>
          </w:tcPr>
          <w:p w14:paraId="04B9B30C"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Merlot</w:t>
            </w:r>
          </w:p>
        </w:tc>
        <w:tc>
          <w:tcPr>
            <w:tcW w:w="1105" w:type="dxa"/>
          </w:tcPr>
          <w:p w14:paraId="63168AE2"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1522" w:type="dxa"/>
          </w:tcPr>
          <w:p w14:paraId="72DAD8CD"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Savina</w:t>
            </w:r>
          </w:p>
        </w:tc>
        <w:tc>
          <w:tcPr>
            <w:tcW w:w="1478" w:type="dxa"/>
          </w:tcPr>
          <w:p w14:paraId="50BC1C38"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Pr>
          <w:p w14:paraId="5B9371F9"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P. minimum</w:t>
            </w:r>
          </w:p>
        </w:tc>
      </w:tr>
      <w:tr w:rsidR="003801E8" w14:paraId="361BA0B3"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02A3A369"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Ribijer</w:t>
            </w:r>
          </w:p>
        </w:tc>
        <w:tc>
          <w:tcPr>
            <w:tcW w:w="1105" w:type="dxa"/>
            <w:tcBorders>
              <w:top w:val="single" w:sz="4" w:space="0" w:color="7F7F7F" w:themeColor="text1" w:themeTint="80"/>
              <w:bottom w:val="single" w:sz="4" w:space="0" w:color="7F7F7F" w:themeColor="text1" w:themeTint="80"/>
            </w:tcBorders>
          </w:tcPr>
          <w:p w14:paraId="5AC09B9B"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12</w:t>
            </w:r>
          </w:p>
        </w:tc>
        <w:tc>
          <w:tcPr>
            <w:tcW w:w="1522" w:type="dxa"/>
            <w:tcBorders>
              <w:top w:val="single" w:sz="4" w:space="0" w:color="7F7F7F" w:themeColor="text1" w:themeTint="80"/>
              <w:bottom w:val="single" w:sz="4" w:space="0" w:color="7F7F7F" w:themeColor="text1" w:themeTint="80"/>
            </w:tcBorders>
          </w:tcPr>
          <w:p w14:paraId="2A1E6673"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Golubovci</w:t>
            </w:r>
          </w:p>
        </w:tc>
        <w:tc>
          <w:tcPr>
            <w:tcW w:w="1478" w:type="dxa"/>
            <w:tcBorders>
              <w:top w:val="single" w:sz="4" w:space="0" w:color="7F7F7F" w:themeColor="text1" w:themeTint="80"/>
              <w:bottom w:val="single" w:sz="4" w:space="0" w:color="7F7F7F" w:themeColor="text1" w:themeTint="80"/>
            </w:tcBorders>
          </w:tcPr>
          <w:p w14:paraId="6B4D0BC9"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05CA1F33"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P. minimum</w:t>
            </w:r>
          </w:p>
        </w:tc>
      </w:tr>
      <w:tr w:rsidR="003801E8" w14:paraId="40240715" w14:textId="77777777" w:rsidTr="003801E8">
        <w:tc>
          <w:tcPr>
            <w:cnfStyle w:val="001000000000" w:firstRow="0" w:lastRow="0" w:firstColumn="1" w:lastColumn="0" w:oddVBand="0" w:evenVBand="0" w:oddHBand="0" w:evenHBand="0" w:firstRowFirstColumn="0" w:firstRowLastColumn="0" w:lastRowFirstColumn="0" w:lastRowLastColumn="0"/>
            <w:tcW w:w="1563" w:type="dxa"/>
          </w:tcPr>
          <w:p w14:paraId="5CF0BD34"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 xml:space="preserve">Ribijer </w:t>
            </w:r>
          </w:p>
        </w:tc>
        <w:tc>
          <w:tcPr>
            <w:tcW w:w="1105" w:type="dxa"/>
          </w:tcPr>
          <w:p w14:paraId="1A976D5A"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30</w:t>
            </w:r>
          </w:p>
        </w:tc>
        <w:tc>
          <w:tcPr>
            <w:tcW w:w="1522" w:type="dxa"/>
          </w:tcPr>
          <w:p w14:paraId="3E4ADA08"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Sige</w:t>
            </w:r>
          </w:p>
        </w:tc>
        <w:tc>
          <w:tcPr>
            <w:tcW w:w="1478" w:type="dxa"/>
          </w:tcPr>
          <w:p w14:paraId="589B318F"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Pr>
          <w:p w14:paraId="54C90DD2"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P. chlamydospora</w:t>
            </w:r>
          </w:p>
        </w:tc>
      </w:tr>
      <w:tr w:rsidR="003801E8" w14:paraId="32B439E9"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413089A5"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Merlot</w:t>
            </w:r>
          </w:p>
        </w:tc>
        <w:tc>
          <w:tcPr>
            <w:tcW w:w="1105" w:type="dxa"/>
            <w:tcBorders>
              <w:top w:val="single" w:sz="4" w:space="0" w:color="7F7F7F" w:themeColor="text1" w:themeTint="80"/>
              <w:bottom w:val="single" w:sz="4" w:space="0" w:color="7F7F7F" w:themeColor="text1" w:themeTint="80"/>
            </w:tcBorders>
          </w:tcPr>
          <w:p w14:paraId="7E1D50AF"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1522" w:type="dxa"/>
            <w:tcBorders>
              <w:top w:val="single" w:sz="4" w:space="0" w:color="7F7F7F" w:themeColor="text1" w:themeTint="80"/>
              <w:bottom w:val="single" w:sz="4" w:space="0" w:color="7F7F7F" w:themeColor="text1" w:themeTint="80"/>
            </w:tcBorders>
          </w:tcPr>
          <w:p w14:paraId="45AD504C"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Savina</w:t>
            </w:r>
          </w:p>
        </w:tc>
        <w:tc>
          <w:tcPr>
            <w:tcW w:w="1478" w:type="dxa"/>
            <w:tcBorders>
              <w:top w:val="single" w:sz="4" w:space="0" w:color="7F7F7F" w:themeColor="text1" w:themeTint="80"/>
              <w:bottom w:val="single" w:sz="4" w:space="0" w:color="7F7F7F" w:themeColor="text1" w:themeTint="80"/>
            </w:tcBorders>
          </w:tcPr>
          <w:p w14:paraId="24EE3DDE"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62C82159"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 xml:space="preserve">F. mediterranea </w:t>
            </w:r>
          </w:p>
        </w:tc>
      </w:tr>
      <w:tr w:rsidR="003801E8" w14:paraId="244F9F95" w14:textId="77777777" w:rsidTr="003801E8">
        <w:tc>
          <w:tcPr>
            <w:cnfStyle w:val="001000000000" w:firstRow="0" w:lastRow="0" w:firstColumn="1" w:lastColumn="0" w:oddVBand="0" w:evenVBand="0" w:oddHBand="0" w:evenHBand="0" w:firstRowFirstColumn="0" w:firstRowLastColumn="0" w:lastRowFirstColumn="0" w:lastRowLastColumn="0"/>
            <w:tcW w:w="1563" w:type="dxa"/>
          </w:tcPr>
          <w:p w14:paraId="471E6CAC"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Merlot</w:t>
            </w:r>
          </w:p>
        </w:tc>
        <w:tc>
          <w:tcPr>
            <w:tcW w:w="1105" w:type="dxa"/>
          </w:tcPr>
          <w:p w14:paraId="753BD1D5"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1522" w:type="dxa"/>
          </w:tcPr>
          <w:p w14:paraId="12EDBFEF"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Savina</w:t>
            </w:r>
          </w:p>
        </w:tc>
        <w:tc>
          <w:tcPr>
            <w:tcW w:w="1478" w:type="dxa"/>
          </w:tcPr>
          <w:p w14:paraId="45E8E880"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Pr>
          <w:p w14:paraId="132C4494"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P. chlamydospora</w:t>
            </w:r>
          </w:p>
        </w:tc>
      </w:tr>
      <w:tr w:rsidR="003801E8" w14:paraId="2B40909E"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1DA9EB5A"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Vranac</w:t>
            </w:r>
          </w:p>
        </w:tc>
        <w:tc>
          <w:tcPr>
            <w:tcW w:w="1105" w:type="dxa"/>
            <w:tcBorders>
              <w:top w:val="single" w:sz="4" w:space="0" w:color="7F7F7F" w:themeColor="text1" w:themeTint="80"/>
              <w:bottom w:val="single" w:sz="4" w:space="0" w:color="7F7F7F" w:themeColor="text1" w:themeTint="80"/>
            </w:tcBorders>
          </w:tcPr>
          <w:p w14:paraId="1AB69578"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1522" w:type="dxa"/>
            <w:tcBorders>
              <w:top w:val="single" w:sz="4" w:space="0" w:color="7F7F7F" w:themeColor="text1" w:themeTint="80"/>
              <w:bottom w:val="single" w:sz="4" w:space="0" w:color="7F7F7F" w:themeColor="text1" w:themeTint="80"/>
            </w:tcBorders>
          </w:tcPr>
          <w:p w14:paraId="6990D1CA"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Lješkopolje</w:t>
            </w:r>
          </w:p>
        </w:tc>
        <w:tc>
          <w:tcPr>
            <w:tcW w:w="1478" w:type="dxa"/>
            <w:tcBorders>
              <w:top w:val="single" w:sz="4" w:space="0" w:color="7F7F7F" w:themeColor="text1" w:themeTint="80"/>
              <w:bottom w:val="single" w:sz="4" w:space="0" w:color="7F7F7F" w:themeColor="text1" w:themeTint="80"/>
            </w:tcBorders>
          </w:tcPr>
          <w:p w14:paraId="73CD313C"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21E6B87E"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P. chlamydospora</w:t>
            </w:r>
          </w:p>
        </w:tc>
      </w:tr>
      <w:tr w:rsidR="003801E8" w14:paraId="6E63FC66" w14:textId="77777777" w:rsidTr="003801E8">
        <w:tc>
          <w:tcPr>
            <w:cnfStyle w:val="001000000000" w:firstRow="0" w:lastRow="0" w:firstColumn="1" w:lastColumn="0" w:oddVBand="0" w:evenVBand="0" w:oddHBand="0" w:evenHBand="0" w:firstRowFirstColumn="0" w:firstRowLastColumn="0" w:lastRowFirstColumn="0" w:lastRowLastColumn="0"/>
            <w:tcW w:w="1563" w:type="dxa"/>
          </w:tcPr>
          <w:p w14:paraId="66F8C4E1"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C. Sauvignon</w:t>
            </w:r>
          </w:p>
        </w:tc>
        <w:tc>
          <w:tcPr>
            <w:tcW w:w="1105" w:type="dxa"/>
          </w:tcPr>
          <w:p w14:paraId="70A5D084"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15</w:t>
            </w:r>
          </w:p>
        </w:tc>
        <w:tc>
          <w:tcPr>
            <w:tcW w:w="1522" w:type="dxa"/>
          </w:tcPr>
          <w:p w14:paraId="243D3D8F"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Beri</w:t>
            </w:r>
          </w:p>
        </w:tc>
        <w:tc>
          <w:tcPr>
            <w:tcW w:w="1478" w:type="dxa"/>
          </w:tcPr>
          <w:p w14:paraId="5C6F561D"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Pr>
          <w:p w14:paraId="36477518"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P. chlamydospora</w:t>
            </w:r>
          </w:p>
        </w:tc>
      </w:tr>
      <w:tr w:rsidR="003801E8" w14:paraId="6255936F"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0CD6B75D"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Kratošija</w:t>
            </w:r>
          </w:p>
        </w:tc>
        <w:tc>
          <w:tcPr>
            <w:tcW w:w="1105" w:type="dxa"/>
            <w:tcBorders>
              <w:top w:val="single" w:sz="4" w:space="0" w:color="7F7F7F" w:themeColor="text1" w:themeTint="80"/>
              <w:bottom w:val="single" w:sz="4" w:space="0" w:color="7F7F7F" w:themeColor="text1" w:themeTint="80"/>
            </w:tcBorders>
          </w:tcPr>
          <w:p w14:paraId="24452A40"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w:t>
            </w:r>
          </w:p>
        </w:tc>
        <w:tc>
          <w:tcPr>
            <w:tcW w:w="1522" w:type="dxa"/>
            <w:tcBorders>
              <w:top w:val="single" w:sz="4" w:space="0" w:color="7F7F7F" w:themeColor="text1" w:themeTint="80"/>
              <w:bottom w:val="single" w:sz="4" w:space="0" w:color="7F7F7F" w:themeColor="text1" w:themeTint="80"/>
            </w:tcBorders>
          </w:tcPr>
          <w:p w14:paraId="0C72AD53"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Kuće Rakića</w:t>
            </w:r>
          </w:p>
        </w:tc>
        <w:tc>
          <w:tcPr>
            <w:tcW w:w="1478" w:type="dxa"/>
            <w:tcBorders>
              <w:top w:val="single" w:sz="4" w:space="0" w:color="7F7F7F" w:themeColor="text1" w:themeTint="80"/>
              <w:bottom w:val="single" w:sz="4" w:space="0" w:color="7F7F7F" w:themeColor="text1" w:themeTint="80"/>
            </w:tcBorders>
          </w:tcPr>
          <w:p w14:paraId="266FF4FD"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30164B5A"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P.  chlamydospora</w:t>
            </w:r>
          </w:p>
        </w:tc>
      </w:tr>
      <w:tr w:rsidR="003801E8" w14:paraId="3598CE3F" w14:textId="77777777" w:rsidTr="003801E8">
        <w:tc>
          <w:tcPr>
            <w:cnfStyle w:val="001000000000" w:firstRow="0" w:lastRow="0" w:firstColumn="1" w:lastColumn="0" w:oddVBand="0" w:evenVBand="0" w:oddHBand="0" w:evenHBand="0" w:firstRowFirstColumn="0" w:firstRowLastColumn="0" w:lastRowFirstColumn="0" w:lastRowLastColumn="0"/>
            <w:tcW w:w="1563" w:type="dxa"/>
          </w:tcPr>
          <w:p w14:paraId="0805FE11"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 xml:space="preserve">Vranac </w:t>
            </w:r>
          </w:p>
        </w:tc>
        <w:tc>
          <w:tcPr>
            <w:tcW w:w="1105" w:type="dxa"/>
          </w:tcPr>
          <w:p w14:paraId="68F08580"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10</w:t>
            </w:r>
          </w:p>
        </w:tc>
        <w:tc>
          <w:tcPr>
            <w:tcW w:w="1522" w:type="dxa"/>
          </w:tcPr>
          <w:p w14:paraId="6E3E6999"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Vuksan Lekić</w:t>
            </w:r>
          </w:p>
        </w:tc>
        <w:tc>
          <w:tcPr>
            <w:tcW w:w="1478" w:type="dxa"/>
          </w:tcPr>
          <w:p w14:paraId="6B65F436"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Pr>
          <w:p w14:paraId="4156AF88"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T. citrinoviride</w:t>
            </w:r>
          </w:p>
        </w:tc>
      </w:tr>
      <w:tr w:rsidR="003801E8" w14:paraId="6A0D5C65"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422D188F"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Vranac</w:t>
            </w:r>
          </w:p>
        </w:tc>
        <w:tc>
          <w:tcPr>
            <w:tcW w:w="1105" w:type="dxa"/>
            <w:tcBorders>
              <w:top w:val="single" w:sz="4" w:space="0" w:color="7F7F7F" w:themeColor="text1" w:themeTint="80"/>
              <w:bottom w:val="single" w:sz="4" w:space="0" w:color="7F7F7F" w:themeColor="text1" w:themeTint="80"/>
            </w:tcBorders>
          </w:tcPr>
          <w:p w14:paraId="5713FF56"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1522" w:type="dxa"/>
            <w:tcBorders>
              <w:top w:val="single" w:sz="4" w:space="0" w:color="7F7F7F" w:themeColor="text1" w:themeTint="80"/>
              <w:bottom w:val="single" w:sz="4" w:space="0" w:color="7F7F7F" w:themeColor="text1" w:themeTint="80"/>
            </w:tcBorders>
          </w:tcPr>
          <w:p w14:paraId="35377AD5"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Lješkopolje</w:t>
            </w:r>
          </w:p>
        </w:tc>
        <w:tc>
          <w:tcPr>
            <w:tcW w:w="1478" w:type="dxa"/>
            <w:tcBorders>
              <w:top w:val="single" w:sz="4" w:space="0" w:color="7F7F7F" w:themeColor="text1" w:themeTint="80"/>
              <w:bottom w:val="single" w:sz="4" w:space="0" w:color="7F7F7F" w:themeColor="text1" w:themeTint="80"/>
            </w:tcBorders>
          </w:tcPr>
          <w:p w14:paraId="2C700922"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611B2954"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D. seriata</w:t>
            </w:r>
          </w:p>
        </w:tc>
      </w:tr>
      <w:tr w:rsidR="003801E8" w14:paraId="6A5FDCA6" w14:textId="77777777" w:rsidTr="003801E8">
        <w:tc>
          <w:tcPr>
            <w:cnfStyle w:val="001000000000" w:firstRow="0" w:lastRow="0" w:firstColumn="1" w:lastColumn="0" w:oddVBand="0" w:evenVBand="0" w:oddHBand="0" w:evenHBand="0" w:firstRowFirstColumn="0" w:firstRowLastColumn="0" w:lastRowFirstColumn="0" w:lastRowLastColumn="0"/>
            <w:tcW w:w="1563" w:type="dxa"/>
          </w:tcPr>
          <w:p w14:paraId="1D9E8994"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Moldava</w:t>
            </w:r>
          </w:p>
        </w:tc>
        <w:tc>
          <w:tcPr>
            <w:tcW w:w="1105" w:type="dxa"/>
          </w:tcPr>
          <w:p w14:paraId="6610A20B"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30</w:t>
            </w:r>
          </w:p>
        </w:tc>
        <w:tc>
          <w:tcPr>
            <w:tcW w:w="1522" w:type="dxa"/>
          </w:tcPr>
          <w:p w14:paraId="27257170"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Straševina</w:t>
            </w:r>
          </w:p>
        </w:tc>
        <w:tc>
          <w:tcPr>
            <w:tcW w:w="1478" w:type="dxa"/>
          </w:tcPr>
          <w:p w14:paraId="627DAFAD"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Pr>
          <w:p w14:paraId="0AC95F76"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 xml:space="preserve">B. mediterranea </w:t>
            </w:r>
          </w:p>
        </w:tc>
      </w:tr>
      <w:tr w:rsidR="003801E8" w14:paraId="7E252C1F"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7AA0C1A4"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Vranac</w:t>
            </w:r>
          </w:p>
        </w:tc>
        <w:tc>
          <w:tcPr>
            <w:tcW w:w="1105" w:type="dxa"/>
            <w:tcBorders>
              <w:top w:val="single" w:sz="4" w:space="0" w:color="7F7F7F" w:themeColor="text1" w:themeTint="80"/>
              <w:bottom w:val="single" w:sz="4" w:space="0" w:color="7F7F7F" w:themeColor="text1" w:themeTint="80"/>
            </w:tcBorders>
          </w:tcPr>
          <w:p w14:paraId="04319BA8"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1522" w:type="dxa"/>
            <w:tcBorders>
              <w:top w:val="single" w:sz="4" w:space="0" w:color="7F7F7F" w:themeColor="text1" w:themeTint="80"/>
              <w:bottom w:val="single" w:sz="4" w:space="0" w:color="7F7F7F" w:themeColor="text1" w:themeTint="80"/>
            </w:tcBorders>
          </w:tcPr>
          <w:p w14:paraId="7E2D1EDF"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Balabani</w:t>
            </w:r>
          </w:p>
        </w:tc>
        <w:tc>
          <w:tcPr>
            <w:tcW w:w="1478" w:type="dxa"/>
            <w:tcBorders>
              <w:top w:val="single" w:sz="4" w:space="0" w:color="7F7F7F" w:themeColor="text1" w:themeTint="80"/>
              <w:bottom w:val="single" w:sz="4" w:space="0" w:color="7F7F7F" w:themeColor="text1" w:themeTint="80"/>
            </w:tcBorders>
          </w:tcPr>
          <w:p w14:paraId="24063C9C"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1E500038"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P. iranianum</w:t>
            </w:r>
          </w:p>
        </w:tc>
      </w:tr>
      <w:tr w:rsidR="003801E8" w14:paraId="2DCB8D2F" w14:textId="77777777" w:rsidTr="003801E8">
        <w:tc>
          <w:tcPr>
            <w:cnfStyle w:val="001000000000" w:firstRow="0" w:lastRow="0" w:firstColumn="1" w:lastColumn="0" w:oddVBand="0" w:evenVBand="0" w:oddHBand="0" w:evenHBand="0" w:firstRowFirstColumn="0" w:firstRowLastColumn="0" w:lastRowFirstColumn="0" w:lastRowLastColumn="0"/>
            <w:tcW w:w="1563" w:type="dxa"/>
          </w:tcPr>
          <w:p w14:paraId="731AA1E9"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Vranac</w:t>
            </w:r>
          </w:p>
        </w:tc>
        <w:tc>
          <w:tcPr>
            <w:tcW w:w="1105" w:type="dxa"/>
          </w:tcPr>
          <w:p w14:paraId="5FC26333"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35</w:t>
            </w:r>
          </w:p>
        </w:tc>
        <w:tc>
          <w:tcPr>
            <w:tcW w:w="1522" w:type="dxa"/>
          </w:tcPr>
          <w:p w14:paraId="3F648999"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Tološi</w:t>
            </w:r>
          </w:p>
        </w:tc>
        <w:tc>
          <w:tcPr>
            <w:tcW w:w="1478" w:type="dxa"/>
          </w:tcPr>
          <w:p w14:paraId="0EFF85E8"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Pr>
          <w:p w14:paraId="7BC0C827"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 xml:space="preserve">B. mediterranea </w:t>
            </w:r>
          </w:p>
        </w:tc>
      </w:tr>
      <w:tr w:rsidR="003801E8" w14:paraId="309C423B"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74F41837"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Vranac</w:t>
            </w:r>
          </w:p>
        </w:tc>
        <w:tc>
          <w:tcPr>
            <w:tcW w:w="1105" w:type="dxa"/>
            <w:tcBorders>
              <w:top w:val="single" w:sz="4" w:space="0" w:color="7F7F7F" w:themeColor="text1" w:themeTint="80"/>
              <w:bottom w:val="single" w:sz="4" w:space="0" w:color="7F7F7F" w:themeColor="text1" w:themeTint="80"/>
            </w:tcBorders>
          </w:tcPr>
          <w:p w14:paraId="5351F582"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18</w:t>
            </w:r>
          </w:p>
        </w:tc>
        <w:tc>
          <w:tcPr>
            <w:tcW w:w="1522" w:type="dxa"/>
            <w:tcBorders>
              <w:top w:val="single" w:sz="4" w:space="0" w:color="7F7F7F" w:themeColor="text1" w:themeTint="80"/>
              <w:bottom w:val="single" w:sz="4" w:space="0" w:color="7F7F7F" w:themeColor="text1" w:themeTint="80"/>
            </w:tcBorders>
          </w:tcPr>
          <w:p w14:paraId="0A445C10"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Crmnica</w:t>
            </w:r>
          </w:p>
        </w:tc>
        <w:tc>
          <w:tcPr>
            <w:tcW w:w="1478" w:type="dxa"/>
            <w:tcBorders>
              <w:top w:val="single" w:sz="4" w:space="0" w:color="7F7F7F" w:themeColor="text1" w:themeTint="80"/>
              <w:bottom w:val="single" w:sz="4" w:space="0" w:color="7F7F7F" w:themeColor="text1" w:themeTint="80"/>
            </w:tcBorders>
          </w:tcPr>
          <w:p w14:paraId="7B8C9180"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5AB6C479"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S. vitis</w:t>
            </w:r>
          </w:p>
        </w:tc>
      </w:tr>
      <w:tr w:rsidR="003801E8" w14:paraId="6E6BB320" w14:textId="77777777" w:rsidTr="003801E8">
        <w:tc>
          <w:tcPr>
            <w:cnfStyle w:val="001000000000" w:firstRow="0" w:lastRow="0" w:firstColumn="1" w:lastColumn="0" w:oddVBand="0" w:evenVBand="0" w:oddHBand="0" w:evenHBand="0" w:firstRowFirstColumn="0" w:firstRowLastColumn="0" w:lastRowFirstColumn="0" w:lastRowLastColumn="0"/>
            <w:tcW w:w="1563" w:type="dxa"/>
          </w:tcPr>
          <w:p w14:paraId="75A596F7"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Vranac</w:t>
            </w:r>
          </w:p>
        </w:tc>
        <w:tc>
          <w:tcPr>
            <w:tcW w:w="1105" w:type="dxa"/>
          </w:tcPr>
          <w:p w14:paraId="6C9D7125"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18</w:t>
            </w:r>
          </w:p>
        </w:tc>
        <w:tc>
          <w:tcPr>
            <w:tcW w:w="1522" w:type="dxa"/>
          </w:tcPr>
          <w:p w14:paraId="6F0A9C8A"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 xml:space="preserve">Crmnica </w:t>
            </w:r>
          </w:p>
        </w:tc>
        <w:tc>
          <w:tcPr>
            <w:tcW w:w="1478" w:type="dxa"/>
          </w:tcPr>
          <w:p w14:paraId="05243CF8"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Pr>
          <w:p w14:paraId="5A4399AF"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D. mutila</w:t>
            </w:r>
          </w:p>
        </w:tc>
      </w:tr>
      <w:tr w:rsidR="003801E8" w14:paraId="2B76C834"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34C3C9B0"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Merlot</w:t>
            </w:r>
          </w:p>
        </w:tc>
        <w:tc>
          <w:tcPr>
            <w:tcW w:w="1105" w:type="dxa"/>
            <w:tcBorders>
              <w:top w:val="single" w:sz="4" w:space="0" w:color="7F7F7F" w:themeColor="text1" w:themeTint="80"/>
              <w:bottom w:val="single" w:sz="4" w:space="0" w:color="7F7F7F" w:themeColor="text1" w:themeTint="80"/>
            </w:tcBorders>
          </w:tcPr>
          <w:p w14:paraId="561D308A"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1522" w:type="dxa"/>
            <w:tcBorders>
              <w:top w:val="single" w:sz="4" w:space="0" w:color="7F7F7F" w:themeColor="text1" w:themeTint="80"/>
              <w:bottom w:val="single" w:sz="4" w:space="0" w:color="7F7F7F" w:themeColor="text1" w:themeTint="80"/>
            </w:tcBorders>
          </w:tcPr>
          <w:p w14:paraId="38DC028A"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Savina</w:t>
            </w:r>
          </w:p>
        </w:tc>
        <w:tc>
          <w:tcPr>
            <w:tcW w:w="1478" w:type="dxa"/>
            <w:tcBorders>
              <w:top w:val="single" w:sz="4" w:space="0" w:color="7F7F7F" w:themeColor="text1" w:themeTint="80"/>
              <w:bottom w:val="single" w:sz="4" w:space="0" w:color="7F7F7F" w:themeColor="text1" w:themeTint="80"/>
            </w:tcBorders>
          </w:tcPr>
          <w:p w14:paraId="6B5A2AE4"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7D2C66F5"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C. luteo olivacea</w:t>
            </w:r>
          </w:p>
        </w:tc>
      </w:tr>
      <w:tr w:rsidR="003801E8" w14:paraId="1ED4A382" w14:textId="77777777" w:rsidTr="003801E8">
        <w:tc>
          <w:tcPr>
            <w:cnfStyle w:val="001000000000" w:firstRow="0" w:lastRow="0" w:firstColumn="1" w:lastColumn="0" w:oddVBand="0" w:evenVBand="0" w:oddHBand="0" w:evenHBand="0" w:firstRowFirstColumn="0" w:firstRowLastColumn="0" w:lastRowFirstColumn="0" w:lastRowLastColumn="0"/>
            <w:tcW w:w="1563" w:type="dxa"/>
          </w:tcPr>
          <w:p w14:paraId="06EB4ED5"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Vranac</w:t>
            </w:r>
          </w:p>
        </w:tc>
        <w:tc>
          <w:tcPr>
            <w:tcW w:w="1105" w:type="dxa"/>
          </w:tcPr>
          <w:p w14:paraId="0C3BEFFD"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1522" w:type="dxa"/>
          </w:tcPr>
          <w:p w14:paraId="72726FA2"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Lješkopolje</w:t>
            </w:r>
          </w:p>
        </w:tc>
        <w:tc>
          <w:tcPr>
            <w:tcW w:w="1478" w:type="dxa"/>
          </w:tcPr>
          <w:p w14:paraId="2B3198EE"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Pr>
          <w:p w14:paraId="28C4BEB3"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D. ampelina</w:t>
            </w:r>
          </w:p>
        </w:tc>
      </w:tr>
      <w:tr w:rsidR="003801E8" w14:paraId="45A50043" w14:textId="77777777" w:rsidTr="003801E8">
        <w:tc>
          <w:tcPr>
            <w:cnfStyle w:val="001000000000" w:firstRow="0" w:lastRow="0" w:firstColumn="1" w:lastColumn="0" w:oddVBand="0" w:evenVBand="0" w:oddHBand="0" w:evenHBand="0" w:firstRowFirstColumn="0" w:firstRowLastColumn="0" w:lastRowFirstColumn="0" w:lastRowLastColumn="0"/>
            <w:tcW w:w="1563" w:type="dxa"/>
            <w:tcBorders>
              <w:top w:val="single" w:sz="4" w:space="0" w:color="7F7F7F" w:themeColor="text1" w:themeTint="80"/>
              <w:bottom w:val="single" w:sz="4" w:space="0" w:color="7F7F7F" w:themeColor="text1" w:themeTint="80"/>
            </w:tcBorders>
          </w:tcPr>
          <w:p w14:paraId="5E917AD5" w14:textId="77777777" w:rsidR="003801E8" w:rsidRDefault="00E44AAE">
            <w:pPr>
              <w:tabs>
                <w:tab w:val="left" w:pos="3315"/>
              </w:tabs>
              <w:spacing w:after="0" w:line="360" w:lineRule="auto"/>
              <w:rPr>
                <w:rFonts w:ascii="Book Antiqua" w:hAnsi="Book Antiqua" w:cs="Times New Roman"/>
                <w:b w:val="0"/>
                <w:bCs w:val="0"/>
                <w:sz w:val="18"/>
                <w:szCs w:val="18"/>
              </w:rPr>
            </w:pPr>
            <w:r>
              <w:rPr>
                <w:rFonts w:ascii="Book Antiqua" w:hAnsi="Book Antiqua" w:cs="Times New Roman"/>
                <w:sz w:val="18"/>
                <w:szCs w:val="18"/>
              </w:rPr>
              <w:t>Vranac</w:t>
            </w:r>
          </w:p>
        </w:tc>
        <w:tc>
          <w:tcPr>
            <w:tcW w:w="1105" w:type="dxa"/>
            <w:tcBorders>
              <w:top w:val="single" w:sz="4" w:space="0" w:color="7F7F7F" w:themeColor="text1" w:themeTint="80"/>
              <w:bottom w:val="single" w:sz="4" w:space="0" w:color="7F7F7F" w:themeColor="text1" w:themeTint="80"/>
            </w:tcBorders>
          </w:tcPr>
          <w:p w14:paraId="0E221799"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20</w:t>
            </w:r>
          </w:p>
        </w:tc>
        <w:tc>
          <w:tcPr>
            <w:tcW w:w="1522" w:type="dxa"/>
            <w:tcBorders>
              <w:top w:val="single" w:sz="4" w:space="0" w:color="7F7F7F" w:themeColor="text1" w:themeTint="80"/>
              <w:bottom w:val="single" w:sz="4" w:space="0" w:color="7F7F7F" w:themeColor="text1" w:themeTint="80"/>
            </w:tcBorders>
          </w:tcPr>
          <w:p w14:paraId="4CEFF05E"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Lješkopolje</w:t>
            </w:r>
          </w:p>
        </w:tc>
        <w:tc>
          <w:tcPr>
            <w:tcW w:w="1478" w:type="dxa"/>
            <w:tcBorders>
              <w:top w:val="single" w:sz="4" w:space="0" w:color="7F7F7F" w:themeColor="text1" w:themeTint="80"/>
              <w:bottom w:val="single" w:sz="4" w:space="0" w:color="7F7F7F" w:themeColor="text1" w:themeTint="80"/>
            </w:tcBorders>
          </w:tcPr>
          <w:p w14:paraId="2BE5314C" w14:textId="77777777" w:rsidR="003801E8" w:rsidRDefault="00E44AAE">
            <w:pPr>
              <w:tabs>
                <w:tab w:val="left" w:pos="3315"/>
              </w:tabs>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18"/>
                <w:szCs w:val="18"/>
              </w:rPr>
            </w:pPr>
            <w:r>
              <w:rPr>
                <w:rFonts w:ascii="Book Antiqua" w:hAnsi="Book Antiqua" w:cs="Times New Roman"/>
                <w:sz w:val="18"/>
                <w:szCs w:val="18"/>
              </w:rPr>
              <w:t>PCR</w:t>
            </w:r>
          </w:p>
        </w:tc>
        <w:tc>
          <w:tcPr>
            <w:tcW w:w="2559" w:type="dxa"/>
            <w:tcBorders>
              <w:top w:val="single" w:sz="4" w:space="0" w:color="7F7F7F" w:themeColor="text1" w:themeTint="80"/>
              <w:bottom w:val="single" w:sz="4" w:space="0" w:color="7F7F7F" w:themeColor="text1" w:themeTint="80"/>
            </w:tcBorders>
          </w:tcPr>
          <w:p w14:paraId="12A100B6" w14:textId="77777777" w:rsidR="003801E8" w:rsidRDefault="00E44AAE">
            <w:pPr>
              <w:tabs>
                <w:tab w:val="left" w:pos="3315"/>
              </w:tabs>
              <w:spacing w:after="0"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sz w:val="18"/>
                <w:szCs w:val="18"/>
              </w:rPr>
            </w:pPr>
            <w:r>
              <w:rPr>
                <w:rFonts w:ascii="Book Antiqua" w:hAnsi="Book Antiqua" w:cs="Times New Roman"/>
                <w:i/>
                <w:sz w:val="18"/>
                <w:szCs w:val="18"/>
              </w:rPr>
              <w:t>D. eres</w:t>
            </w:r>
          </w:p>
        </w:tc>
      </w:tr>
    </w:tbl>
    <w:p w14:paraId="6607E261" w14:textId="77777777" w:rsidR="003801E8" w:rsidRDefault="003801E8">
      <w:pPr>
        <w:tabs>
          <w:tab w:val="left" w:pos="3315"/>
        </w:tabs>
        <w:jc w:val="both"/>
        <w:rPr>
          <w:rFonts w:ascii="Times New Roman" w:hAnsi="Times New Roman" w:cs="Times New Roman"/>
          <w:sz w:val="18"/>
          <w:szCs w:val="18"/>
          <w:lang w:val="sr-Latn-RS"/>
        </w:rPr>
      </w:pPr>
    </w:p>
    <w:p w14:paraId="57848D7C" w14:textId="77777777" w:rsidR="003801E8" w:rsidRDefault="00E44AAE">
      <w:pPr>
        <w:tabs>
          <w:tab w:val="left" w:pos="3315"/>
        </w:tabs>
        <w:spacing w:line="360" w:lineRule="auto"/>
        <w:jc w:val="both"/>
        <w:rPr>
          <w:rFonts w:ascii="Book Antiqua" w:hAnsi="Book Antiqua" w:cs="Times New Roman"/>
          <w:bCs/>
          <w:sz w:val="24"/>
          <w:szCs w:val="24"/>
          <w:lang w:val="sr-Latn-RS"/>
        </w:rPr>
      </w:pPr>
      <w:r>
        <w:rPr>
          <w:rFonts w:ascii="Book Antiqua" w:hAnsi="Book Antiqua" w:cs="Times New Roman"/>
          <w:bCs/>
          <w:sz w:val="24"/>
          <w:szCs w:val="24"/>
          <w:lang w:val="sr-Latn-RS"/>
        </w:rPr>
        <w:lastRenderedPageBreak/>
        <w:t xml:space="preserve">Od ukupno 59 izolata dobijenih iz čokota vinove loze bez simptoma eska oboljenja, osam izolata je odabrano za dalju preliminarnu molekularnu identifikaciju. </w:t>
      </w:r>
      <w:r>
        <w:rPr>
          <w:rFonts w:ascii="Book Antiqua" w:hAnsi="Book Antiqua" w:cs="Times New Roman"/>
          <w:sz w:val="24"/>
          <w:szCs w:val="24"/>
        </w:rPr>
        <w:t xml:space="preserve">Nakon ekstrakcije DNK i amplifikacije ITS regiona dobijen je amplikon dužine 600–700 bp. </w:t>
      </w:r>
      <w:r>
        <w:rPr>
          <w:rFonts w:ascii="Book Antiqua" w:hAnsi="Book Antiqua" w:cs="Times New Roman"/>
          <w:sz w:val="24"/>
          <w:szCs w:val="24"/>
          <w:lang w:val="sr-Latn-RS"/>
        </w:rPr>
        <w:t>BLAST pretragom dobijenih nukleotidnih parova utvrđeno je da ispitivani izolati pripadaju fitopatogenim gljivama</w:t>
      </w:r>
      <w:r>
        <w:rPr>
          <w:rFonts w:ascii="Book Antiqua" w:hAnsi="Book Antiqua" w:cs="Times New Roman"/>
          <w:bCs/>
          <w:sz w:val="24"/>
          <w:szCs w:val="24"/>
          <w:lang w:val="sr-Latn-RS"/>
        </w:rPr>
        <w:t xml:space="preserve"> </w:t>
      </w:r>
      <w:r>
        <w:rPr>
          <w:rFonts w:ascii="Book Antiqua" w:hAnsi="Book Antiqua" w:cs="Times New Roman"/>
          <w:bCs/>
          <w:i/>
          <w:iCs/>
          <w:sz w:val="24"/>
          <w:szCs w:val="24"/>
          <w:lang w:val="sr-Latn-RS"/>
        </w:rPr>
        <w:t xml:space="preserve">P. chlamydospora </w:t>
      </w:r>
      <w:r>
        <w:rPr>
          <w:rFonts w:ascii="Book Antiqua" w:hAnsi="Book Antiqua" w:cs="Times New Roman"/>
          <w:iCs/>
          <w:sz w:val="24"/>
          <w:szCs w:val="24"/>
          <w:lang w:val="sr-Latn-RS"/>
        </w:rPr>
        <w:t>(dva izolata)</w:t>
      </w:r>
      <w:r>
        <w:rPr>
          <w:rFonts w:ascii="Book Antiqua" w:hAnsi="Book Antiqua" w:cs="Times New Roman"/>
          <w:bCs/>
          <w:sz w:val="24"/>
          <w:szCs w:val="24"/>
          <w:lang w:val="sr-Latn-RS"/>
        </w:rPr>
        <w:t xml:space="preserve">, </w:t>
      </w:r>
      <w:r>
        <w:rPr>
          <w:rFonts w:ascii="Book Antiqua" w:hAnsi="Book Antiqua" w:cs="Times New Roman"/>
          <w:bCs/>
          <w:i/>
          <w:iCs/>
          <w:sz w:val="24"/>
          <w:szCs w:val="24"/>
          <w:lang w:val="sr-Latn-RS"/>
        </w:rPr>
        <w:t xml:space="preserve">D. seriata </w:t>
      </w:r>
      <w:r>
        <w:rPr>
          <w:rFonts w:ascii="Book Antiqua" w:hAnsi="Book Antiqua" w:cs="Times New Roman"/>
          <w:iCs/>
          <w:sz w:val="24"/>
          <w:szCs w:val="24"/>
          <w:lang w:val="sr-Latn-RS"/>
        </w:rPr>
        <w:t>(tri izolata)</w:t>
      </w:r>
      <w:r>
        <w:rPr>
          <w:rFonts w:ascii="Book Antiqua" w:hAnsi="Book Antiqua" w:cs="Times New Roman"/>
          <w:bCs/>
          <w:sz w:val="24"/>
          <w:szCs w:val="24"/>
          <w:lang w:val="sr-Latn-RS"/>
        </w:rPr>
        <w:t xml:space="preserve">, </w:t>
      </w:r>
      <w:r>
        <w:rPr>
          <w:rFonts w:ascii="Book Antiqua" w:hAnsi="Book Antiqua" w:cs="Times New Roman"/>
          <w:bCs/>
          <w:i/>
          <w:iCs/>
          <w:sz w:val="24"/>
          <w:szCs w:val="24"/>
          <w:lang w:val="sr-Latn-RS"/>
        </w:rPr>
        <w:t>N. parvum</w:t>
      </w:r>
      <w:r>
        <w:rPr>
          <w:rFonts w:ascii="Book Antiqua" w:hAnsi="Book Antiqua" w:cs="Times New Roman"/>
          <w:bCs/>
          <w:sz w:val="24"/>
          <w:szCs w:val="24"/>
          <w:lang w:val="sr-Latn-RS"/>
        </w:rPr>
        <w:t xml:space="preserve"> (jedan izolat), </w:t>
      </w:r>
      <w:r>
        <w:rPr>
          <w:rFonts w:ascii="Book Antiqua" w:hAnsi="Book Antiqua" w:cs="Times New Roman"/>
          <w:bCs/>
          <w:i/>
          <w:iCs/>
          <w:sz w:val="24"/>
          <w:szCs w:val="24"/>
          <w:lang w:val="sr-Latn-RS"/>
        </w:rPr>
        <w:t>Chaetosphaeronema</w:t>
      </w:r>
      <w:r>
        <w:rPr>
          <w:rFonts w:ascii="Book Antiqua" w:hAnsi="Book Antiqua" w:cs="Times New Roman"/>
          <w:bCs/>
          <w:sz w:val="24"/>
          <w:szCs w:val="24"/>
          <w:lang w:val="sr-Latn-RS"/>
        </w:rPr>
        <w:t xml:space="preserve"> spp. </w:t>
      </w:r>
      <w:r>
        <w:rPr>
          <w:rFonts w:ascii="Book Antiqua" w:hAnsi="Book Antiqua" w:cs="Times New Roman"/>
          <w:iCs/>
          <w:sz w:val="24"/>
          <w:szCs w:val="24"/>
          <w:lang w:val="sr-Latn-RS"/>
        </w:rPr>
        <w:t>(jedan izolat)</w:t>
      </w:r>
      <w:r>
        <w:rPr>
          <w:rFonts w:ascii="Book Antiqua" w:hAnsi="Book Antiqua" w:cs="Times New Roman"/>
          <w:bCs/>
          <w:sz w:val="24"/>
          <w:szCs w:val="24"/>
          <w:lang w:val="sr-Latn-RS"/>
        </w:rPr>
        <w:t xml:space="preserve">, </w:t>
      </w:r>
      <w:r>
        <w:rPr>
          <w:rFonts w:ascii="Book Antiqua" w:hAnsi="Book Antiqua" w:cs="Times New Roman"/>
          <w:bCs/>
          <w:i/>
          <w:iCs/>
          <w:sz w:val="24"/>
          <w:szCs w:val="24"/>
          <w:lang w:val="sr-Latn-RS"/>
        </w:rPr>
        <w:t>Cladosporium</w:t>
      </w:r>
      <w:r>
        <w:rPr>
          <w:rFonts w:ascii="Book Antiqua" w:hAnsi="Book Antiqua" w:cs="Times New Roman"/>
          <w:bCs/>
          <w:sz w:val="24"/>
          <w:szCs w:val="24"/>
          <w:lang w:val="sr-Latn-RS"/>
        </w:rPr>
        <w:t xml:space="preserve"> spp. </w:t>
      </w:r>
      <w:r>
        <w:rPr>
          <w:rFonts w:ascii="Book Antiqua" w:hAnsi="Book Antiqua" w:cs="Times New Roman"/>
          <w:iCs/>
          <w:sz w:val="24"/>
          <w:szCs w:val="24"/>
          <w:lang w:val="sr-Latn-RS"/>
        </w:rPr>
        <w:t xml:space="preserve">(jedan izolat). </w:t>
      </w:r>
      <w:r>
        <w:rPr>
          <w:rFonts w:ascii="Book Antiqua" w:hAnsi="Book Antiqua" w:cs="Times New Roman"/>
          <w:bCs/>
          <w:sz w:val="24"/>
          <w:szCs w:val="24"/>
          <w:lang w:val="sr-Latn-RS"/>
        </w:rPr>
        <w:t xml:space="preserve">Dio preostalih izolata je identifikovan na bazi morfoloških karakteristika, poređenjem sa prethodno identifikovanim izolatima. </w:t>
      </w:r>
    </w:p>
    <w:p w14:paraId="1334BD9E" w14:textId="77777777" w:rsidR="003801E8" w:rsidRDefault="00E44AAE">
      <w:pPr>
        <w:tabs>
          <w:tab w:val="left" w:pos="3315"/>
        </w:tabs>
        <w:spacing w:line="360" w:lineRule="auto"/>
        <w:jc w:val="both"/>
        <w:rPr>
          <w:rFonts w:ascii="Book Antiqua" w:hAnsi="Book Antiqua" w:cs="Times New Roman"/>
          <w:bCs/>
          <w:sz w:val="24"/>
          <w:szCs w:val="24"/>
          <w:lang w:val="sr-Latn-RS"/>
        </w:rPr>
      </w:pPr>
      <w:r>
        <w:rPr>
          <w:rFonts w:ascii="Book Antiqua" w:hAnsi="Book Antiqua" w:cs="Times New Roman"/>
          <w:bCs/>
          <w:sz w:val="24"/>
          <w:szCs w:val="24"/>
          <w:lang w:val="sr-Latn-RS"/>
        </w:rPr>
        <w:t xml:space="preserve">Molekularno identifikovani mikroorganizmi porijeklom iz čokota bez simptoma eska oboljenja prikazani su u tabeli 18. </w:t>
      </w:r>
    </w:p>
    <w:p w14:paraId="695B1BA1" w14:textId="77777777" w:rsidR="003801E8" w:rsidRDefault="00E44AAE">
      <w:pPr>
        <w:tabs>
          <w:tab w:val="left" w:pos="3315"/>
        </w:tabs>
        <w:spacing w:line="360" w:lineRule="auto"/>
        <w:jc w:val="both"/>
        <w:rPr>
          <w:rFonts w:ascii="Book Antiqua" w:hAnsi="Book Antiqua" w:cs="Times New Roman"/>
          <w:bCs/>
          <w:sz w:val="22"/>
          <w:szCs w:val="22"/>
          <w:lang w:val="sr-Latn-RS"/>
        </w:rPr>
      </w:pPr>
      <w:r>
        <w:rPr>
          <w:rFonts w:ascii="Book Antiqua" w:hAnsi="Book Antiqua" w:cs="Times New Roman"/>
          <w:b/>
          <w:sz w:val="24"/>
          <w:szCs w:val="24"/>
          <w:lang w:val="sr-Latn-RS"/>
        </w:rPr>
        <w:t>Tabela 18</w:t>
      </w:r>
      <w:r>
        <w:rPr>
          <w:rFonts w:ascii="Book Antiqua" w:hAnsi="Book Antiqua" w:cs="Times New Roman"/>
          <w:bCs/>
          <w:sz w:val="24"/>
          <w:szCs w:val="24"/>
          <w:lang w:val="sr-Latn-RS"/>
        </w:rPr>
        <w:t xml:space="preserve">. </w:t>
      </w:r>
      <w:r>
        <w:rPr>
          <w:rFonts w:ascii="Book Antiqua" w:hAnsi="Book Antiqua" w:cs="Times New Roman"/>
          <w:bCs/>
          <w:sz w:val="22"/>
          <w:szCs w:val="22"/>
          <w:lang w:val="sr-Latn-RS"/>
        </w:rPr>
        <w:t>Molekularno identifikovani izolati iz čokota vinove loze bez simptoma eska oboljenja</w:t>
      </w:r>
    </w:p>
    <w:tbl>
      <w:tblPr>
        <w:tblStyle w:val="TableGrid"/>
        <w:tblW w:w="0" w:type="auto"/>
        <w:jc w:val="center"/>
        <w:tblLook w:val="04A0" w:firstRow="1" w:lastRow="0" w:firstColumn="1" w:lastColumn="0" w:noHBand="0" w:noVBand="1"/>
      </w:tblPr>
      <w:tblGrid>
        <w:gridCol w:w="1353"/>
        <w:gridCol w:w="896"/>
        <w:gridCol w:w="1410"/>
        <w:gridCol w:w="1336"/>
        <w:gridCol w:w="2527"/>
      </w:tblGrid>
      <w:tr w:rsidR="003801E8" w14:paraId="0152E3BB" w14:textId="77777777">
        <w:trPr>
          <w:jc w:val="center"/>
        </w:trPr>
        <w:tc>
          <w:tcPr>
            <w:tcW w:w="1353" w:type="dxa"/>
            <w:tcBorders>
              <w:top w:val="single" w:sz="4" w:space="0" w:color="auto"/>
              <w:left w:val="nil"/>
              <w:bottom w:val="single" w:sz="4" w:space="0" w:color="auto"/>
              <w:right w:val="nil"/>
            </w:tcBorders>
          </w:tcPr>
          <w:p w14:paraId="673FE965" w14:textId="77777777" w:rsidR="003801E8" w:rsidRDefault="00E44AAE">
            <w:pPr>
              <w:tabs>
                <w:tab w:val="left" w:pos="3315"/>
              </w:tabs>
              <w:spacing w:after="0" w:line="360" w:lineRule="auto"/>
              <w:jc w:val="center"/>
              <w:rPr>
                <w:rFonts w:ascii="Book Antiqua" w:hAnsi="Book Antiqua" w:cs="Times New Roman"/>
                <w:b/>
                <w:bCs/>
                <w:sz w:val="18"/>
                <w:szCs w:val="18"/>
                <w:lang w:val="sr-Latn-RS"/>
              </w:rPr>
            </w:pPr>
            <w:r>
              <w:rPr>
                <w:rFonts w:ascii="Book Antiqua" w:hAnsi="Book Antiqua" w:cs="Times New Roman"/>
                <w:b/>
                <w:bCs/>
                <w:sz w:val="18"/>
                <w:szCs w:val="18"/>
                <w:lang w:val="en-US"/>
              </w:rPr>
              <w:t>Sorta</w:t>
            </w:r>
          </w:p>
        </w:tc>
        <w:tc>
          <w:tcPr>
            <w:tcW w:w="896" w:type="dxa"/>
            <w:tcBorders>
              <w:left w:val="nil"/>
              <w:right w:val="nil"/>
            </w:tcBorders>
          </w:tcPr>
          <w:p w14:paraId="19E9B5D7" w14:textId="77777777" w:rsidR="003801E8" w:rsidRDefault="00E44AAE">
            <w:pPr>
              <w:tabs>
                <w:tab w:val="left" w:pos="3315"/>
              </w:tabs>
              <w:spacing w:after="0" w:line="360" w:lineRule="auto"/>
              <w:jc w:val="center"/>
              <w:rPr>
                <w:rFonts w:ascii="Book Antiqua" w:hAnsi="Book Antiqua" w:cs="Times New Roman"/>
                <w:b/>
                <w:bCs/>
                <w:sz w:val="18"/>
                <w:szCs w:val="18"/>
                <w:lang w:val="sr-Latn-RS"/>
              </w:rPr>
            </w:pPr>
            <w:r>
              <w:rPr>
                <w:rFonts w:ascii="Book Antiqua" w:hAnsi="Book Antiqua" w:cs="Times New Roman"/>
                <w:b/>
                <w:bCs/>
                <w:sz w:val="18"/>
                <w:szCs w:val="18"/>
                <w:lang w:val="en-US"/>
              </w:rPr>
              <w:t>Starost</w:t>
            </w:r>
          </w:p>
        </w:tc>
        <w:tc>
          <w:tcPr>
            <w:tcW w:w="1410" w:type="dxa"/>
            <w:tcBorders>
              <w:left w:val="nil"/>
              <w:bottom w:val="single" w:sz="4" w:space="0" w:color="000000" w:themeColor="text1"/>
              <w:right w:val="nil"/>
            </w:tcBorders>
          </w:tcPr>
          <w:p w14:paraId="35F1AD08" w14:textId="77777777" w:rsidR="003801E8" w:rsidRDefault="00E44AAE">
            <w:pPr>
              <w:tabs>
                <w:tab w:val="left" w:pos="3315"/>
              </w:tabs>
              <w:spacing w:after="0" w:line="360" w:lineRule="auto"/>
              <w:jc w:val="center"/>
              <w:rPr>
                <w:rFonts w:ascii="Book Antiqua" w:hAnsi="Book Antiqua" w:cs="Times New Roman"/>
                <w:b/>
                <w:bCs/>
                <w:sz w:val="18"/>
                <w:szCs w:val="18"/>
                <w:lang w:val="sr-Latn-RS"/>
              </w:rPr>
            </w:pPr>
            <w:r>
              <w:rPr>
                <w:rFonts w:ascii="Book Antiqua" w:hAnsi="Book Antiqua" w:cs="Times New Roman"/>
                <w:b/>
                <w:bCs/>
                <w:sz w:val="18"/>
                <w:szCs w:val="18"/>
                <w:lang w:val="en-US"/>
              </w:rPr>
              <w:t>Lokalitet</w:t>
            </w:r>
          </w:p>
        </w:tc>
        <w:tc>
          <w:tcPr>
            <w:tcW w:w="1336" w:type="dxa"/>
            <w:tcBorders>
              <w:left w:val="nil"/>
              <w:right w:val="nil"/>
            </w:tcBorders>
          </w:tcPr>
          <w:p w14:paraId="1387E107" w14:textId="77777777" w:rsidR="003801E8" w:rsidRDefault="00E44AAE">
            <w:pPr>
              <w:tabs>
                <w:tab w:val="left" w:pos="3315"/>
              </w:tabs>
              <w:spacing w:after="0" w:line="360" w:lineRule="auto"/>
              <w:jc w:val="center"/>
              <w:rPr>
                <w:rFonts w:ascii="Book Antiqua" w:hAnsi="Book Antiqua" w:cs="Times New Roman"/>
                <w:b/>
                <w:bCs/>
                <w:sz w:val="18"/>
                <w:szCs w:val="18"/>
                <w:lang w:val="sr-Latn-RS"/>
              </w:rPr>
            </w:pPr>
            <w:r>
              <w:rPr>
                <w:rFonts w:ascii="Book Antiqua" w:hAnsi="Book Antiqua" w:cs="Times New Roman"/>
                <w:b/>
                <w:bCs/>
                <w:sz w:val="18"/>
                <w:szCs w:val="18"/>
                <w:lang w:val="en-US"/>
              </w:rPr>
              <w:t>Identifikacija</w:t>
            </w:r>
          </w:p>
        </w:tc>
        <w:tc>
          <w:tcPr>
            <w:tcW w:w="2527" w:type="dxa"/>
            <w:tcBorders>
              <w:left w:val="nil"/>
              <w:bottom w:val="single" w:sz="4" w:space="0" w:color="000000" w:themeColor="text1"/>
              <w:right w:val="nil"/>
            </w:tcBorders>
          </w:tcPr>
          <w:p w14:paraId="5ED08A34" w14:textId="77777777" w:rsidR="003801E8" w:rsidRDefault="00E44AAE">
            <w:pPr>
              <w:tabs>
                <w:tab w:val="left" w:pos="3315"/>
              </w:tabs>
              <w:spacing w:after="0" w:line="360" w:lineRule="auto"/>
              <w:jc w:val="center"/>
              <w:rPr>
                <w:rFonts w:ascii="Book Antiqua" w:hAnsi="Book Antiqua" w:cs="Times New Roman"/>
                <w:b/>
                <w:bCs/>
                <w:sz w:val="18"/>
                <w:szCs w:val="18"/>
                <w:lang w:val="sr-Latn-RS"/>
              </w:rPr>
            </w:pPr>
            <w:r>
              <w:rPr>
                <w:rFonts w:ascii="Book Antiqua" w:hAnsi="Book Antiqua" w:cs="Times New Roman"/>
                <w:b/>
                <w:bCs/>
                <w:sz w:val="18"/>
                <w:szCs w:val="18"/>
                <w:lang w:val="en-US"/>
              </w:rPr>
              <w:t>Identifikovani patogen</w:t>
            </w:r>
          </w:p>
        </w:tc>
      </w:tr>
      <w:tr w:rsidR="003801E8" w14:paraId="5A81CB4E" w14:textId="77777777">
        <w:trPr>
          <w:jc w:val="center"/>
        </w:trPr>
        <w:tc>
          <w:tcPr>
            <w:tcW w:w="1353" w:type="dxa"/>
            <w:tcBorders>
              <w:top w:val="single" w:sz="4" w:space="0" w:color="auto"/>
              <w:left w:val="nil"/>
              <w:right w:val="nil"/>
            </w:tcBorders>
          </w:tcPr>
          <w:p w14:paraId="63F7338E"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Malvasia</w:t>
            </w:r>
          </w:p>
        </w:tc>
        <w:tc>
          <w:tcPr>
            <w:tcW w:w="896" w:type="dxa"/>
            <w:tcBorders>
              <w:left w:val="nil"/>
              <w:right w:val="nil"/>
            </w:tcBorders>
          </w:tcPr>
          <w:p w14:paraId="1D81B863"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4</w:t>
            </w:r>
          </w:p>
        </w:tc>
        <w:tc>
          <w:tcPr>
            <w:tcW w:w="1410" w:type="dxa"/>
            <w:tcBorders>
              <w:left w:val="nil"/>
              <w:right w:val="nil"/>
            </w:tcBorders>
          </w:tcPr>
          <w:p w14:paraId="148B7F31"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Golubovci</w:t>
            </w:r>
          </w:p>
        </w:tc>
        <w:tc>
          <w:tcPr>
            <w:tcW w:w="1336" w:type="dxa"/>
            <w:tcBorders>
              <w:left w:val="nil"/>
              <w:right w:val="nil"/>
            </w:tcBorders>
          </w:tcPr>
          <w:p w14:paraId="469B2A61"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PCR</w:t>
            </w:r>
          </w:p>
        </w:tc>
        <w:tc>
          <w:tcPr>
            <w:tcW w:w="2527" w:type="dxa"/>
            <w:tcBorders>
              <w:left w:val="nil"/>
              <w:right w:val="nil"/>
            </w:tcBorders>
          </w:tcPr>
          <w:p w14:paraId="49B5B231" w14:textId="77777777" w:rsidR="003801E8" w:rsidRDefault="00E44AAE">
            <w:pPr>
              <w:spacing w:after="0" w:line="240" w:lineRule="auto"/>
              <w:jc w:val="both"/>
              <w:rPr>
                <w:rFonts w:ascii="Book Antiqua" w:hAnsi="Book Antiqua" w:cs="Calibri"/>
                <w:i/>
                <w:iCs/>
                <w:sz w:val="18"/>
                <w:szCs w:val="18"/>
                <w:lang w:val="en-US"/>
              </w:rPr>
            </w:pPr>
            <w:r>
              <w:rPr>
                <w:rFonts w:ascii="Book Antiqua" w:hAnsi="Book Antiqua" w:cs="Calibri"/>
                <w:i/>
                <w:iCs/>
                <w:sz w:val="18"/>
                <w:szCs w:val="18"/>
                <w:lang w:val="en-US"/>
              </w:rPr>
              <w:t>Chaetosphaeronema sp.</w:t>
            </w:r>
          </w:p>
        </w:tc>
      </w:tr>
      <w:tr w:rsidR="003801E8" w14:paraId="5E0ECD3D" w14:textId="77777777">
        <w:trPr>
          <w:jc w:val="center"/>
        </w:trPr>
        <w:tc>
          <w:tcPr>
            <w:tcW w:w="1353" w:type="dxa"/>
            <w:tcBorders>
              <w:left w:val="nil"/>
              <w:right w:val="nil"/>
            </w:tcBorders>
          </w:tcPr>
          <w:p w14:paraId="40615071"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Malvasia</w:t>
            </w:r>
          </w:p>
        </w:tc>
        <w:tc>
          <w:tcPr>
            <w:tcW w:w="896" w:type="dxa"/>
            <w:tcBorders>
              <w:left w:val="nil"/>
              <w:right w:val="nil"/>
            </w:tcBorders>
          </w:tcPr>
          <w:p w14:paraId="7057E879"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4</w:t>
            </w:r>
          </w:p>
        </w:tc>
        <w:tc>
          <w:tcPr>
            <w:tcW w:w="1410" w:type="dxa"/>
            <w:tcBorders>
              <w:left w:val="nil"/>
              <w:right w:val="nil"/>
            </w:tcBorders>
          </w:tcPr>
          <w:p w14:paraId="777E5999"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Golubovci</w:t>
            </w:r>
          </w:p>
        </w:tc>
        <w:tc>
          <w:tcPr>
            <w:tcW w:w="1336" w:type="dxa"/>
            <w:tcBorders>
              <w:left w:val="nil"/>
              <w:right w:val="nil"/>
            </w:tcBorders>
          </w:tcPr>
          <w:p w14:paraId="4540354C"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PCR</w:t>
            </w:r>
          </w:p>
        </w:tc>
        <w:tc>
          <w:tcPr>
            <w:tcW w:w="2527" w:type="dxa"/>
            <w:tcBorders>
              <w:left w:val="nil"/>
              <w:right w:val="nil"/>
            </w:tcBorders>
          </w:tcPr>
          <w:p w14:paraId="4B49820B" w14:textId="77777777" w:rsidR="003801E8" w:rsidRDefault="00E44AAE">
            <w:pPr>
              <w:spacing w:after="0" w:line="240" w:lineRule="auto"/>
              <w:jc w:val="both"/>
              <w:rPr>
                <w:rFonts w:ascii="Book Antiqua" w:hAnsi="Book Antiqua" w:cs="Calibri"/>
                <w:i/>
                <w:iCs/>
                <w:sz w:val="18"/>
                <w:szCs w:val="18"/>
                <w:lang w:val="en-US"/>
              </w:rPr>
            </w:pPr>
            <w:r>
              <w:rPr>
                <w:rFonts w:ascii="Book Antiqua" w:hAnsi="Book Antiqua" w:cs="Calibri"/>
                <w:i/>
                <w:iCs/>
                <w:sz w:val="18"/>
                <w:szCs w:val="18"/>
                <w:lang w:val="en-US"/>
              </w:rPr>
              <w:t>Cladosporium sp.</w:t>
            </w:r>
          </w:p>
        </w:tc>
      </w:tr>
      <w:tr w:rsidR="003801E8" w14:paraId="5AB3E00A" w14:textId="77777777">
        <w:trPr>
          <w:jc w:val="center"/>
        </w:trPr>
        <w:tc>
          <w:tcPr>
            <w:tcW w:w="1353" w:type="dxa"/>
            <w:tcBorders>
              <w:left w:val="nil"/>
              <w:right w:val="nil"/>
            </w:tcBorders>
          </w:tcPr>
          <w:p w14:paraId="78E496EA"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Marselan</w:t>
            </w:r>
          </w:p>
        </w:tc>
        <w:tc>
          <w:tcPr>
            <w:tcW w:w="896" w:type="dxa"/>
            <w:tcBorders>
              <w:left w:val="nil"/>
              <w:right w:val="nil"/>
            </w:tcBorders>
          </w:tcPr>
          <w:p w14:paraId="747E9593"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4</w:t>
            </w:r>
          </w:p>
        </w:tc>
        <w:tc>
          <w:tcPr>
            <w:tcW w:w="1410" w:type="dxa"/>
            <w:tcBorders>
              <w:left w:val="nil"/>
              <w:right w:val="nil"/>
            </w:tcBorders>
          </w:tcPr>
          <w:p w14:paraId="373D314C"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Golubovci</w:t>
            </w:r>
          </w:p>
        </w:tc>
        <w:tc>
          <w:tcPr>
            <w:tcW w:w="1336" w:type="dxa"/>
            <w:tcBorders>
              <w:left w:val="nil"/>
              <w:right w:val="nil"/>
            </w:tcBorders>
          </w:tcPr>
          <w:p w14:paraId="4199050E"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PCR</w:t>
            </w:r>
          </w:p>
        </w:tc>
        <w:tc>
          <w:tcPr>
            <w:tcW w:w="2527" w:type="dxa"/>
            <w:tcBorders>
              <w:left w:val="nil"/>
              <w:right w:val="nil"/>
            </w:tcBorders>
          </w:tcPr>
          <w:p w14:paraId="2663B8C3" w14:textId="77777777" w:rsidR="003801E8" w:rsidRDefault="00E44AAE">
            <w:pPr>
              <w:tabs>
                <w:tab w:val="left" w:pos="3315"/>
              </w:tabs>
              <w:spacing w:after="0" w:line="360" w:lineRule="auto"/>
              <w:jc w:val="both"/>
              <w:rPr>
                <w:rFonts w:ascii="Book Antiqua" w:hAnsi="Book Antiqua" w:cs="Times New Roman"/>
                <w:bCs/>
                <w:i/>
                <w:iCs/>
                <w:sz w:val="18"/>
                <w:szCs w:val="18"/>
                <w:lang w:val="sr-Latn-RS"/>
              </w:rPr>
            </w:pPr>
            <w:r>
              <w:rPr>
                <w:rFonts w:ascii="Book Antiqua" w:hAnsi="Book Antiqua" w:cs="Times New Roman"/>
                <w:bCs/>
                <w:i/>
                <w:iCs/>
                <w:sz w:val="18"/>
                <w:szCs w:val="18"/>
                <w:lang w:val="sr-Latn-RS"/>
              </w:rPr>
              <w:t>P. chlamydospora</w:t>
            </w:r>
          </w:p>
        </w:tc>
      </w:tr>
      <w:tr w:rsidR="003801E8" w14:paraId="04F89D2E" w14:textId="77777777">
        <w:trPr>
          <w:jc w:val="center"/>
        </w:trPr>
        <w:tc>
          <w:tcPr>
            <w:tcW w:w="1353" w:type="dxa"/>
            <w:tcBorders>
              <w:left w:val="nil"/>
              <w:right w:val="nil"/>
            </w:tcBorders>
          </w:tcPr>
          <w:p w14:paraId="41A6B93F"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Marselan</w:t>
            </w:r>
          </w:p>
        </w:tc>
        <w:tc>
          <w:tcPr>
            <w:tcW w:w="896" w:type="dxa"/>
            <w:tcBorders>
              <w:left w:val="nil"/>
              <w:right w:val="nil"/>
            </w:tcBorders>
          </w:tcPr>
          <w:p w14:paraId="341D8905"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4</w:t>
            </w:r>
          </w:p>
        </w:tc>
        <w:tc>
          <w:tcPr>
            <w:tcW w:w="1410" w:type="dxa"/>
            <w:tcBorders>
              <w:left w:val="nil"/>
              <w:right w:val="nil"/>
            </w:tcBorders>
          </w:tcPr>
          <w:p w14:paraId="6C1E4434"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Golubovci</w:t>
            </w:r>
          </w:p>
        </w:tc>
        <w:tc>
          <w:tcPr>
            <w:tcW w:w="1336" w:type="dxa"/>
            <w:tcBorders>
              <w:left w:val="nil"/>
              <w:right w:val="nil"/>
            </w:tcBorders>
          </w:tcPr>
          <w:p w14:paraId="602B725A"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PCR</w:t>
            </w:r>
          </w:p>
        </w:tc>
        <w:tc>
          <w:tcPr>
            <w:tcW w:w="2527" w:type="dxa"/>
            <w:tcBorders>
              <w:left w:val="nil"/>
              <w:right w:val="nil"/>
            </w:tcBorders>
          </w:tcPr>
          <w:p w14:paraId="7DCEE373" w14:textId="77777777" w:rsidR="003801E8" w:rsidRDefault="00E44AAE">
            <w:pPr>
              <w:tabs>
                <w:tab w:val="left" w:pos="3315"/>
              </w:tabs>
              <w:spacing w:after="0" w:line="360" w:lineRule="auto"/>
              <w:jc w:val="both"/>
              <w:rPr>
                <w:rFonts w:ascii="Book Antiqua" w:hAnsi="Book Antiqua" w:cs="Times New Roman"/>
                <w:bCs/>
                <w:i/>
                <w:iCs/>
                <w:sz w:val="18"/>
                <w:szCs w:val="18"/>
                <w:lang w:val="sr-Latn-RS"/>
              </w:rPr>
            </w:pPr>
            <w:r>
              <w:rPr>
                <w:rFonts w:ascii="Book Antiqua" w:hAnsi="Book Antiqua" w:cs="Times New Roman"/>
                <w:bCs/>
                <w:i/>
                <w:iCs/>
                <w:sz w:val="18"/>
                <w:szCs w:val="18"/>
                <w:lang w:val="sr-Latn-RS"/>
              </w:rPr>
              <w:t>D. seriata</w:t>
            </w:r>
          </w:p>
        </w:tc>
      </w:tr>
      <w:tr w:rsidR="003801E8" w14:paraId="3F9F6FB4" w14:textId="77777777">
        <w:trPr>
          <w:jc w:val="center"/>
        </w:trPr>
        <w:tc>
          <w:tcPr>
            <w:tcW w:w="1353" w:type="dxa"/>
            <w:tcBorders>
              <w:left w:val="nil"/>
              <w:right w:val="nil"/>
            </w:tcBorders>
          </w:tcPr>
          <w:p w14:paraId="50B29E7D"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C. Franc</w:t>
            </w:r>
          </w:p>
        </w:tc>
        <w:tc>
          <w:tcPr>
            <w:tcW w:w="896" w:type="dxa"/>
            <w:tcBorders>
              <w:left w:val="nil"/>
              <w:right w:val="nil"/>
            </w:tcBorders>
          </w:tcPr>
          <w:p w14:paraId="6F7704C3"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4</w:t>
            </w:r>
          </w:p>
        </w:tc>
        <w:tc>
          <w:tcPr>
            <w:tcW w:w="1410" w:type="dxa"/>
            <w:tcBorders>
              <w:left w:val="nil"/>
              <w:right w:val="nil"/>
            </w:tcBorders>
          </w:tcPr>
          <w:p w14:paraId="43FEA77F"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Golubovci</w:t>
            </w:r>
          </w:p>
        </w:tc>
        <w:tc>
          <w:tcPr>
            <w:tcW w:w="1336" w:type="dxa"/>
            <w:tcBorders>
              <w:left w:val="nil"/>
              <w:right w:val="nil"/>
            </w:tcBorders>
          </w:tcPr>
          <w:p w14:paraId="1B6C9A51"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PCR</w:t>
            </w:r>
          </w:p>
        </w:tc>
        <w:tc>
          <w:tcPr>
            <w:tcW w:w="2527" w:type="dxa"/>
            <w:tcBorders>
              <w:left w:val="nil"/>
              <w:right w:val="nil"/>
            </w:tcBorders>
          </w:tcPr>
          <w:p w14:paraId="3068CD79" w14:textId="77777777" w:rsidR="003801E8" w:rsidRDefault="00E44AAE">
            <w:pPr>
              <w:tabs>
                <w:tab w:val="left" w:pos="3315"/>
              </w:tabs>
              <w:spacing w:after="0" w:line="360" w:lineRule="auto"/>
              <w:jc w:val="both"/>
              <w:rPr>
                <w:rFonts w:ascii="Book Antiqua" w:hAnsi="Book Antiqua" w:cs="Times New Roman"/>
                <w:bCs/>
                <w:i/>
                <w:iCs/>
                <w:sz w:val="18"/>
                <w:szCs w:val="18"/>
                <w:lang w:val="sr-Latn-RS"/>
              </w:rPr>
            </w:pPr>
            <w:r>
              <w:rPr>
                <w:rFonts w:ascii="Book Antiqua" w:hAnsi="Book Antiqua" w:cs="Times New Roman"/>
                <w:bCs/>
                <w:i/>
                <w:iCs/>
                <w:sz w:val="18"/>
                <w:szCs w:val="18"/>
                <w:lang w:val="sr-Latn-RS"/>
              </w:rPr>
              <w:t>D. seriata</w:t>
            </w:r>
          </w:p>
        </w:tc>
      </w:tr>
      <w:tr w:rsidR="003801E8" w14:paraId="7DC425A9" w14:textId="77777777">
        <w:trPr>
          <w:jc w:val="center"/>
        </w:trPr>
        <w:tc>
          <w:tcPr>
            <w:tcW w:w="1353" w:type="dxa"/>
            <w:tcBorders>
              <w:left w:val="nil"/>
              <w:right w:val="nil"/>
            </w:tcBorders>
          </w:tcPr>
          <w:p w14:paraId="628D1093"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Kardinal</w:t>
            </w:r>
          </w:p>
        </w:tc>
        <w:tc>
          <w:tcPr>
            <w:tcW w:w="896" w:type="dxa"/>
            <w:tcBorders>
              <w:left w:val="nil"/>
              <w:right w:val="nil"/>
            </w:tcBorders>
          </w:tcPr>
          <w:p w14:paraId="58C1BC7B"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5</w:t>
            </w:r>
          </w:p>
        </w:tc>
        <w:tc>
          <w:tcPr>
            <w:tcW w:w="1410" w:type="dxa"/>
            <w:tcBorders>
              <w:left w:val="nil"/>
              <w:right w:val="nil"/>
            </w:tcBorders>
          </w:tcPr>
          <w:p w14:paraId="1B6895CD"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Orja Luka</w:t>
            </w:r>
          </w:p>
        </w:tc>
        <w:tc>
          <w:tcPr>
            <w:tcW w:w="1336" w:type="dxa"/>
            <w:tcBorders>
              <w:left w:val="nil"/>
              <w:right w:val="nil"/>
            </w:tcBorders>
          </w:tcPr>
          <w:p w14:paraId="16478828"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PCR</w:t>
            </w:r>
          </w:p>
        </w:tc>
        <w:tc>
          <w:tcPr>
            <w:tcW w:w="2527" w:type="dxa"/>
            <w:tcBorders>
              <w:left w:val="nil"/>
              <w:right w:val="nil"/>
            </w:tcBorders>
          </w:tcPr>
          <w:p w14:paraId="513F203A" w14:textId="77777777" w:rsidR="003801E8" w:rsidRDefault="00E44AAE">
            <w:pPr>
              <w:tabs>
                <w:tab w:val="left" w:pos="3315"/>
              </w:tabs>
              <w:spacing w:after="0" w:line="360" w:lineRule="auto"/>
              <w:jc w:val="both"/>
              <w:rPr>
                <w:rFonts w:ascii="Book Antiqua" w:hAnsi="Book Antiqua" w:cs="Times New Roman"/>
                <w:bCs/>
                <w:i/>
                <w:iCs/>
                <w:sz w:val="18"/>
                <w:szCs w:val="18"/>
                <w:lang w:val="sr-Latn-RS"/>
              </w:rPr>
            </w:pPr>
            <w:r>
              <w:rPr>
                <w:rFonts w:ascii="Book Antiqua" w:hAnsi="Book Antiqua" w:cs="Times New Roman"/>
                <w:bCs/>
                <w:i/>
                <w:iCs/>
                <w:sz w:val="18"/>
                <w:szCs w:val="18"/>
                <w:lang w:val="sr-Latn-RS"/>
              </w:rPr>
              <w:t>N. parvum</w:t>
            </w:r>
          </w:p>
        </w:tc>
      </w:tr>
      <w:tr w:rsidR="003801E8" w14:paraId="263BDE0F" w14:textId="77777777">
        <w:trPr>
          <w:jc w:val="center"/>
        </w:trPr>
        <w:tc>
          <w:tcPr>
            <w:tcW w:w="1353" w:type="dxa"/>
            <w:tcBorders>
              <w:left w:val="nil"/>
              <w:right w:val="nil"/>
            </w:tcBorders>
          </w:tcPr>
          <w:p w14:paraId="68E5C75E"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Vranac</w:t>
            </w:r>
          </w:p>
        </w:tc>
        <w:tc>
          <w:tcPr>
            <w:tcW w:w="896" w:type="dxa"/>
            <w:tcBorders>
              <w:left w:val="nil"/>
              <w:right w:val="nil"/>
            </w:tcBorders>
          </w:tcPr>
          <w:p w14:paraId="521E4E78"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20</w:t>
            </w:r>
          </w:p>
        </w:tc>
        <w:tc>
          <w:tcPr>
            <w:tcW w:w="1410" w:type="dxa"/>
            <w:tcBorders>
              <w:left w:val="nil"/>
              <w:right w:val="nil"/>
            </w:tcBorders>
          </w:tcPr>
          <w:p w14:paraId="6FB52BF4"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Lješkopolje</w:t>
            </w:r>
          </w:p>
        </w:tc>
        <w:tc>
          <w:tcPr>
            <w:tcW w:w="1336" w:type="dxa"/>
            <w:tcBorders>
              <w:left w:val="nil"/>
              <w:right w:val="nil"/>
            </w:tcBorders>
          </w:tcPr>
          <w:p w14:paraId="14643218"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PCR</w:t>
            </w:r>
          </w:p>
        </w:tc>
        <w:tc>
          <w:tcPr>
            <w:tcW w:w="2527" w:type="dxa"/>
            <w:tcBorders>
              <w:left w:val="nil"/>
              <w:right w:val="nil"/>
            </w:tcBorders>
          </w:tcPr>
          <w:p w14:paraId="62E27F55" w14:textId="77777777" w:rsidR="003801E8" w:rsidRDefault="00E44AAE">
            <w:pPr>
              <w:tabs>
                <w:tab w:val="left" w:pos="3315"/>
              </w:tabs>
              <w:spacing w:after="0" w:line="360" w:lineRule="auto"/>
              <w:jc w:val="both"/>
              <w:rPr>
                <w:rFonts w:ascii="Book Antiqua" w:hAnsi="Book Antiqua" w:cs="Times New Roman"/>
                <w:bCs/>
                <w:i/>
                <w:iCs/>
                <w:sz w:val="18"/>
                <w:szCs w:val="18"/>
                <w:lang w:val="sr-Latn-RS"/>
              </w:rPr>
            </w:pPr>
            <w:r>
              <w:rPr>
                <w:rFonts w:ascii="Book Antiqua" w:hAnsi="Book Antiqua" w:cs="Times New Roman"/>
                <w:bCs/>
                <w:i/>
                <w:iCs/>
                <w:sz w:val="18"/>
                <w:szCs w:val="18"/>
                <w:lang w:val="sr-Latn-RS"/>
              </w:rPr>
              <w:t>D. seriata</w:t>
            </w:r>
          </w:p>
        </w:tc>
      </w:tr>
      <w:tr w:rsidR="003801E8" w14:paraId="3975B620" w14:textId="77777777">
        <w:trPr>
          <w:jc w:val="center"/>
        </w:trPr>
        <w:tc>
          <w:tcPr>
            <w:tcW w:w="1353" w:type="dxa"/>
            <w:tcBorders>
              <w:left w:val="nil"/>
              <w:right w:val="nil"/>
            </w:tcBorders>
          </w:tcPr>
          <w:p w14:paraId="61C2BACA" w14:textId="77777777" w:rsidR="003801E8" w:rsidRDefault="00E44AAE">
            <w:pPr>
              <w:tabs>
                <w:tab w:val="left" w:pos="3315"/>
              </w:tabs>
              <w:spacing w:after="0" w:line="360" w:lineRule="auto"/>
              <w:jc w:val="both"/>
              <w:rPr>
                <w:rFonts w:ascii="Book Antiqua" w:hAnsi="Book Antiqua" w:cs="Times New Roman"/>
                <w:bCs/>
                <w:i/>
                <w:iCs/>
                <w:sz w:val="18"/>
                <w:szCs w:val="18"/>
                <w:lang w:val="sr-Latn-RS"/>
              </w:rPr>
            </w:pPr>
            <w:r>
              <w:rPr>
                <w:rFonts w:ascii="Book Antiqua" w:hAnsi="Book Antiqua" w:cs="Times New Roman"/>
                <w:bCs/>
                <w:i/>
                <w:iCs/>
                <w:sz w:val="18"/>
                <w:szCs w:val="18"/>
                <w:lang w:val="sr-Latn-RS"/>
              </w:rPr>
              <w:t>V. labrusca</w:t>
            </w:r>
          </w:p>
        </w:tc>
        <w:tc>
          <w:tcPr>
            <w:tcW w:w="896" w:type="dxa"/>
            <w:tcBorders>
              <w:left w:val="nil"/>
              <w:right w:val="nil"/>
            </w:tcBorders>
          </w:tcPr>
          <w:p w14:paraId="0684D351"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30</w:t>
            </w:r>
          </w:p>
        </w:tc>
        <w:tc>
          <w:tcPr>
            <w:tcW w:w="1410" w:type="dxa"/>
            <w:tcBorders>
              <w:left w:val="nil"/>
              <w:right w:val="nil"/>
            </w:tcBorders>
          </w:tcPr>
          <w:p w14:paraId="30AB8E89"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sz w:val="18"/>
                <w:szCs w:val="18"/>
                <w:lang w:val="sr-Latn-RS"/>
              </w:rPr>
              <w:t>Straševina</w:t>
            </w:r>
          </w:p>
        </w:tc>
        <w:tc>
          <w:tcPr>
            <w:tcW w:w="1336" w:type="dxa"/>
            <w:tcBorders>
              <w:left w:val="nil"/>
              <w:right w:val="nil"/>
            </w:tcBorders>
          </w:tcPr>
          <w:p w14:paraId="4087FBE1" w14:textId="77777777" w:rsidR="003801E8" w:rsidRDefault="00E44AAE">
            <w:pPr>
              <w:tabs>
                <w:tab w:val="left" w:pos="3315"/>
              </w:tabs>
              <w:spacing w:after="0" w:line="360" w:lineRule="auto"/>
              <w:jc w:val="center"/>
              <w:rPr>
                <w:rFonts w:ascii="Book Antiqua" w:hAnsi="Book Antiqua" w:cs="Times New Roman"/>
                <w:bCs/>
                <w:sz w:val="18"/>
                <w:szCs w:val="18"/>
                <w:lang w:val="sr-Latn-RS"/>
              </w:rPr>
            </w:pPr>
            <w:r>
              <w:rPr>
                <w:rFonts w:ascii="Book Antiqua" w:hAnsi="Book Antiqua" w:cs="Times New Roman"/>
                <w:bCs/>
                <w:sz w:val="18"/>
                <w:szCs w:val="18"/>
                <w:lang w:val="sr-Latn-RS"/>
              </w:rPr>
              <w:t>PCR</w:t>
            </w:r>
          </w:p>
        </w:tc>
        <w:tc>
          <w:tcPr>
            <w:tcW w:w="2527" w:type="dxa"/>
            <w:tcBorders>
              <w:left w:val="nil"/>
              <w:right w:val="nil"/>
            </w:tcBorders>
          </w:tcPr>
          <w:p w14:paraId="3BD6C5F9" w14:textId="77777777" w:rsidR="003801E8" w:rsidRDefault="00E44AAE">
            <w:pPr>
              <w:tabs>
                <w:tab w:val="left" w:pos="3315"/>
              </w:tabs>
              <w:spacing w:after="0" w:line="360" w:lineRule="auto"/>
              <w:jc w:val="both"/>
              <w:rPr>
                <w:rFonts w:ascii="Book Antiqua" w:hAnsi="Book Antiqua" w:cs="Times New Roman"/>
                <w:bCs/>
                <w:sz w:val="18"/>
                <w:szCs w:val="18"/>
                <w:lang w:val="sr-Latn-RS"/>
              </w:rPr>
            </w:pPr>
            <w:r>
              <w:rPr>
                <w:rFonts w:ascii="Book Antiqua" w:hAnsi="Book Antiqua" w:cs="Times New Roman"/>
                <w:bCs/>
                <w:i/>
                <w:iCs/>
                <w:sz w:val="18"/>
                <w:szCs w:val="18"/>
                <w:lang w:val="sr-Latn-RS"/>
              </w:rPr>
              <w:t>P. chlamydospora</w:t>
            </w:r>
          </w:p>
        </w:tc>
      </w:tr>
    </w:tbl>
    <w:p w14:paraId="73D8CD34" w14:textId="77777777" w:rsidR="003801E8" w:rsidRDefault="003801E8">
      <w:pPr>
        <w:tabs>
          <w:tab w:val="left" w:pos="3315"/>
        </w:tabs>
        <w:spacing w:line="360" w:lineRule="auto"/>
        <w:jc w:val="both"/>
        <w:rPr>
          <w:rFonts w:ascii="Times New Roman" w:hAnsi="Times New Roman" w:cs="Times New Roman"/>
          <w:bCs/>
          <w:sz w:val="24"/>
          <w:szCs w:val="24"/>
          <w:lang w:val="sr-Latn-RS"/>
        </w:rPr>
      </w:pPr>
    </w:p>
    <w:p w14:paraId="5F452D17"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7BDFA617"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4DF3BF49"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1AFE21F9" w14:textId="77777777" w:rsidR="003801E8" w:rsidRDefault="003801E8">
      <w:pPr>
        <w:tabs>
          <w:tab w:val="left" w:pos="3315"/>
        </w:tabs>
        <w:spacing w:line="360" w:lineRule="auto"/>
        <w:jc w:val="both"/>
        <w:rPr>
          <w:rFonts w:ascii="Book Antiqua" w:hAnsi="Book Antiqua" w:cs="Times New Roman"/>
          <w:bCs/>
          <w:sz w:val="24"/>
          <w:szCs w:val="24"/>
          <w:lang w:val="sr-Latn-RS"/>
        </w:rPr>
      </w:pPr>
    </w:p>
    <w:p w14:paraId="226A07C1" w14:textId="77777777" w:rsidR="003801E8" w:rsidRDefault="00E44AAE">
      <w:pPr>
        <w:tabs>
          <w:tab w:val="left" w:pos="3315"/>
        </w:tabs>
        <w:spacing w:line="360" w:lineRule="auto"/>
        <w:jc w:val="both"/>
        <w:rPr>
          <w:rFonts w:ascii="Book Antiqua" w:hAnsi="Book Antiqua" w:cs="Times New Roman"/>
          <w:bCs/>
          <w:sz w:val="24"/>
          <w:szCs w:val="24"/>
          <w:lang w:val="sr-Latn-RS"/>
        </w:rPr>
      </w:pPr>
      <w:r>
        <w:rPr>
          <w:rFonts w:ascii="Book Antiqua" w:hAnsi="Book Antiqua" w:cs="Times New Roman"/>
          <w:bCs/>
          <w:sz w:val="24"/>
          <w:szCs w:val="24"/>
          <w:lang w:val="sr-Latn-RS"/>
        </w:rPr>
        <w:lastRenderedPageBreak/>
        <w:t>Na osnovu izgleda kolonije, za molekularnu identifikaciju odvojena su četiri izolata gljiva izolovanih iz sadnog materijala vinove loze. Amplifikacijom ITS regiona i sekvencioniranjem PCR produkta urađena je preliminarna identifikacija proučavanih izolata. Za jedan izolat u cilju dalje identifikacije urađena je amplifikacija LSU regiona i tri housekeeping gena (TEF1a, TUB2 i RPB2). BLAST pretragom dobijenih nukleotidnih parova utvr</w:t>
      </w:r>
      <w:r>
        <w:rPr>
          <w:rFonts w:ascii="Book Antiqua" w:hAnsi="Book Antiqua" w:cs="Times New Roman"/>
          <w:bCs/>
          <w:sz w:val="24"/>
          <w:szCs w:val="24"/>
        </w:rPr>
        <w:t xml:space="preserve">đeno je da ispitivani izolati pripadaju mikroorganizmima </w:t>
      </w:r>
      <w:r>
        <w:rPr>
          <w:rFonts w:ascii="Book Antiqua" w:hAnsi="Book Antiqua" w:cs="Times New Roman"/>
          <w:bCs/>
          <w:i/>
          <w:iCs/>
          <w:sz w:val="24"/>
          <w:szCs w:val="24"/>
        </w:rPr>
        <w:t xml:space="preserve">B. dothidea </w:t>
      </w:r>
      <w:r>
        <w:rPr>
          <w:rFonts w:ascii="Book Antiqua" w:hAnsi="Book Antiqua" w:cs="Times New Roman"/>
          <w:iCs/>
          <w:sz w:val="24"/>
          <w:szCs w:val="24"/>
          <w:lang w:val="sr-Latn-RS"/>
        </w:rPr>
        <w:t>(jedan izolat)</w:t>
      </w:r>
      <w:r>
        <w:rPr>
          <w:rFonts w:ascii="Book Antiqua" w:hAnsi="Book Antiqua" w:cs="Times New Roman"/>
          <w:bCs/>
          <w:sz w:val="24"/>
          <w:szCs w:val="24"/>
        </w:rPr>
        <w:t xml:space="preserve">, </w:t>
      </w:r>
      <w:r>
        <w:rPr>
          <w:rFonts w:ascii="Book Antiqua" w:hAnsi="Book Antiqua" w:cs="Times New Roman"/>
          <w:bCs/>
          <w:i/>
          <w:iCs/>
          <w:sz w:val="24"/>
          <w:szCs w:val="24"/>
        </w:rPr>
        <w:t xml:space="preserve">N. parvum </w:t>
      </w:r>
      <w:r>
        <w:rPr>
          <w:rFonts w:ascii="Book Antiqua" w:hAnsi="Book Antiqua" w:cs="Times New Roman"/>
          <w:iCs/>
          <w:sz w:val="24"/>
          <w:szCs w:val="24"/>
          <w:lang w:val="sr-Latn-RS"/>
        </w:rPr>
        <w:t>(jedan izolat)</w:t>
      </w:r>
      <w:r>
        <w:rPr>
          <w:rFonts w:ascii="Book Antiqua" w:hAnsi="Book Antiqua" w:cs="Times New Roman"/>
          <w:bCs/>
          <w:sz w:val="24"/>
          <w:szCs w:val="24"/>
        </w:rPr>
        <w:t xml:space="preserve">, </w:t>
      </w:r>
      <w:r>
        <w:rPr>
          <w:rFonts w:ascii="Book Antiqua" w:hAnsi="Book Antiqua" w:cs="Times New Roman"/>
          <w:bCs/>
          <w:i/>
          <w:iCs/>
          <w:sz w:val="24"/>
          <w:szCs w:val="24"/>
        </w:rPr>
        <w:t xml:space="preserve">C. hofmanii </w:t>
      </w:r>
      <w:r>
        <w:rPr>
          <w:rFonts w:ascii="Book Antiqua" w:hAnsi="Book Antiqua" w:cs="Times New Roman"/>
          <w:iCs/>
          <w:sz w:val="24"/>
          <w:szCs w:val="24"/>
          <w:lang w:val="sr-Latn-RS"/>
        </w:rPr>
        <w:t>(jedan izolat)</w:t>
      </w:r>
      <w:r>
        <w:rPr>
          <w:rFonts w:ascii="Book Antiqua" w:hAnsi="Book Antiqua" w:cs="Times New Roman"/>
          <w:bCs/>
          <w:sz w:val="24"/>
          <w:szCs w:val="24"/>
        </w:rPr>
        <w:t xml:space="preserve">. </w:t>
      </w:r>
      <w:r>
        <w:rPr>
          <w:rFonts w:ascii="Book Antiqua" w:hAnsi="Book Antiqua" w:cs="Times New Roman"/>
          <w:bCs/>
          <w:sz w:val="24"/>
          <w:szCs w:val="24"/>
          <w:lang w:val="sr-Latn-RS"/>
        </w:rPr>
        <w:t xml:space="preserve">Molekularno identifikovani izolati porijeklom iz sadnog materijala vinove loze prikazani su u tabeli 19. </w:t>
      </w:r>
    </w:p>
    <w:p w14:paraId="58B836BA" w14:textId="77777777" w:rsidR="003801E8" w:rsidRDefault="00E44AAE">
      <w:pPr>
        <w:tabs>
          <w:tab w:val="left" w:pos="3315"/>
        </w:tabs>
        <w:spacing w:line="240" w:lineRule="auto"/>
        <w:jc w:val="both"/>
        <w:rPr>
          <w:rFonts w:ascii="Book Antiqua" w:hAnsi="Book Antiqua" w:cs="Times New Roman"/>
          <w:bCs/>
          <w:sz w:val="24"/>
          <w:szCs w:val="24"/>
          <w:lang w:val="sr-Latn-RS"/>
        </w:rPr>
      </w:pPr>
      <w:r>
        <w:rPr>
          <w:rFonts w:ascii="Book Antiqua" w:hAnsi="Book Antiqua" w:cs="Times New Roman"/>
          <w:b/>
          <w:sz w:val="24"/>
          <w:szCs w:val="24"/>
          <w:lang w:val="sr-Latn-RS"/>
        </w:rPr>
        <w:t>Tabela 19</w:t>
      </w:r>
      <w:r>
        <w:rPr>
          <w:rFonts w:ascii="Book Antiqua" w:hAnsi="Book Antiqua" w:cs="Times New Roman"/>
          <w:bCs/>
          <w:sz w:val="24"/>
          <w:szCs w:val="24"/>
          <w:lang w:val="sr-Latn-RS"/>
        </w:rPr>
        <w:t>. Molekularno identifikovani mikroorganizmi u sadnom materijalu vinove loze</w:t>
      </w:r>
    </w:p>
    <w:tbl>
      <w:tblPr>
        <w:tblStyle w:val="TableGrid"/>
        <w:tblW w:w="0" w:type="auto"/>
        <w:jc w:val="center"/>
        <w:tblLook w:val="04A0" w:firstRow="1" w:lastRow="0" w:firstColumn="1" w:lastColumn="0" w:noHBand="0" w:noVBand="1"/>
      </w:tblPr>
      <w:tblGrid>
        <w:gridCol w:w="1415"/>
        <w:gridCol w:w="1415"/>
        <w:gridCol w:w="1416"/>
        <w:gridCol w:w="1416"/>
        <w:gridCol w:w="1416"/>
      </w:tblGrid>
      <w:tr w:rsidR="003801E8" w14:paraId="2C8B4DCC" w14:textId="77777777">
        <w:trPr>
          <w:jc w:val="center"/>
        </w:trPr>
        <w:tc>
          <w:tcPr>
            <w:tcW w:w="1415" w:type="dxa"/>
            <w:tcBorders>
              <w:left w:val="nil"/>
              <w:bottom w:val="single" w:sz="4" w:space="0" w:color="000000" w:themeColor="text1"/>
              <w:right w:val="nil"/>
            </w:tcBorders>
          </w:tcPr>
          <w:p w14:paraId="2E185F94" w14:textId="77777777" w:rsidR="003801E8" w:rsidRDefault="00E44AAE">
            <w:pPr>
              <w:tabs>
                <w:tab w:val="left" w:pos="3315"/>
              </w:tabs>
              <w:spacing w:after="0" w:line="360" w:lineRule="auto"/>
              <w:jc w:val="center"/>
              <w:rPr>
                <w:rFonts w:ascii="Book Antiqua" w:hAnsi="Book Antiqua" w:cs="Times New Roman"/>
                <w:bCs/>
                <w:sz w:val="24"/>
                <w:szCs w:val="24"/>
                <w:lang w:val="en-US"/>
              </w:rPr>
            </w:pPr>
            <w:r>
              <w:rPr>
                <w:rFonts w:ascii="Book Antiqua" w:hAnsi="Book Antiqua" w:cs="Times New Roman"/>
                <w:b/>
                <w:bCs/>
                <w:sz w:val="18"/>
                <w:szCs w:val="18"/>
                <w:lang w:val="en-US"/>
              </w:rPr>
              <w:t>Sorta</w:t>
            </w:r>
          </w:p>
        </w:tc>
        <w:tc>
          <w:tcPr>
            <w:tcW w:w="1415" w:type="dxa"/>
            <w:tcBorders>
              <w:left w:val="nil"/>
              <w:right w:val="nil"/>
            </w:tcBorders>
          </w:tcPr>
          <w:p w14:paraId="78177AB7" w14:textId="77777777" w:rsidR="003801E8" w:rsidRDefault="00E44AAE">
            <w:pPr>
              <w:tabs>
                <w:tab w:val="left" w:pos="3315"/>
              </w:tabs>
              <w:spacing w:after="0" w:line="360" w:lineRule="auto"/>
              <w:jc w:val="center"/>
              <w:rPr>
                <w:rFonts w:ascii="Book Antiqua" w:hAnsi="Book Antiqua" w:cs="Times New Roman"/>
                <w:bCs/>
                <w:sz w:val="24"/>
                <w:szCs w:val="24"/>
                <w:lang w:val="en-US"/>
              </w:rPr>
            </w:pPr>
            <w:r>
              <w:rPr>
                <w:rFonts w:ascii="Book Antiqua" w:hAnsi="Book Antiqua" w:cs="Times New Roman"/>
                <w:b/>
                <w:bCs/>
                <w:sz w:val="18"/>
                <w:szCs w:val="18"/>
                <w:lang w:val="en-US"/>
              </w:rPr>
              <w:t>Starost</w:t>
            </w:r>
          </w:p>
        </w:tc>
        <w:tc>
          <w:tcPr>
            <w:tcW w:w="1416" w:type="dxa"/>
            <w:tcBorders>
              <w:left w:val="nil"/>
              <w:bottom w:val="single" w:sz="4" w:space="0" w:color="000000" w:themeColor="text1"/>
              <w:right w:val="nil"/>
            </w:tcBorders>
          </w:tcPr>
          <w:p w14:paraId="37CBC966" w14:textId="77777777" w:rsidR="003801E8" w:rsidRDefault="00E44AAE">
            <w:pPr>
              <w:tabs>
                <w:tab w:val="left" w:pos="3315"/>
              </w:tabs>
              <w:spacing w:after="0" w:line="360" w:lineRule="auto"/>
              <w:jc w:val="center"/>
              <w:rPr>
                <w:rFonts w:ascii="Book Antiqua" w:hAnsi="Book Antiqua" w:cs="Times New Roman"/>
                <w:bCs/>
                <w:sz w:val="24"/>
                <w:szCs w:val="24"/>
                <w:lang w:val="en-US"/>
              </w:rPr>
            </w:pPr>
            <w:r>
              <w:rPr>
                <w:rFonts w:ascii="Book Antiqua" w:hAnsi="Book Antiqua" w:cs="Times New Roman"/>
                <w:b/>
                <w:bCs/>
                <w:sz w:val="18"/>
                <w:szCs w:val="18"/>
                <w:lang w:val="en-US"/>
              </w:rPr>
              <w:t>Porijeklo</w:t>
            </w:r>
          </w:p>
        </w:tc>
        <w:tc>
          <w:tcPr>
            <w:tcW w:w="1416" w:type="dxa"/>
            <w:tcBorders>
              <w:left w:val="nil"/>
              <w:right w:val="nil"/>
            </w:tcBorders>
          </w:tcPr>
          <w:p w14:paraId="1FFA1EE8" w14:textId="77777777" w:rsidR="003801E8" w:rsidRDefault="00E44AAE">
            <w:pPr>
              <w:tabs>
                <w:tab w:val="left" w:pos="3315"/>
              </w:tabs>
              <w:spacing w:after="0" w:line="360" w:lineRule="auto"/>
              <w:jc w:val="center"/>
              <w:rPr>
                <w:rFonts w:ascii="Book Antiqua" w:hAnsi="Book Antiqua" w:cs="Times New Roman"/>
                <w:bCs/>
                <w:sz w:val="24"/>
                <w:szCs w:val="24"/>
                <w:lang w:val="en-US"/>
              </w:rPr>
            </w:pPr>
            <w:r>
              <w:rPr>
                <w:rFonts w:ascii="Book Antiqua" w:hAnsi="Book Antiqua" w:cs="Times New Roman"/>
                <w:b/>
                <w:bCs/>
                <w:sz w:val="18"/>
                <w:szCs w:val="18"/>
                <w:lang w:val="en-US"/>
              </w:rPr>
              <w:t>Identifikacija</w:t>
            </w:r>
          </w:p>
        </w:tc>
        <w:tc>
          <w:tcPr>
            <w:tcW w:w="1416" w:type="dxa"/>
            <w:tcBorders>
              <w:left w:val="nil"/>
              <w:bottom w:val="single" w:sz="4" w:space="0" w:color="000000" w:themeColor="text1"/>
              <w:right w:val="nil"/>
            </w:tcBorders>
          </w:tcPr>
          <w:p w14:paraId="59805D62" w14:textId="77777777" w:rsidR="003801E8" w:rsidRDefault="00E44AAE">
            <w:pPr>
              <w:tabs>
                <w:tab w:val="left" w:pos="3315"/>
              </w:tabs>
              <w:spacing w:after="0" w:line="360" w:lineRule="auto"/>
              <w:jc w:val="center"/>
              <w:rPr>
                <w:rFonts w:ascii="Book Antiqua" w:hAnsi="Book Antiqua" w:cs="Times New Roman"/>
                <w:bCs/>
                <w:sz w:val="24"/>
                <w:szCs w:val="24"/>
                <w:lang w:val="en-US"/>
              </w:rPr>
            </w:pPr>
            <w:r>
              <w:rPr>
                <w:rFonts w:ascii="Book Antiqua" w:hAnsi="Book Antiqua" w:cs="Times New Roman"/>
                <w:b/>
                <w:bCs/>
                <w:sz w:val="18"/>
                <w:szCs w:val="18"/>
                <w:lang w:val="en-US"/>
              </w:rPr>
              <w:t>Identifikovani patogen</w:t>
            </w:r>
          </w:p>
        </w:tc>
      </w:tr>
      <w:tr w:rsidR="003801E8" w14:paraId="4D6A6BA6" w14:textId="77777777">
        <w:trPr>
          <w:jc w:val="center"/>
        </w:trPr>
        <w:tc>
          <w:tcPr>
            <w:tcW w:w="1415" w:type="dxa"/>
            <w:tcBorders>
              <w:left w:val="nil"/>
              <w:right w:val="nil"/>
            </w:tcBorders>
          </w:tcPr>
          <w:p w14:paraId="773452BD"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Vranac</w:t>
            </w:r>
          </w:p>
        </w:tc>
        <w:tc>
          <w:tcPr>
            <w:tcW w:w="1415" w:type="dxa"/>
            <w:tcBorders>
              <w:left w:val="nil"/>
              <w:right w:val="nil"/>
            </w:tcBorders>
          </w:tcPr>
          <w:p w14:paraId="2D570F60"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1 godina</w:t>
            </w:r>
          </w:p>
        </w:tc>
        <w:tc>
          <w:tcPr>
            <w:tcW w:w="1416" w:type="dxa"/>
            <w:tcBorders>
              <w:left w:val="nil"/>
              <w:right w:val="nil"/>
            </w:tcBorders>
          </w:tcPr>
          <w:p w14:paraId="7FF5B34F"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Crna Gora</w:t>
            </w:r>
          </w:p>
        </w:tc>
        <w:tc>
          <w:tcPr>
            <w:tcW w:w="1416" w:type="dxa"/>
            <w:tcBorders>
              <w:left w:val="nil"/>
              <w:right w:val="nil"/>
            </w:tcBorders>
          </w:tcPr>
          <w:p w14:paraId="0FECCAF3"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PCR</w:t>
            </w:r>
          </w:p>
        </w:tc>
        <w:tc>
          <w:tcPr>
            <w:tcW w:w="1416" w:type="dxa"/>
            <w:tcBorders>
              <w:left w:val="nil"/>
              <w:right w:val="nil"/>
            </w:tcBorders>
          </w:tcPr>
          <w:p w14:paraId="0A327976" w14:textId="77777777" w:rsidR="003801E8" w:rsidRDefault="00E44AAE">
            <w:pPr>
              <w:tabs>
                <w:tab w:val="left" w:pos="3315"/>
              </w:tabs>
              <w:spacing w:after="0" w:line="360" w:lineRule="auto"/>
              <w:jc w:val="both"/>
              <w:rPr>
                <w:rFonts w:ascii="Book Antiqua" w:hAnsi="Book Antiqua" w:cs="Times New Roman"/>
                <w:bCs/>
                <w:i/>
                <w:iCs/>
                <w:sz w:val="18"/>
                <w:szCs w:val="18"/>
                <w:lang w:val="en-US"/>
              </w:rPr>
            </w:pPr>
            <w:r>
              <w:rPr>
                <w:rFonts w:ascii="Book Antiqua" w:hAnsi="Book Antiqua" w:cs="Times New Roman"/>
                <w:bCs/>
                <w:i/>
                <w:iCs/>
                <w:sz w:val="18"/>
                <w:szCs w:val="18"/>
                <w:lang w:val="en-US"/>
              </w:rPr>
              <w:t>C. hofmanii</w:t>
            </w:r>
          </w:p>
        </w:tc>
      </w:tr>
      <w:tr w:rsidR="003801E8" w14:paraId="6DDC79C5" w14:textId="77777777">
        <w:trPr>
          <w:jc w:val="center"/>
        </w:trPr>
        <w:tc>
          <w:tcPr>
            <w:tcW w:w="1415" w:type="dxa"/>
            <w:tcBorders>
              <w:left w:val="nil"/>
              <w:right w:val="nil"/>
            </w:tcBorders>
          </w:tcPr>
          <w:p w14:paraId="06B09999"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Afus ali</w:t>
            </w:r>
          </w:p>
        </w:tc>
        <w:tc>
          <w:tcPr>
            <w:tcW w:w="1415" w:type="dxa"/>
            <w:tcBorders>
              <w:left w:val="nil"/>
              <w:right w:val="nil"/>
            </w:tcBorders>
          </w:tcPr>
          <w:p w14:paraId="40013156"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1 godina</w:t>
            </w:r>
          </w:p>
        </w:tc>
        <w:tc>
          <w:tcPr>
            <w:tcW w:w="1416" w:type="dxa"/>
            <w:tcBorders>
              <w:left w:val="nil"/>
              <w:right w:val="nil"/>
            </w:tcBorders>
          </w:tcPr>
          <w:p w14:paraId="08CE9746"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Srbija</w:t>
            </w:r>
          </w:p>
        </w:tc>
        <w:tc>
          <w:tcPr>
            <w:tcW w:w="1416" w:type="dxa"/>
            <w:tcBorders>
              <w:left w:val="nil"/>
              <w:right w:val="nil"/>
            </w:tcBorders>
          </w:tcPr>
          <w:p w14:paraId="788E0289"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PCR</w:t>
            </w:r>
          </w:p>
        </w:tc>
        <w:tc>
          <w:tcPr>
            <w:tcW w:w="1416" w:type="dxa"/>
            <w:tcBorders>
              <w:left w:val="nil"/>
              <w:right w:val="nil"/>
            </w:tcBorders>
          </w:tcPr>
          <w:p w14:paraId="7B04451E" w14:textId="77777777" w:rsidR="003801E8" w:rsidRDefault="00E44AAE">
            <w:pPr>
              <w:tabs>
                <w:tab w:val="left" w:pos="3315"/>
              </w:tabs>
              <w:spacing w:after="0" w:line="360" w:lineRule="auto"/>
              <w:jc w:val="both"/>
              <w:rPr>
                <w:rFonts w:ascii="Book Antiqua" w:hAnsi="Book Antiqua" w:cs="Times New Roman"/>
                <w:bCs/>
                <w:i/>
                <w:iCs/>
                <w:sz w:val="18"/>
                <w:szCs w:val="18"/>
                <w:lang w:val="en-US"/>
              </w:rPr>
            </w:pPr>
            <w:r>
              <w:rPr>
                <w:rFonts w:ascii="Book Antiqua" w:hAnsi="Book Antiqua" w:cs="Times New Roman"/>
                <w:bCs/>
                <w:i/>
                <w:iCs/>
                <w:sz w:val="18"/>
                <w:szCs w:val="18"/>
                <w:lang w:val="en-US"/>
              </w:rPr>
              <w:t>B. dothidea</w:t>
            </w:r>
          </w:p>
        </w:tc>
      </w:tr>
      <w:tr w:rsidR="003801E8" w14:paraId="39D3A708" w14:textId="77777777">
        <w:trPr>
          <w:jc w:val="center"/>
        </w:trPr>
        <w:tc>
          <w:tcPr>
            <w:tcW w:w="1415" w:type="dxa"/>
            <w:tcBorders>
              <w:left w:val="nil"/>
              <w:right w:val="nil"/>
            </w:tcBorders>
          </w:tcPr>
          <w:p w14:paraId="3E386DBB"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C. Souvignon</w:t>
            </w:r>
          </w:p>
        </w:tc>
        <w:tc>
          <w:tcPr>
            <w:tcW w:w="1415" w:type="dxa"/>
            <w:tcBorders>
              <w:left w:val="nil"/>
              <w:right w:val="nil"/>
            </w:tcBorders>
          </w:tcPr>
          <w:p w14:paraId="15D67FD2"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1 godina</w:t>
            </w:r>
          </w:p>
        </w:tc>
        <w:tc>
          <w:tcPr>
            <w:tcW w:w="1416" w:type="dxa"/>
            <w:tcBorders>
              <w:left w:val="nil"/>
              <w:right w:val="nil"/>
            </w:tcBorders>
          </w:tcPr>
          <w:p w14:paraId="60F24971"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Srbija</w:t>
            </w:r>
          </w:p>
        </w:tc>
        <w:tc>
          <w:tcPr>
            <w:tcW w:w="1416" w:type="dxa"/>
            <w:tcBorders>
              <w:left w:val="nil"/>
              <w:right w:val="nil"/>
            </w:tcBorders>
          </w:tcPr>
          <w:p w14:paraId="49F8700F"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PCR</w:t>
            </w:r>
          </w:p>
        </w:tc>
        <w:tc>
          <w:tcPr>
            <w:tcW w:w="1416" w:type="dxa"/>
            <w:tcBorders>
              <w:left w:val="nil"/>
              <w:right w:val="nil"/>
            </w:tcBorders>
          </w:tcPr>
          <w:p w14:paraId="5AEFBA87" w14:textId="77777777" w:rsidR="003801E8" w:rsidRDefault="00E44AAE">
            <w:pPr>
              <w:tabs>
                <w:tab w:val="left" w:pos="3315"/>
              </w:tabs>
              <w:spacing w:after="0" w:line="360" w:lineRule="auto"/>
              <w:jc w:val="both"/>
              <w:rPr>
                <w:rFonts w:ascii="Book Antiqua" w:hAnsi="Book Antiqua" w:cs="Times New Roman"/>
                <w:bCs/>
                <w:i/>
                <w:iCs/>
                <w:sz w:val="18"/>
                <w:szCs w:val="18"/>
                <w:lang w:val="en-US"/>
              </w:rPr>
            </w:pPr>
            <w:r>
              <w:rPr>
                <w:rFonts w:ascii="Book Antiqua" w:hAnsi="Book Antiqua" w:cs="Times New Roman"/>
                <w:bCs/>
                <w:i/>
                <w:iCs/>
                <w:sz w:val="18"/>
                <w:szCs w:val="18"/>
                <w:lang w:val="en-US"/>
              </w:rPr>
              <w:t>N. parvum</w:t>
            </w:r>
          </w:p>
        </w:tc>
      </w:tr>
      <w:tr w:rsidR="003801E8" w14:paraId="0AAC5480" w14:textId="77777777">
        <w:trPr>
          <w:jc w:val="center"/>
        </w:trPr>
        <w:tc>
          <w:tcPr>
            <w:tcW w:w="1415" w:type="dxa"/>
            <w:tcBorders>
              <w:left w:val="nil"/>
              <w:right w:val="nil"/>
            </w:tcBorders>
          </w:tcPr>
          <w:p w14:paraId="07BBBD85"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Afus ali</w:t>
            </w:r>
          </w:p>
        </w:tc>
        <w:tc>
          <w:tcPr>
            <w:tcW w:w="1415" w:type="dxa"/>
            <w:tcBorders>
              <w:left w:val="nil"/>
              <w:right w:val="nil"/>
            </w:tcBorders>
          </w:tcPr>
          <w:p w14:paraId="4862421A"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2 godine</w:t>
            </w:r>
          </w:p>
        </w:tc>
        <w:tc>
          <w:tcPr>
            <w:tcW w:w="1416" w:type="dxa"/>
            <w:tcBorders>
              <w:left w:val="nil"/>
              <w:right w:val="nil"/>
            </w:tcBorders>
          </w:tcPr>
          <w:p w14:paraId="7C8EAE6B"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Albanija</w:t>
            </w:r>
          </w:p>
        </w:tc>
        <w:tc>
          <w:tcPr>
            <w:tcW w:w="1416" w:type="dxa"/>
            <w:tcBorders>
              <w:left w:val="nil"/>
              <w:right w:val="nil"/>
            </w:tcBorders>
          </w:tcPr>
          <w:p w14:paraId="08C629F3" w14:textId="77777777" w:rsidR="003801E8" w:rsidRDefault="00E44AAE">
            <w:pPr>
              <w:tabs>
                <w:tab w:val="left" w:pos="3315"/>
              </w:tabs>
              <w:spacing w:after="0" w:line="360" w:lineRule="auto"/>
              <w:jc w:val="both"/>
              <w:rPr>
                <w:rFonts w:ascii="Book Antiqua" w:hAnsi="Book Antiqua" w:cs="Times New Roman"/>
                <w:bCs/>
                <w:sz w:val="18"/>
                <w:szCs w:val="18"/>
                <w:lang w:val="en-US"/>
              </w:rPr>
            </w:pPr>
            <w:r>
              <w:rPr>
                <w:rFonts w:ascii="Book Antiqua" w:hAnsi="Book Antiqua" w:cs="Times New Roman"/>
                <w:bCs/>
                <w:sz w:val="18"/>
                <w:szCs w:val="18"/>
                <w:lang w:val="en-US"/>
              </w:rPr>
              <w:t>PCR</w:t>
            </w:r>
          </w:p>
        </w:tc>
        <w:tc>
          <w:tcPr>
            <w:tcW w:w="1416" w:type="dxa"/>
            <w:tcBorders>
              <w:left w:val="nil"/>
              <w:right w:val="nil"/>
            </w:tcBorders>
          </w:tcPr>
          <w:p w14:paraId="3543F21F" w14:textId="77777777" w:rsidR="003801E8" w:rsidRDefault="00E44AAE">
            <w:pPr>
              <w:tabs>
                <w:tab w:val="left" w:pos="3315"/>
              </w:tabs>
              <w:spacing w:after="0" w:line="360" w:lineRule="auto"/>
              <w:jc w:val="both"/>
              <w:rPr>
                <w:rFonts w:ascii="Book Antiqua" w:hAnsi="Book Antiqua" w:cs="Times New Roman"/>
                <w:bCs/>
                <w:i/>
                <w:iCs/>
                <w:sz w:val="18"/>
                <w:szCs w:val="18"/>
                <w:lang w:val="en-US"/>
              </w:rPr>
            </w:pPr>
            <w:r>
              <w:rPr>
                <w:rFonts w:ascii="Book Antiqua" w:hAnsi="Book Antiqua" w:cs="Times New Roman"/>
                <w:bCs/>
                <w:i/>
                <w:iCs/>
                <w:sz w:val="18"/>
                <w:szCs w:val="18"/>
                <w:lang w:val="en-US"/>
              </w:rPr>
              <w:t xml:space="preserve">N. parvum </w:t>
            </w:r>
          </w:p>
        </w:tc>
      </w:tr>
    </w:tbl>
    <w:p w14:paraId="10325FAF" w14:textId="77777777" w:rsidR="003801E8" w:rsidRDefault="003801E8">
      <w:pPr>
        <w:tabs>
          <w:tab w:val="left" w:pos="3315"/>
        </w:tabs>
        <w:spacing w:line="240" w:lineRule="auto"/>
        <w:jc w:val="both"/>
        <w:rPr>
          <w:rFonts w:ascii="Book Antiqua" w:hAnsi="Book Antiqua" w:cs="Times New Roman"/>
          <w:bCs/>
          <w:sz w:val="24"/>
          <w:szCs w:val="24"/>
        </w:rPr>
      </w:pPr>
    </w:p>
    <w:p w14:paraId="778D845A"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0B1B715A"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36D83887"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1FFD5AAD"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558C6B33"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06F960E4"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2806CABE"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279CB28B"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417A37F7" w14:textId="77777777" w:rsidR="003801E8" w:rsidRDefault="003801E8">
      <w:pPr>
        <w:tabs>
          <w:tab w:val="left" w:pos="3315"/>
        </w:tabs>
        <w:spacing w:line="360" w:lineRule="auto"/>
        <w:jc w:val="both"/>
        <w:rPr>
          <w:rFonts w:ascii="Book Antiqua" w:hAnsi="Book Antiqua" w:cs="Times New Roman"/>
          <w:b/>
          <w:sz w:val="24"/>
          <w:szCs w:val="24"/>
          <w:lang w:val="sr-Latn-RS"/>
        </w:rPr>
      </w:pPr>
    </w:p>
    <w:p w14:paraId="08C1E4C9" w14:textId="77777777" w:rsidR="003801E8" w:rsidRDefault="00E44AAE">
      <w:pPr>
        <w:tabs>
          <w:tab w:val="left" w:pos="3315"/>
        </w:tabs>
        <w:spacing w:line="360" w:lineRule="auto"/>
        <w:jc w:val="both"/>
        <w:rPr>
          <w:rFonts w:ascii="Book Antiqua" w:hAnsi="Book Antiqua" w:cs="Times New Roman"/>
          <w:b/>
          <w:sz w:val="24"/>
          <w:szCs w:val="24"/>
          <w:lang w:val="sr-Latn-RS"/>
        </w:rPr>
      </w:pPr>
      <w:r>
        <w:rPr>
          <w:rFonts w:ascii="Book Antiqua" w:hAnsi="Book Antiqua" w:cs="Times New Roman"/>
          <w:b/>
          <w:sz w:val="24"/>
          <w:szCs w:val="24"/>
          <w:lang w:val="sr-Latn-RS"/>
        </w:rPr>
        <w:lastRenderedPageBreak/>
        <w:t>5.4 Nukleotidne i filogenetske analize sekvenci identifikovanih mikroorganizama</w:t>
      </w:r>
    </w:p>
    <w:p w14:paraId="1172B5A2" w14:textId="77777777" w:rsidR="003801E8" w:rsidRDefault="00E44AAE">
      <w:pPr>
        <w:spacing w:line="360" w:lineRule="auto"/>
        <w:jc w:val="both"/>
        <w:rPr>
          <w:rFonts w:ascii="Book Antiqua" w:eastAsia="Times New Roman" w:hAnsi="Book Antiqua" w:cs="Times New Roman"/>
          <w:sz w:val="24"/>
          <w:szCs w:val="24"/>
          <w:lang w:val="en-US"/>
        </w:rPr>
      </w:pPr>
      <w:r>
        <w:rPr>
          <w:rFonts w:ascii="Book Antiqua" w:hAnsi="Book Antiqua" w:cs="Times New Roman"/>
          <w:sz w:val="24"/>
          <w:szCs w:val="24"/>
          <w:lang w:val="sr-Latn-RS"/>
        </w:rPr>
        <w:t xml:space="preserve">Konstruisano filogenetsko stablo vrsta iz roda </w:t>
      </w:r>
      <w:r>
        <w:rPr>
          <w:rFonts w:ascii="Book Antiqua" w:hAnsi="Book Antiqua" w:cs="Times New Roman"/>
          <w:i/>
          <w:sz w:val="24"/>
          <w:szCs w:val="24"/>
          <w:lang w:val="sr-Latn-RS"/>
        </w:rPr>
        <w:t>Phaeoacremonium</w:t>
      </w:r>
      <w:r>
        <w:rPr>
          <w:rFonts w:ascii="Book Antiqua" w:hAnsi="Book Antiqua" w:cs="Times New Roman"/>
          <w:sz w:val="24"/>
          <w:szCs w:val="24"/>
          <w:lang w:val="sr-Latn-RS"/>
        </w:rPr>
        <w:t xml:space="preserve"> zasnovano na konkateniranim sekvencama ITS regiona i tub2 i tef1a gena prikazano je na  slici 6a. Utvrđeno je da izolati formiraju jedan definisan klaster u okviru kog se nalaze dva potklastera. U prvom potklasteru su međusobno homogena četiri izolata </w:t>
      </w:r>
      <w:r>
        <w:rPr>
          <w:rFonts w:ascii="Book Antiqua" w:hAnsi="Book Antiqua" w:cs="Times New Roman"/>
          <w:i/>
          <w:sz w:val="24"/>
          <w:szCs w:val="24"/>
          <w:lang w:val="sr-Latn-RS"/>
        </w:rPr>
        <w:t>P. minmum</w:t>
      </w:r>
      <w:r>
        <w:rPr>
          <w:rFonts w:ascii="Book Antiqua" w:hAnsi="Book Antiqua" w:cs="Times New Roman"/>
          <w:sz w:val="24"/>
          <w:szCs w:val="24"/>
          <w:lang w:val="sr-Latn-RS"/>
        </w:rPr>
        <w:t xml:space="preserve"> (MN002, MN003, MN004, MN005), dok drugi potklaster sačinjavaju tri izolata </w:t>
      </w:r>
      <w:r>
        <w:rPr>
          <w:rFonts w:ascii="Book Antiqua" w:eastAsia="Times New Roman" w:hAnsi="Book Antiqua" w:cs="Times New Roman"/>
          <w:sz w:val="24"/>
          <w:szCs w:val="24"/>
          <w:lang w:val="en-US"/>
        </w:rPr>
        <w:t xml:space="preserve">(MN001, MN007 i MN009). Analizirani izolati su najsrodniji </w:t>
      </w:r>
      <w:r>
        <w:rPr>
          <w:rFonts w:ascii="Book Antiqua" w:hAnsi="Book Antiqua" w:cs="Times New Roman"/>
          <w:sz w:val="24"/>
          <w:szCs w:val="24"/>
          <w:lang w:val="sr-Latn-RS"/>
        </w:rPr>
        <w:t xml:space="preserve">izolatu </w:t>
      </w:r>
      <w:r>
        <w:rPr>
          <w:rFonts w:ascii="Book Antiqua" w:eastAsia="Times New Roman" w:hAnsi="Book Antiqua" w:cs="Times New Roman"/>
          <w:sz w:val="24"/>
          <w:szCs w:val="24"/>
          <w:lang w:val="en-US"/>
        </w:rPr>
        <w:t xml:space="preserve">Y038-05-3z (izolovanom sa vinove loze u Španiji). Izolat </w:t>
      </w:r>
      <w:r>
        <w:rPr>
          <w:rFonts w:ascii="Book Antiqua" w:eastAsia="Times New Roman" w:hAnsi="Book Antiqua" w:cs="Times New Roman"/>
          <w:i/>
          <w:sz w:val="24"/>
          <w:szCs w:val="24"/>
          <w:lang w:val="en-US"/>
        </w:rPr>
        <w:t xml:space="preserve">P. iranianum </w:t>
      </w:r>
      <w:r>
        <w:rPr>
          <w:rFonts w:ascii="Book Antiqua" w:eastAsia="Times New Roman" w:hAnsi="Book Antiqua" w:cs="Times New Roman"/>
          <w:sz w:val="24"/>
          <w:szCs w:val="24"/>
          <w:lang w:val="en-US"/>
        </w:rPr>
        <w:t xml:space="preserve">(MN006) izdvaja se u poseban potklaster i najsrodniji je izolatu Y277-14-1 (izolovanom sa vinove loze u Španiji). </w:t>
      </w:r>
    </w:p>
    <w:p w14:paraId="78AECDAE" w14:textId="77777777" w:rsidR="003801E8" w:rsidRDefault="00E44AAE">
      <w:pPr>
        <w:spacing w:line="360" w:lineRule="auto"/>
        <w:jc w:val="both"/>
        <w:rPr>
          <w:rFonts w:ascii="Book Antiqua" w:eastAsia="Times New Roman" w:hAnsi="Book Antiqua" w:cs="Calibri"/>
          <w:color w:val="000000"/>
          <w:sz w:val="24"/>
          <w:szCs w:val="24"/>
          <w:lang w:val="en-US"/>
        </w:rPr>
      </w:pPr>
      <w:r>
        <w:rPr>
          <w:rFonts w:ascii="Book Antiqua" w:eastAsia="Times New Roman" w:hAnsi="Book Antiqua" w:cs="Times New Roman"/>
          <w:sz w:val="24"/>
          <w:szCs w:val="24"/>
          <w:lang w:val="en-US"/>
        </w:rPr>
        <w:t xml:space="preserve">Filogenetsko stablo za pet izolata </w:t>
      </w:r>
      <w:r>
        <w:rPr>
          <w:rFonts w:ascii="Book Antiqua" w:eastAsia="Times New Roman" w:hAnsi="Book Antiqua" w:cs="Times New Roman"/>
          <w:i/>
          <w:sz w:val="24"/>
          <w:szCs w:val="24"/>
          <w:lang w:val="en-US"/>
        </w:rPr>
        <w:t>P. chlamydospora</w:t>
      </w:r>
      <w:r>
        <w:rPr>
          <w:rFonts w:ascii="Book Antiqua" w:eastAsia="Times New Roman" w:hAnsi="Book Antiqua" w:cs="Times New Roman"/>
          <w:sz w:val="24"/>
          <w:szCs w:val="24"/>
          <w:lang w:val="en-US"/>
        </w:rPr>
        <w:t xml:space="preserve"> zasnovano na </w:t>
      </w:r>
      <w:r>
        <w:rPr>
          <w:rFonts w:ascii="Book Antiqua" w:hAnsi="Book Antiqua" w:cs="Times New Roman"/>
          <w:sz w:val="24"/>
          <w:szCs w:val="24"/>
          <w:lang w:val="sr-Latn-RS"/>
        </w:rPr>
        <w:t>konkateniranim</w:t>
      </w:r>
      <w:r>
        <w:rPr>
          <w:rFonts w:ascii="Book Antiqua" w:eastAsia="Times New Roman" w:hAnsi="Book Antiqua" w:cs="Times New Roman"/>
          <w:sz w:val="24"/>
          <w:szCs w:val="24"/>
          <w:lang w:val="en-US"/>
        </w:rPr>
        <w:t xml:space="preserve"> sekvencama ITS regiona i tub2 gena prikazano je na slici 6b. Svih 5 izolata se nalaze u istom klasteru, ali razdojene u tri različita potklastera sa ostalim sekvencama </w:t>
      </w:r>
      <w:r>
        <w:rPr>
          <w:rFonts w:ascii="Book Antiqua" w:eastAsia="Times New Roman" w:hAnsi="Book Antiqua" w:cs="Times New Roman"/>
          <w:i/>
          <w:sz w:val="24"/>
          <w:szCs w:val="24"/>
          <w:lang w:val="en-US"/>
        </w:rPr>
        <w:t>P. chlamydospora</w:t>
      </w:r>
      <w:r>
        <w:rPr>
          <w:rFonts w:ascii="Book Antiqua" w:eastAsia="Times New Roman" w:hAnsi="Book Antiqua" w:cs="Times New Roman"/>
          <w:sz w:val="24"/>
          <w:szCs w:val="24"/>
          <w:lang w:val="en-US"/>
        </w:rPr>
        <w:t xml:space="preserve"> koje su preuzete iz NCBI. Izolat MN015 je nasrodniji izolatima Y112-42-3 i BENT 710 koji su izolovani sa vinove loze, a porijeklom su iz Španije odnosno Kalifornije. Izolati MN010 i MN014 su izdvojeni u zaseban potklaster a najsrodniji su izolatima </w:t>
      </w:r>
      <w:r>
        <w:rPr>
          <w:rFonts w:ascii="Book Antiqua" w:eastAsia="Times New Roman" w:hAnsi="Book Antiqua" w:cs="Calibri"/>
          <w:color w:val="000000"/>
          <w:sz w:val="24"/>
          <w:szCs w:val="24"/>
        </w:rPr>
        <w:t xml:space="preserve">IBVDSP08 i Kern 717 koji su izolovani sa vinove loze, a porijeklom iz Brazila, odnosno Kalifornije. Poseban potklaster formiraju izolati MN013 i MN012 koji su najsrodniji sa izolatima JKI-Ap04 i </w:t>
      </w:r>
      <w:r>
        <w:rPr>
          <w:rFonts w:ascii="Book Antiqua" w:eastAsia="Times New Roman" w:hAnsi="Book Antiqua" w:cs="Calibri"/>
          <w:color w:val="000000"/>
          <w:sz w:val="24"/>
          <w:szCs w:val="24"/>
          <w:lang w:val="en-US"/>
        </w:rPr>
        <w:t xml:space="preserve">JKI-May05 koji su izolovani sa vinove loze u Njemačkoj. </w:t>
      </w:r>
    </w:p>
    <w:p w14:paraId="65159780" w14:textId="77777777" w:rsidR="003801E8" w:rsidRDefault="00E44AAE">
      <w:pPr>
        <w:spacing w:line="360" w:lineRule="auto"/>
        <w:jc w:val="both"/>
        <w:rPr>
          <w:rFonts w:ascii="Book Antiqua" w:eastAsia="Times New Roman" w:hAnsi="Book Antiqua" w:cs="Calibri"/>
          <w:color w:val="000000"/>
          <w:sz w:val="24"/>
          <w:szCs w:val="24"/>
          <w:lang w:val="en-US"/>
        </w:rPr>
      </w:pPr>
      <w:r>
        <w:rPr>
          <w:rFonts w:ascii="Book Antiqua" w:eastAsia="Times New Roman" w:hAnsi="Book Antiqua" w:cs="Calibri"/>
          <w:color w:val="000000"/>
          <w:sz w:val="24"/>
          <w:szCs w:val="24"/>
          <w:lang w:val="en-US"/>
        </w:rPr>
        <w:t xml:space="preserve">Konstruisano filogenetsko stablo za četiri izolata </w:t>
      </w:r>
      <w:r>
        <w:rPr>
          <w:rFonts w:ascii="Book Antiqua" w:eastAsia="Times New Roman" w:hAnsi="Book Antiqua" w:cs="Calibri"/>
          <w:i/>
          <w:color w:val="000000"/>
          <w:sz w:val="24"/>
          <w:szCs w:val="24"/>
          <w:lang w:val="en-US"/>
        </w:rPr>
        <w:t>F. mediterranea</w:t>
      </w:r>
      <w:r>
        <w:rPr>
          <w:rFonts w:ascii="Book Antiqua" w:eastAsia="Times New Roman" w:hAnsi="Book Antiqua" w:cs="Calibri"/>
          <w:color w:val="000000"/>
          <w:sz w:val="24"/>
          <w:szCs w:val="24"/>
          <w:lang w:val="en-US"/>
        </w:rPr>
        <w:t xml:space="preserve"> </w:t>
      </w:r>
      <w:r>
        <w:rPr>
          <w:rFonts w:ascii="Book Antiqua" w:eastAsia="Times New Roman" w:hAnsi="Book Antiqua" w:cs="Times New Roman"/>
          <w:sz w:val="24"/>
          <w:szCs w:val="24"/>
          <w:lang w:val="en-US"/>
        </w:rPr>
        <w:t xml:space="preserve">zasnovano na </w:t>
      </w:r>
      <w:r>
        <w:rPr>
          <w:rFonts w:ascii="Book Antiqua" w:hAnsi="Book Antiqua" w:cs="Times New Roman"/>
          <w:sz w:val="24"/>
          <w:szCs w:val="24"/>
          <w:lang w:val="sr-Latn-RS"/>
        </w:rPr>
        <w:t>konkateniranim</w:t>
      </w:r>
      <w:r>
        <w:rPr>
          <w:rFonts w:ascii="Book Antiqua" w:eastAsia="Times New Roman" w:hAnsi="Book Antiqua" w:cs="Times New Roman"/>
          <w:sz w:val="24"/>
          <w:szCs w:val="24"/>
          <w:lang w:val="en-US"/>
        </w:rPr>
        <w:t xml:space="preserve"> sekvencama ITS regiona i tef1a gena prikazano je na slici 7a. Utvrđeno je da se izolati nalaze u okviru jednog klastera zajedno sa ostalim izolatima </w:t>
      </w:r>
      <w:r>
        <w:rPr>
          <w:rFonts w:ascii="Book Antiqua" w:eastAsia="Times New Roman" w:hAnsi="Book Antiqua" w:cs="Times New Roman"/>
          <w:i/>
          <w:sz w:val="24"/>
          <w:szCs w:val="24"/>
          <w:lang w:val="en-US"/>
        </w:rPr>
        <w:t>F. mediterranea</w:t>
      </w:r>
      <w:r>
        <w:rPr>
          <w:rFonts w:ascii="Book Antiqua" w:eastAsia="Times New Roman" w:hAnsi="Book Antiqua" w:cs="Times New Roman"/>
          <w:sz w:val="24"/>
          <w:szCs w:val="24"/>
          <w:lang w:val="en-US"/>
        </w:rPr>
        <w:t xml:space="preserve"> čije su sekvence preuzete iz NCBI. Međutim crnogorski izolati su razdvojeni u tri potklastera od čega su izolati MN011 i MN008 međusobno najhomogeniji. Sva četiri crnogorska izolata </w:t>
      </w:r>
      <w:r>
        <w:rPr>
          <w:rFonts w:ascii="Book Antiqua" w:eastAsia="Times New Roman" w:hAnsi="Book Antiqua" w:cs="Times New Roman"/>
          <w:i/>
          <w:sz w:val="24"/>
          <w:szCs w:val="24"/>
          <w:lang w:val="en-US"/>
        </w:rPr>
        <w:t>F. mediterranea</w:t>
      </w:r>
      <w:r>
        <w:rPr>
          <w:rFonts w:ascii="Book Antiqua" w:eastAsia="Times New Roman" w:hAnsi="Book Antiqua" w:cs="Times New Roman"/>
          <w:sz w:val="24"/>
          <w:szCs w:val="24"/>
          <w:lang w:val="en-US"/>
        </w:rPr>
        <w:t xml:space="preserve"> su najsrodnija sa izolatima </w:t>
      </w:r>
      <w:r>
        <w:rPr>
          <w:rFonts w:ascii="Book Antiqua" w:eastAsia="Times New Roman" w:hAnsi="Book Antiqua" w:cs="Calibri"/>
          <w:color w:val="000000"/>
          <w:sz w:val="24"/>
          <w:szCs w:val="24"/>
          <w:lang w:val="en-US"/>
        </w:rPr>
        <w:t xml:space="preserve">AFTOL-ID 688 i MUCL 38514 koji su porijeklom iz SAD odnosno Belgije, a izolovani su sa vinove loze. </w:t>
      </w:r>
    </w:p>
    <w:p w14:paraId="0861FD1E" w14:textId="77777777" w:rsidR="003801E8" w:rsidRDefault="00E44AAE">
      <w:pPr>
        <w:spacing w:line="360" w:lineRule="auto"/>
        <w:jc w:val="both"/>
        <w:rPr>
          <w:rFonts w:ascii="Book Antiqua" w:eastAsia="Times New Roman" w:hAnsi="Book Antiqua" w:cs="Times New Roman"/>
          <w:color w:val="000000"/>
          <w:sz w:val="24"/>
          <w:szCs w:val="24"/>
          <w:lang w:val="en-US"/>
        </w:rPr>
      </w:pPr>
      <w:r>
        <w:rPr>
          <w:rFonts w:ascii="Book Antiqua" w:eastAsia="Times New Roman" w:hAnsi="Book Antiqua" w:cs="Calibri"/>
          <w:color w:val="000000"/>
          <w:sz w:val="24"/>
          <w:szCs w:val="24"/>
          <w:lang w:val="en-US"/>
        </w:rPr>
        <w:lastRenderedPageBreak/>
        <w:t xml:space="preserve">Crnogorski izolat </w:t>
      </w:r>
      <w:r>
        <w:rPr>
          <w:rFonts w:ascii="Book Antiqua" w:eastAsia="Times New Roman" w:hAnsi="Book Antiqua" w:cs="Calibri"/>
          <w:i/>
          <w:color w:val="000000"/>
          <w:sz w:val="24"/>
          <w:szCs w:val="24"/>
          <w:lang w:val="en-US"/>
        </w:rPr>
        <w:t>T. citrinoviride</w:t>
      </w:r>
      <w:r>
        <w:rPr>
          <w:rFonts w:ascii="Book Antiqua" w:eastAsia="Times New Roman" w:hAnsi="Book Antiqua" w:cs="Calibri"/>
          <w:color w:val="000000"/>
          <w:sz w:val="24"/>
          <w:szCs w:val="24"/>
          <w:lang w:val="en-US"/>
        </w:rPr>
        <w:t xml:space="preserve"> T-CG u filogenetskom stablu (Slika 7b) konstruisanom na </w:t>
      </w:r>
      <w:r>
        <w:rPr>
          <w:rFonts w:ascii="Book Antiqua" w:hAnsi="Book Antiqua" w:cs="Times New Roman"/>
          <w:sz w:val="24"/>
          <w:szCs w:val="24"/>
          <w:lang w:val="sr-Latn-RS"/>
        </w:rPr>
        <w:t xml:space="preserve">konkateniranim sekvencama ITS regiona, tef1a i rpb2 gena se izdvaja u poseban potklaster u okviru klastera u kom se nalaze različiti izolati </w:t>
      </w:r>
      <w:r>
        <w:rPr>
          <w:rFonts w:ascii="Book Antiqua" w:hAnsi="Book Antiqua" w:cs="Times New Roman"/>
          <w:i/>
          <w:sz w:val="24"/>
          <w:szCs w:val="24"/>
          <w:lang w:val="sr-Latn-RS"/>
        </w:rPr>
        <w:t>T. citrinoviride</w:t>
      </w:r>
      <w:r>
        <w:rPr>
          <w:rFonts w:ascii="Book Antiqua" w:hAnsi="Book Antiqua" w:cs="Times New Roman"/>
          <w:sz w:val="24"/>
          <w:szCs w:val="24"/>
          <w:lang w:val="sr-Latn-RS"/>
        </w:rPr>
        <w:t xml:space="preserve"> čije su sekvence preuzete iz NCBI. Crnogorski izolat je najsrodniji sa izolatima </w:t>
      </w:r>
      <w:r>
        <w:rPr>
          <w:rFonts w:ascii="Book Antiqua" w:eastAsia="Times New Roman" w:hAnsi="Book Antiqua" w:cs="Times New Roman"/>
          <w:color w:val="000000"/>
          <w:sz w:val="24"/>
          <w:szCs w:val="24"/>
          <w:lang w:val="en-US"/>
        </w:rPr>
        <w:t xml:space="preserve">DAOM 139758 (izolovanim sa </w:t>
      </w:r>
      <w:r>
        <w:rPr>
          <w:rFonts w:ascii="Book Antiqua" w:eastAsia="Times New Roman" w:hAnsi="Book Antiqua" w:cs="Times New Roman"/>
          <w:i/>
          <w:color w:val="000000"/>
          <w:sz w:val="24"/>
          <w:szCs w:val="24"/>
          <w:lang w:val="en-US"/>
        </w:rPr>
        <w:t>B. alleghaniensis</w:t>
      </w:r>
      <w:r>
        <w:rPr>
          <w:rFonts w:ascii="Book Antiqua" w:eastAsia="Times New Roman" w:hAnsi="Book Antiqua" w:cs="Times New Roman"/>
          <w:color w:val="000000"/>
          <w:sz w:val="24"/>
          <w:szCs w:val="24"/>
          <w:lang w:val="en-US"/>
        </w:rPr>
        <w:t xml:space="preserve"> u Kanadi) i GJS 92-8 (izolovanim sa </w:t>
      </w:r>
      <w:r>
        <w:rPr>
          <w:rFonts w:ascii="Book Antiqua" w:eastAsia="Times New Roman" w:hAnsi="Book Antiqua" w:cs="Times New Roman"/>
          <w:i/>
          <w:color w:val="000000"/>
          <w:sz w:val="24"/>
          <w:szCs w:val="24"/>
          <w:lang w:val="en-US"/>
        </w:rPr>
        <w:t>Fagus</w:t>
      </w:r>
      <w:r>
        <w:rPr>
          <w:rFonts w:ascii="Book Antiqua" w:eastAsia="Times New Roman" w:hAnsi="Book Antiqua" w:cs="Times New Roman"/>
          <w:color w:val="000000"/>
          <w:sz w:val="24"/>
          <w:szCs w:val="24"/>
          <w:lang w:val="en-US"/>
        </w:rPr>
        <w:t xml:space="preserve"> sp. u Francuskoj). </w:t>
      </w:r>
    </w:p>
    <w:p w14:paraId="323825CA" w14:textId="77777777" w:rsidR="003801E8" w:rsidRDefault="00E44AAE">
      <w:pPr>
        <w:spacing w:line="360" w:lineRule="auto"/>
        <w:jc w:val="both"/>
        <w:rPr>
          <w:rFonts w:ascii="Book Antiqua" w:eastAsia="Times New Roman" w:hAnsi="Book Antiqua" w:cs="Times New Roman"/>
          <w:color w:val="000000"/>
          <w:sz w:val="24"/>
          <w:szCs w:val="24"/>
          <w:lang w:val="en-US"/>
        </w:rPr>
      </w:pPr>
      <w:r>
        <w:rPr>
          <w:rFonts w:ascii="Book Antiqua" w:hAnsi="Book Antiqua" w:cs="Times New Roman"/>
          <w:sz w:val="24"/>
          <w:szCs w:val="24"/>
          <w:lang w:val="sr-Latn-RS"/>
        </w:rPr>
        <w:t xml:space="preserve">Konstruisano filogenetsko stablo crnogorskih izolata više različitih vrsta iz roda </w:t>
      </w:r>
      <w:r>
        <w:rPr>
          <w:rFonts w:ascii="Book Antiqua" w:hAnsi="Book Antiqua" w:cs="Times New Roman"/>
          <w:i/>
          <w:sz w:val="24"/>
          <w:szCs w:val="24"/>
          <w:lang w:val="sr-Latn-RS"/>
        </w:rPr>
        <w:t>Botryosphaeria</w:t>
      </w:r>
      <w:r>
        <w:rPr>
          <w:rFonts w:ascii="Book Antiqua" w:hAnsi="Book Antiqua" w:cs="Times New Roman"/>
          <w:sz w:val="24"/>
          <w:szCs w:val="24"/>
          <w:lang w:val="sr-Latn-RS"/>
        </w:rPr>
        <w:t xml:space="preserve"> zasnovano na konkateniranim sekvencama ITS, LSU regiona, tub2 i tef1a gena, prikazano je na  slici 8a. Utvrđeno je da se crnogorski izolat </w:t>
      </w:r>
      <w:r>
        <w:rPr>
          <w:rFonts w:ascii="Book Antiqua" w:hAnsi="Book Antiqua" w:cs="Times New Roman"/>
          <w:i/>
          <w:sz w:val="24"/>
          <w:szCs w:val="24"/>
          <w:lang w:val="sr-Latn-RS"/>
        </w:rPr>
        <w:t>D. mutila</w:t>
      </w:r>
      <w:r>
        <w:rPr>
          <w:rFonts w:ascii="Book Antiqua" w:hAnsi="Book Antiqua" w:cs="Times New Roman"/>
          <w:sz w:val="24"/>
          <w:szCs w:val="24"/>
          <w:lang w:val="sr-Latn-RS"/>
        </w:rPr>
        <w:t xml:space="preserve"> MN001 nalazi u istom klasteru zajedno sa ostalim vrstama </w:t>
      </w:r>
      <w:r>
        <w:rPr>
          <w:rFonts w:ascii="Book Antiqua" w:hAnsi="Book Antiqua" w:cs="Times New Roman"/>
          <w:i/>
          <w:sz w:val="24"/>
          <w:szCs w:val="24"/>
          <w:lang w:val="sr-Latn-RS"/>
        </w:rPr>
        <w:t>D. mutila</w:t>
      </w:r>
      <w:r>
        <w:rPr>
          <w:rFonts w:ascii="Book Antiqua" w:hAnsi="Book Antiqua" w:cs="Times New Roman"/>
          <w:sz w:val="24"/>
          <w:szCs w:val="24"/>
          <w:lang w:val="sr-Latn-RS"/>
        </w:rPr>
        <w:t xml:space="preserve"> čije su sekvence preuzete iz NCBI. Pomenuti izolat je najsrodniji sa </w:t>
      </w:r>
      <w:r>
        <w:rPr>
          <w:rFonts w:ascii="Book Antiqua" w:eastAsia="Times New Roman" w:hAnsi="Book Antiqua" w:cs="Times New Roman"/>
          <w:color w:val="000000"/>
          <w:sz w:val="24"/>
          <w:szCs w:val="24"/>
          <w:lang w:val="en-US"/>
        </w:rPr>
        <w:t xml:space="preserve">CBS 112553 (izolovanim sa vinove loze u Portugalu). Izolat </w:t>
      </w:r>
      <w:r>
        <w:rPr>
          <w:rFonts w:ascii="Book Antiqua" w:eastAsia="Times New Roman" w:hAnsi="Book Antiqua" w:cs="Times New Roman"/>
          <w:i/>
          <w:color w:val="000000"/>
          <w:sz w:val="24"/>
          <w:szCs w:val="24"/>
          <w:lang w:val="en-US"/>
        </w:rPr>
        <w:t>D. seriata</w:t>
      </w:r>
      <w:r>
        <w:rPr>
          <w:rFonts w:ascii="Book Antiqua" w:eastAsia="Times New Roman" w:hAnsi="Book Antiqua" w:cs="Times New Roman"/>
          <w:color w:val="000000"/>
          <w:sz w:val="24"/>
          <w:szCs w:val="24"/>
          <w:lang w:val="en-US"/>
        </w:rPr>
        <w:t xml:space="preserve"> MN001 se nalazi u zasebnom potklasteru zajedno sa ostalim analiziranim izolatima </w:t>
      </w:r>
      <w:r>
        <w:rPr>
          <w:rFonts w:ascii="Book Antiqua" w:eastAsia="Times New Roman" w:hAnsi="Book Antiqua" w:cs="Times New Roman"/>
          <w:i/>
          <w:color w:val="000000"/>
          <w:sz w:val="24"/>
          <w:szCs w:val="24"/>
          <w:lang w:val="en-US"/>
        </w:rPr>
        <w:t>D. seriata</w:t>
      </w:r>
      <w:r>
        <w:rPr>
          <w:rFonts w:ascii="Book Antiqua" w:eastAsia="Times New Roman" w:hAnsi="Book Antiqua" w:cs="Times New Roman"/>
          <w:color w:val="000000"/>
          <w:sz w:val="24"/>
          <w:szCs w:val="24"/>
          <w:lang w:val="en-US"/>
        </w:rPr>
        <w:t xml:space="preserve">, a najsrodniji je izolatu CBS 112555 iz Portugala (domaćin nepoznat). Izolati </w:t>
      </w:r>
      <w:r>
        <w:rPr>
          <w:rFonts w:ascii="Book Antiqua" w:eastAsia="Times New Roman" w:hAnsi="Book Antiqua" w:cs="Times New Roman"/>
          <w:i/>
          <w:color w:val="000000"/>
          <w:sz w:val="24"/>
          <w:szCs w:val="24"/>
          <w:lang w:val="en-US"/>
        </w:rPr>
        <w:t>N. parvum</w:t>
      </w:r>
      <w:r>
        <w:rPr>
          <w:rFonts w:ascii="Book Antiqua" w:eastAsia="Times New Roman" w:hAnsi="Book Antiqua" w:cs="Times New Roman"/>
          <w:color w:val="000000"/>
          <w:sz w:val="24"/>
          <w:szCs w:val="24"/>
          <w:lang w:val="en-US"/>
        </w:rPr>
        <w:t xml:space="preserve"> B-CG i </w:t>
      </w:r>
      <w:r>
        <w:rPr>
          <w:rFonts w:ascii="Book Antiqua" w:eastAsia="Times New Roman" w:hAnsi="Book Antiqua" w:cs="Times New Roman"/>
          <w:i/>
          <w:color w:val="000000"/>
          <w:sz w:val="24"/>
          <w:szCs w:val="24"/>
          <w:lang w:val="en-US"/>
        </w:rPr>
        <w:t>N. parvum</w:t>
      </w:r>
      <w:r>
        <w:rPr>
          <w:rFonts w:ascii="Book Antiqua" w:eastAsia="Times New Roman" w:hAnsi="Book Antiqua" w:cs="Times New Roman"/>
          <w:color w:val="000000"/>
          <w:sz w:val="24"/>
          <w:szCs w:val="24"/>
          <w:lang w:val="en-US"/>
        </w:rPr>
        <w:t xml:space="preserve"> MN001 ne pokazuju međusobnu homogenost i razdvojeni su u zasebne potklastere. Izolat </w:t>
      </w:r>
      <w:r>
        <w:rPr>
          <w:rFonts w:ascii="Book Antiqua" w:eastAsia="Times New Roman" w:hAnsi="Book Antiqua" w:cs="Times New Roman"/>
          <w:i/>
          <w:color w:val="000000"/>
          <w:sz w:val="24"/>
          <w:szCs w:val="24"/>
          <w:lang w:val="en-US"/>
        </w:rPr>
        <w:t>N. parvum</w:t>
      </w:r>
      <w:r>
        <w:rPr>
          <w:rFonts w:ascii="Book Antiqua" w:eastAsia="Times New Roman" w:hAnsi="Book Antiqua" w:cs="Times New Roman"/>
          <w:color w:val="000000"/>
          <w:sz w:val="24"/>
          <w:szCs w:val="24"/>
          <w:lang w:val="en-US"/>
        </w:rPr>
        <w:t xml:space="preserve"> MN001 je najsrodniji sa izolatom PER04 koji je izolovan u Francuskoj sa vinove loze, dok je izolat </w:t>
      </w:r>
      <w:r>
        <w:rPr>
          <w:rFonts w:ascii="Book Antiqua" w:eastAsia="Times New Roman" w:hAnsi="Book Antiqua" w:cs="Times New Roman"/>
          <w:i/>
          <w:color w:val="000000"/>
          <w:sz w:val="24"/>
          <w:szCs w:val="24"/>
          <w:lang w:val="en-US"/>
        </w:rPr>
        <w:t xml:space="preserve">N. parvum </w:t>
      </w:r>
      <w:r>
        <w:rPr>
          <w:rFonts w:ascii="Book Antiqua" w:eastAsia="Times New Roman" w:hAnsi="Book Antiqua" w:cs="Times New Roman"/>
          <w:color w:val="000000"/>
          <w:sz w:val="24"/>
          <w:szCs w:val="24"/>
          <w:lang w:val="en-US"/>
        </w:rPr>
        <w:t xml:space="preserve">B-CG najsrodniji izolatu CMW38135 koji je izolovan sa biljne vrste </w:t>
      </w:r>
      <w:r>
        <w:rPr>
          <w:rFonts w:ascii="Book Antiqua" w:eastAsia="Times New Roman" w:hAnsi="Book Antiqua" w:cs="Times New Roman"/>
          <w:i/>
          <w:color w:val="000000"/>
          <w:sz w:val="24"/>
          <w:szCs w:val="24"/>
          <w:lang w:val="en-US"/>
        </w:rPr>
        <w:t>Acacia karro</w:t>
      </w:r>
      <w:r>
        <w:rPr>
          <w:rFonts w:ascii="Book Antiqua" w:eastAsia="Times New Roman" w:hAnsi="Book Antiqua" w:cs="Times New Roman"/>
          <w:color w:val="000000"/>
          <w:sz w:val="24"/>
          <w:szCs w:val="24"/>
          <w:lang w:val="en-US"/>
        </w:rPr>
        <w:t xml:space="preserve"> u Južnoj Africi. U okviru konstruisanog filogenetskog stabla jasno je odvojen klaster različitih izolata </w:t>
      </w:r>
      <w:r>
        <w:rPr>
          <w:rFonts w:ascii="Book Antiqua" w:eastAsia="Times New Roman" w:hAnsi="Book Antiqua" w:cs="Times New Roman"/>
          <w:i/>
          <w:color w:val="000000"/>
          <w:sz w:val="24"/>
          <w:szCs w:val="24"/>
          <w:lang w:val="en-US"/>
        </w:rPr>
        <w:t>B. dothidea</w:t>
      </w:r>
      <w:r>
        <w:rPr>
          <w:rFonts w:ascii="Book Antiqua" w:eastAsia="Times New Roman" w:hAnsi="Book Antiqua" w:cs="Times New Roman"/>
          <w:color w:val="000000"/>
          <w:sz w:val="24"/>
          <w:szCs w:val="24"/>
          <w:lang w:val="en-US"/>
        </w:rPr>
        <w:t xml:space="preserve"> u okviru kog se u zaseban potklaster izdvaja crnogorski izolat </w:t>
      </w:r>
      <w:r>
        <w:rPr>
          <w:rFonts w:ascii="Book Antiqua" w:eastAsia="Times New Roman" w:hAnsi="Book Antiqua" w:cs="Times New Roman"/>
          <w:i/>
          <w:color w:val="000000"/>
          <w:sz w:val="24"/>
          <w:szCs w:val="24"/>
          <w:lang w:val="en-US"/>
        </w:rPr>
        <w:t>B. dothidea</w:t>
      </w:r>
      <w:r>
        <w:rPr>
          <w:rFonts w:ascii="Book Antiqua" w:eastAsia="Times New Roman" w:hAnsi="Book Antiqua" w:cs="Times New Roman"/>
          <w:color w:val="000000"/>
          <w:sz w:val="24"/>
          <w:szCs w:val="24"/>
          <w:lang w:val="en-US"/>
        </w:rPr>
        <w:t xml:space="preserve"> MN001 koji je nasrodoniji izolatzu MUCC500 (izolovanim sa </w:t>
      </w:r>
      <w:r>
        <w:rPr>
          <w:rFonts w:ascii="Book Antiqua" w:eastAsia="Times New Roman" w:hAnsi="Book Antiqua" w:cs="Times New Roman"/>
          <w:i/>
          <w:color w:val="000000"/>
          <w:sz w:val="24"/>
          <w:szCs w:val="24"/>
          <w:lang w:val="en-US"/>
        </w:rPr>
        <w:t>Eucalyptus marginata</w:t>
      </w:r>
      <w:r>
        <w:rPr>
          <w:rFonts w:ascii="Book Antiqua" w:eastAsia="Times New Roman" w:hAnsi="Book Antiqua" w:cs="Times New Roman"/>
          <w:color w:val="000000"/>
          <w:sz w:val="24"/>
          <w:szCs w:val="24"/>
          <w:lang w:val="en-US"/>
        </w:rPr>
        <w:t xml:space="preserve"> u Australiji). </w:t>
      </w:r>
    </w:p>
    <w:p w14:paraId="2F0E9192" w14:textId="77777777" w:rsidR="003801E8" w:rsidRDefault="00E44AAE">
      <w:pPr>
        <w:spacing w:line="360" w:lineRule="auto"/>
        <w:jc w:val="both"/>
        <w:rPr>
          <w:rFonts w:ascii="Book Antiqua" w:eastAsia="Times New Roman" w:hAnsi="Book Antiqua" w:cs="Calibri"/>
          <w:color w:val="000000"/>
          <w:sz w:val="24"/>
          <w:szCs w:val="24"/>
          <w:lang w:val="en-US"/>
        </w:rPr>
      </w:pPr>
      <w:r>
        <w:rPr>
          <w:rFonts w:ascii="Book Antiqua" w:eastAsia="Times New Roman" w:hAnsi="Book Antiqua" w:cs="Times New Roman"/>
          <w:color w:val="000000"/>
          <w:sz w:val="24"/>
          <w:szCs w:val="24"/>
          <w:lang w:val="en-US"/>
        </w:rPr>
        <w:t xml:space="preserve">Crnogorski izolat </w:t>
      </w:r>
      <w:r>
        <w:rPr>
          <w:rFonts w:ascii="Book Antiqua" w:eastAsia="Times New Roman" w:hAnsi="Book Antiqua" w:cs="Times New Roman"/>
          <w:i/>
          <w:color w:val="000000"/>
          <w:sz w:val="24"/>
          <w:szCs w:val="24"/>
          <w:lang w:val="en-US"/>
        </w:rPr>
        <w:t>C. luteo olivacea</w:t>
      </w:r>
      <w:r>
        <w:rPr>
          <w:rFonts w:ascii="Book Antiqua" w:eastAsia="Times New Roman" w:hAnsi="Book Antiqua" w:cs="Times New Roman"/>
          <w:color w:val="000000"/>
          <w:sz w:val="24"/>
          <w:szCs w:val="24"/>
          <w:lang w:val="en-US"/>
        </w:rPr>
        <w:t xml:space="preserve"> MN001 u filogenetskom stablu konstruisanom na konkateniranim sekvencama ITS regiona, tef1a i tub2 gena se izdvaja u poseban potklaster u okviru klastera u kom se nalaze različiti izolati </w:t>
      </w:r>
      <w:r>
        <w:rPr>
          <w:rFonts w:ascii="Book Antiqua" w:eastAsia="Times New Roman" w:hAnsi="Book Antiqua" w:cs="Times New Roman"/>
          <w:i/>
          <w:color w:val="000000"/>
          <w:sz w:val="24"/>
          <w:szCs w:val="24"/>
          <w:lang w:val="en-US"/>
        </w:rPr>
        <w:t xml:space="preserve">C. luteo olivacea </w:t>
      </w:r>
      <w:r>
        <w:rPr>
          <w:rFonts w:ascii="Book Antiqua" w:eastAsia="Times New Roman" w:hAnsi="Book Antiqua" w:cs="Times New Roman"/>
          <w:color w:val="000000"/>
          <w:sz w:val="24"/>
          <w:szCs w:val="24"/>
          <w:lang w:val="en-US"/>
        </w:rPr>
        <w:t xml:space="preserve">čije su sekvence preuzete iz NCBI (Slika 8b). Izolat MN001 najsrodniji je izolatu </w:t>
      </w:r>
      <w:r>
        <w:rPr>
          <w:rFonts w:ascii="Book Antiqua" w:eastAsia="Times New Roman" w:hAnsi="Book Antiqua" w:cs="Calibri"/>
          <w:color w:val="000000"/>
          <w:sz w:val="24"/>
          <w:szCs w:val="24"/>
          <w:lang w:val="en-US"/>
        </w:rPr>
        <w:t xml:space="preserve">MEND-F-0454 koji je izolovan sa vinove loze u Češkoj. </w:t>
      </w:r>
    </w:p>
    <w:p w14:paraId="5CF36A0D" w14:textId="77777777" w:rsidR="003801E8" w:rsidRDefault="003801E8">
      <w:pPr>
        <w:spacing w:line="360" w:lineRule="auto"/>
        <w:jc w:val="both"/>
        <w:rPr>
          <w:rFonts w:ascii="Book Antiqua" w:eastAsia="Times New Roman" w:hAnsi="Book Antiqua" w:cs="Calibri"/>
          <w:color w:val="000000"/>
          <w:sz w:val="24"/>
          <w:szCs w:val="24"/>
          <w:lang w:val="en-US"/>
        </w:rPr>
      </w:pPr>
    </w:p>
    <w:p w14:paraId="013850AA" w14:textId="77777777" w:rsidR="003801E8" w:rsidRDefault="00E44AAE">
      <w:pPr>
        <w:spacing w:line="360" w:lineRule="auto"/>
        <w:jc w:val="both"/>
        <w:rPr>
          <w:rFonts w:ascii="Book Antiqua" w:eastAsia="Times New Roman" w:hAnsi="Book Antiqua" w:cs="Times New Roman"/>
          <w:color w:val="000000"/>
          <w:sz w:val="24"/>
          <w:szCs w:val="24"/>
          <w:lang w:val="en-US"/>
        </w:rPr>
      </w:pPr>
      <w:r>
        <w:rPr>
          <w:rFonts w:ascii="Book Antiqua" w:eastAsia="Times New Roman" w:hAnsi="Book Antiqua" w:cs="Calibri"/>
          <w:color w:val="000000"/>
          <w:sz w:val="24"/>
          <w:szCs w:val="24"/>
          <w:lang w:val="en-US"/>
        </w:rPr>
        <w:lastRenderedPageBreak/>
        <w:t xml:space="preserve">Crnogorski izolat </w:t>
      </w:r>
      <w:r>
        <w:rPr>
          <w:rFonts w:ascii="Book Antiqua" w:eastAsia="Times New Roman" w:hAnsi="Book Antiqua" w:cs="Calibri"/>
          <w:i/>
          <w:color w:val="000000"/>
          <w:sz w:val="24"/>
          <w:szCs w:val="24"/>
          <w:lang w:val="en-US"/>
        </w:rPr>
        <w:t>S. vitis</w:t>
      </w:r>
      <w:r>
        <w:rPr>
          <w:rFonts w:ascii="Book Antiqua" w:eastAsia="Times New Roman" w:hAnsi="Book Antiqua" w:cs="Calibri"/>
          <w:color w:val="000000"/>
          <w:sz w:val="24"/>
          <w:szCs w:val="24"/>
          <w:lang w:val="en-US"/>
        </w:rPr>
        <w:t xml:space="preserve"> MN001 </w:t>
      </w:r>
      <w:r>
        <w:rPr>
          <w:rFonts w:ascii="Book Antiqua" w:eastAsia="Times New Roman" w:hAnsi="Book Antiqua" w:cs="Times New Roman"/>
          <w:color w:val="000000"/>
          <w:sz w:val="24"/>
          <w:szCs w:val="24"/>
          <w:lang w:val="en-US"/>
        </w:rPr>
        <w:t xml:space="preserve">u filogenetskom stablu (Slika 9a) konstruisanom na konkateniranim sekvencama ITS regiona, tef1a i tub2 gena se izdvaja u poseban potklaster zajedno sa izolatima </w:t>
      </w:r>
      <w:r>
        <w:rPr>
          <w:rFonts w:ascii="Book Antiqua" w:eastAsia="Times New Roman" w:hAnsi="Book Antiqua" w:cs="Times New Roman"/>
          <w:i/>
          <w:color w:val="000000"/>
          <w:sz w:val="24"/>
          <w:szCs w:val="24"/>
          <w:lang w:val="en-US"/>
        </w:rPr>
        <w:t>S. vitis viniferae</w:t>
      </w:r>
      <w:r>
        <w:rPr>
          <w:rFonts w:ascii="Book Antiqua" w:eastAsia="Times New Roman" w:hAnsi="Book Antiqua" w:cs="Times New Roman"/>
          <w:color w:val="000000"/>
          <w:sz w:val="24"/>
          <w:szCs w:val="24"/>
          <w:lang w:val="en-US"/>
        </w:rPr>
        <w:t xml:space="preserve"> CRCC212 (Italija; </w:t>
      </w:r>
      <w:r>
        <w:rPr>
          <w:rFonts w:ascii="Book Antiqua" w:eastAsia="Times New Roman" w:hAnsi="Book Antiqua" w:cs="Times New Roman"/>
          <w:i/>
          <w:color w:val="000000"/>
          <w:sz w:val="24"/>
          <w:szCs w:val="24"/>
          <w:lang w:val="en-US"/>
        </w:rPr>
        <w:t>V. vinifera</w:t>
      </w:r>
      <w:r>
        <w:rPr>
          <w:rFonts w:ascii="Book Antiqua" w:eastAsia="Times New Roman" w:hAnsi="Book Antiqua" w:cs="Times New Roman"/>
          <w:color w:val="000000"/>
          <w:sz w:val="24"/>
          <w:szCs w:val="24"/>
          <w:lang w:val="en-US"/>
        </w:rPr>
        <w:t xml:space="preserve">) i </w:t>
      </w:r>
      <w:r>
        <w:rPr>
          <w:rFonts w:ascii="Book Antiqua" w:eastAsia="Times New Roman" w:hAnsi="Book Antiqua" w:cs="Times New Roman"/>
          <w:i/>
          <w:color w:val="000000"/>
          <w:sz w:val="24"/>
          <w:szCs w:val="24"/>
          <w:lang w:val="en-US"/>
        </w:rPr>
        <w:t>S. vitis viniferae</w:t>
      </w:r>
      <w:r>
        <w:rPr>
          <w:rFonts w:ascii="Book Antiqua" w:eastAsia="Times New Roman" w:hAnsi="Book Antiqua" w:cs="Times New Roman"/>
          <w:color w:val="000000"/>
          <w:sz w:val="24"/>
          <w:szCs w:val="24"/>
          <w:lang w:val="en-US"/>
        </w:rPr>
        <w:t xml:space="preserve"> Wint 752 (Kalifornija; </w:t>
      </w:r>
      <w:r>
        <w:rPr>
          <w:rFonts w:ascii="Book Antiqua" w:eastAsia="Times New Roman" w:hAnsi="Book Antiqua" w:cs="Times New Roman"/>
          <w:i/>
          <w:color w:val="000000"/>
          <w:sz w:val="24"/>
          <w:szCs w:val="24"/>
          <w:lang w:val="en-US"/>
        </w:rPr>
        <w:t>V. vinifera</w:t>
      </w:r>
      <w:r>
        <w:rPr>
          <w:rFonts w:ascii="Book Antiqua" w:eastAsia="Times New Roman" w:hAnsi="Book Antiqua" w:cs="Times New Roman"/>
          <w:color w:val="000000"/>
          <w:sz w:val="24"/>
          <w:szCs w:val="24"/>
          <w:lang w:val="en-US"/>
        </w:rPr>
        <w:t xml:space="preserve">) sa kojima pokazuje visok stepen homogenosti. </w:t>
      </w:r>
    </w:p>
    <w:p w14:paraId="687B385C" w14:textId="77777777" w:rsidR="003801E8" w:rsidRDefault="00E44AAE">
      <w:pPr>
        <w:spacing w:line="360" w:lineRule="auto"/>
        <w:jc w:val="both"/>
        <w:rPr>
          <w:rFonts w:ascii="Book Antiqua" w:eastAsia="Times New Roman" w:hAnsi="Book Antiqua" w:cs="Times New Roman"/>
          <w:sz w:val="24"/>
          <w:szCs w:val="24"/>
          <w:lang w:val="en-US"/>
        </w:rPr>
      </w:pPr>
      <w:r>
        <w:rPr>
          <w:rFonts w:ascii="Book Antiqua" w:eastAsia="Times New Roman" w:hAnsi="Book Antiqua" w:cs="Calibri"/>
          <w:color w:val="000000"/>
          <w:sz w:val="24"/>
          <w:szCs w:val="24"/>
          <w:lang w:val="en-US"/>
        </w:rPr>
        <w:t xml:space="preserve">Konstruisano filogenetsko stablo za izolat </w:t>
      </w:r>
      <w:r>
        <w:rPr>
          <w:rFonts w:ascii="Book Antiqua" w:eastAsia="Times New Roman" w:hAnsi="Book Antiqua" w:cs="Calibri"/>
          <w:i/>
          <w:color w:val="000000"/>
          <w:sz w:val="24"/>
          <w:szCs w:val="24"/>
          <w:lang w:val="en-US"/>
        </w:rPr>
        <w:t xml:space="preserve">B. mediterranea </w:t>
      </w:r>
      <w:r>
        <w:rPr>
          <w:rFonts w:ascii="Book Antiqua" w:eastAsia="Times New Roman" w:hAnsi="Book Antiqua" w:cs="Calibri"/>
          <w:color w:val="000000"/>
          <w:sz w:val="24"/>
          <w:szCs w:val="24"/>
          <w:lang w:val="en-US"/>
        </w:rPr>
        <w:t xml:space="preserve">MN001 </w:t>
      </w:r>
      <w:r>
        <w:rPr>
          <w:rFonts w:ascii="Book Antiqua" w:eastAsia="Times New Roman" w:hAnsi="Book Antiqua" w:cs="Times New Roman"/>
          <w:sz w:val="24"/>
          <w:szCs w:val="24"/>
          <w:lang w:val="en-US"/>
        </w:rPr>
        <w:t xml:space="preserve">zasnovano na </w:t>
      </w:r>
      <w:r>
        <w:rPr>
          <w:rFonts w:ascii="Book Antiqua" w:hAnsi="Book Antiqua" w:cs="Times New Roman"/>
          <w:sz w:val="24"/>
          <w:szCs w:val="24"/>
          <w:lang w:val="sr-Latn-RS"/>
        </w:rPr>
        <w:t>konkateniranim</w:t>
      </w:r>
      <w:r>
        <w:rPr>
          <w:rFonts w:ascii="Book Antiqua" w:eastAsia="Times New Roman" w:hAnsi="Book Antiqua" w:cs="Times New Roman"/>
          <w:sz w:val="24"/>
          <w:szCs w:val="24"/>
          <w:lang w:val="en-US"/>
        </w:rPr>
        <w:t xml:space="preserve"> sekvencama ITS regiona, tub2 i tef1a gena prikazano je na slici 9b. Utvrđeno je da je crnogorski izolat najsrodniji izolatima 18EPLE008 (Francuska; </w:t>
      </w:r>
      <w:r>
        <w:rPr>
          <w:rFonts w:ascii="Book Antiqua" w:eastAsia="Times New Roman" w:hAnsi="Book Antiqua" w:cs="Times New Roman"/>
          <w:i/>
          <w:sz w:val="24"/>
          <w:szCs w:val="24"/>
          <w:lang w:val="en-US"/>
        </w:rPr>
        <w:t>Pistacia lentiscus</w:t>
      </w:r>
      <w:r>
        <w:rPr>
          <w:rFonts w:ascii="Book Antiqua" w:eastAsia="Times New Roman" w:hAnsi="Book Antiqua" w:cs="Times New Roman"/>
          <w:sz w:val="24"/>
          <w:szCs w:val="24"/>
          <w:lang w:val="en-US"/>
        </w:rPr>
        <w:t xml:space="preserve">) i 18EPAE008 (Francuska; </w:t>
      </w:r>
      <w:r>
        <w:rPr>
          <w:rFonts w:ascii="Book Antiqua" w:eastAsia="Times New Roman" w:hAnsi="Book Antiqua" w:cs="Times New Roman"/>
          <w:i/>
          <w:sz w:val="24"/>
          <w:szCs w:val="24"/>
          <w:lang w:val="en-US"/>
        </w:rPr>
        <w:t>Paronychia echinulata</w:t>
      </w:r>
      <w:r>
        <w:rPr>
          <w:rFonts w:ascii="Book Antiqua" w:eastAsia="Times New Roman" w:hAnsi="Book Antiqua" w:cs="Times New Roman"/>
          <w:sz w:val="24"/>
          <w:szCs w:val="24"/>
          <w:lang w:val="en-US"/>
        </w:rPr>
        <w:t xml:space="preserve">) izdvajajući se u zaseban potklaster. </w:t>
      </w:r>
    </w:p>
    <w:p w14:paraId="5A2E20E0" w14:textId="77777777" w:rsidR="003801E8" w:rsidRDefault="00E44AAE">
      <w:pPr>
        <w:spacing w:line="360" w:lineRule="auto"/>
        <w:jc w:val="both"/>
        <w:rPr>
          <w:rFonts w:ascii="Book Antiqua" w:eastAsia="Times New Roman" w:hAnsi="Book Antiqua" w:cs="Times New Roman"/>
          <w:sz w:val="24"/>
          <w:szCs w:val="24"/>
          <w:lang w:val="en-US"/>
        </w:rPr>
      </w:pPr>
      <w:r>
        <w:rPr>
          <w:rFonts w:ascii="Book Antiqua" w:eastAsia="Times New Roman" w:hAnsi="Book Antiqua" w:cs="Calibri"/>
          <w:color w:val="000000"/>
          <w:sz w:val="24"/>
          <w:szCs w:val="24"/>
          <w:lang w:val="en-US"/>
        </w:rPr>
        <w:t xml:space="preserve">Konstruisano filogenetsko stablo za crnogorske izolate vrsta iz roda </w:t>
      </w:r>
      <w:r>
        <w:rPr>
          <w:rFonts w:ascii="Book Antiqua" w:eastAsia="Times New Roman" w:hAnsi="Book Antiqua" w:cs="Calibri"/>
          <w:i/>
          <w:color w:val="000000"/>
          <w:sz w:val="24"/>
          <w:szCs w:val="24"/>
          <w:lang w:val="en-US"/>
        </w:rPr>
        <w:t xml:space="preserve">Diaporthe </w:t>
      </w:r>
      <w:r>
        <w:rPr>
          <w:rFonts w:ascii="Book Antiqua" w:eastAsia="Times New Roman" w:hAnsi="Book Antiqua" w:cs="Times New Roman"/>
          <w:sz w:val="24"/>
          <w:szCs w:val="24"/>
          <w:lang w:val="en-US"/>
        </w:rPr>
        <w:t xml:space="preserve">zasnovano na </w:t>
      </w:r>
      <w:r>
        <w:rPr>
          <w:rFonts w:ascii="Book Antiqua" w:hAnsi="Book Antiqua" w:cs="Times New Roman"/>
          <w:sz w:val="24"/>
          <w:szCs w:val="24"/>
          <w:lang w:val="sr-Latn-RS"/>
        </w:rPr>
        <w:t>konkateniranim</w:t>
      </w:r>
      <w:r>
        <w:rPr>
          <w:rFonts w:ascii="Book Antiqua" w:eastAsia="Times New Roman" w:hAnsi="Book Antiqua" w:cs="Times New Roman"/>
          <w:sz w:val="24"/>
          <w:szCs w:val="24"/>
          <w:lang w:val="en-US"/>
        </w:rPr>
        <w:t xml:space="preserve"> sekvencama ITS regiona, tef1a, tub2 i his (H3) gena prikazano je na slici 10. Izolat </w:t>
      </w:r>
      <w:r>
        <w:rPr>
          <w:rFonts w:ascii="Book Antiqua" w:eastAsia="Times New Roman" w:hAnsi="Book Antiqua" w:cs="Times New Roman"/>
          <w:i/>
          <w:sz w:val="24"/>
          <w:szCs w:val="24"/>
          <w:lang w:val="en-US"/>
        </w:rPr>
        <w:t>D. ampelina</w:t>
      </w:r>
      <w:r>
        <w:rPr>
          <w:rFonts w:ascii="Book Antiqua" w:eastAsia="Times New Roman" w:hAnsi="Book Antiqua" w:cs="Times New Roman"/>
          <w:sz w:val="24"/>
          <w:szCs w:val="24"/>
          <w:lang w:val="en-US"/>
        </w:rPr>
        <w:t xml:space="preserve"> MN001 izdvaja se u zaseban potklaster u okviru klastera u kom su jasno odvojeni svi izolati </w:t>
      </w:r>
      <w:r>
        <w:rPr>
          <w:rFonts w:ascii="Book Antiqua" w:eastAsia="Times New Roman" w:hAnsi="Book Antiqua" w:cs="Times New Roman"/>
          <w:i/>
          <w:sz w:val="24"/>
          <w:szCs w:val="24"/>
          <w:lang w:val="en-US"/>
        </w:rPr>
        <w:t>D. ampelina</w:t>
      </w:r>
      <w:r>
        <w:rPr>
          <w:rFonts w:ascii="Book Antiqua" w:eastAsia="Times New Roman" w:hAnsi="Book Antiqua" w:cs="Times New Roman"/>
          <w:sz w:val="24"/>
          <w:szCs w:val="24"/>
          <w:lang w:val="en-US"/>
        </w:rPr>
        <w:t xml:space="preserve"> čije su sekvence preuzete iz NCBI. </w:t>
      </w:r>
      <w:r>
        <w:rPr>
          <w:rFonts w:ascii="Book Antiqua" w:eastAsia="Times New Roman" w:hAnsi="Book Antiqua" w:cs="Times New Roman"/>
          <w:i/>
          <w:sz w:val="24"/>
          <w:szCs w:val="24"/>
          <w:lang w:val="en-US"/>
        </w:rPr>
        <w:t>D. ampelina</w:t>
      </w:r>
      <w:r>
        <w:rPr>
          <w:rFonts w:ascii="Book Antiqua" w:eastAsia="Times New Roman" w:hAnsi="Book Antiqua" w:cs="Times New Roman"/>
          <w:sz w:val="24"/>
          <w:szCs w:val="24"/>
          <w:lang w:val="en-US"/>
        </w:rPr>
        <w:t xml:space="preserve"> MN001 je najsrodniji izolatu CBS111888 (izolovanim sa vinove loze u SAD), ali ne pokazuje homogenost sa izolatima PH01 i PH04 čije su sekvence deponovane u NCBI (</w:t>
      </w:r>
      <w:r>
        <w:rPr>
          <w:rFonts w:ascii="Book Antiqua" w:eastAsia="Times New Roman" w:hAnsi="Book Antiqua" w:cs="Times New Roman"/>
          <w:b/>
          <w:bCs/>
          <w:sz w:val="24"/>
          <w:szCs w:val="24"/>
          <w:lang w:val="en-US"/>
        </w:rPr>
        <w:t>Fedele et al. 2024</w:t>
      </w:r>
      <w:r>
        <w:rPr>
          <w:rFonts w:ascii="Book Antiqua" w:eastAsia="Times New Roman" w:hAnsi="Book Antiqua" w:cs="Times New Roman"/>
          <w:sz w:val="24"/>
          <w:szCs w:val="24"/>
          <w:lang w:val="en-US"/>
        </w:rPr>
        <w:t xml:space="preserve">) a takođe porijeklom sa vinove loze iz Crne Gore. Izolat </w:t>
      </w:r>
      <w:r>
        <w:rPr>
          <w:rFonts w:ascii="Book Antiqua" w:eastAsia="Times New Roman" w:hAnsi="Book Antiqua" w:cs="Times New Roman"/>
          <w:i/>
          <w:sz w:val="24"/>
          <w:szCs w:val="24"/>
          <w:lang w:val="en-US"/>
        </w:rPr>
        <w:t>D. eres</w:t>
      </w:r>
      <w:r>
        <w:rPr>
          <w:rFonts w:ascii="Book Antiqua" w:eastAsia="Times New Roman" w:hAnsi="Book Antiqua" w:cs="Times New Roman"/>
          <w:sz w:val="24"/>
          <w:szCs w:val="24"/>
          <w:lang w:val="en-US"/>
        </w:rPr>
        <w:t xml:space="preserve"> MN001 odvaja se u zaseban potklaster u okviru jasno odvojenog klastera koji uključuje ostale izolate </w:t>
      </w:r>
      <w:r>
        <w:rPr>
          <w:rFonts w:ascii="Book Antiqua" w:eastAsia="Times New Roman" w:hAnsi="Book Antiqua" w:cs="Times New Roman"/>
          <w:i/>
          <w:sz w:val="24"/>
          <w:szCs w:val="24"/>
          <w:lang w:val="en-US"/>
        </w:rPr>
        <w:t>D. eres</w:t>
      </w:r>
      <w:r>
        <w:rPr>
          <w:rFonts w:ascii="Book Antiqua" w:eastAsia="Times New Roman" w:hAnsi="Book Antiqua" w:cs="Times New Roman"/>
          <w:sz w:val="24"/>
          <w:szCs w:val="24"/>
          <w:lang w:val="en-US"/>
        </w:rPr>
        <w:t xml:space="preserve"> čije su sekvence preuzete iz NCBI. Ovaj izolat je najsrodniji izolatu AR5193 koji je izolovan sa vinove loze u Njemačkoj. </w:t>
      </w:r>
    </w:p>
    <w:p w14:paraId="36B0158E" w14:textId="77777777" w:rsidR="003801E8" w:rsidRDefault="003801E8">
      <w:pPr>
        <w:spacing w:line="360" w:lineRule="auto"/>
        <w:jc w:val="both"/>
        <w:rPr>
          <w:rFonts w:ascii="Book Antiqua" w:eastAsia="Times New Roman" w:hAnsi="Book Antiqua" w:cs="Times New Roman"/>
          <w:sz w:val="24"/>
          <w:szCs w:val="24"/>
          <w:lang w:val="en-US"/>
        </w:rPr>
      </w:pPr>
    </w:p>
    <w:p w14:paraId="1C37BCCF" w14:textId="77777777" w:rsidR="003801E8" w:rsidRDefault="00E44AAE">
      <w:pPr>
        <w:spacing w:line="360" w:lineRule="auto"/>
        <w:jc w:val="both"/>
        <w:rPr>
          <w:rFonts w:ascii="Book Antiqua" w:eastAsia="Times New Roman" w:hAnsi="Book Antiqua" w:cs="Times New Roman"/>
          <w:color w:val="000000"/>
          <w:sz w:val="24"/>
          <w:szCs w:val="24"/>
          <w:lang w:val="en-US"/>
        </w:rPr>
      </w:pPr>
      <w:r>
        <w:rPr>
          <w:rFonts w:ascii="Book Antiqua" w:eastAsia="Times New Roman" w:hAnsi="Book Antiqua" w:cs="Times New Roman"/>
          <w:sz w:val="24"/>
          <w:szCs w:val="24"/>
          <w:lang w:val="en-US"/>
        </w:rPr>
        <w:t xml:space="preserve"> </w:t>
      </w:r>
    </w:p>
    <w:p w14:paraId="21530AF9" w14:textId="77777777" w:rsidR="003801E8" w:rsidRDefault="003801E8">
      <w:pPr>
        <w:spacing w:line="360" w:lineRule="auto"/>
        <w:jc w:val="both"/>
        <w:rPr>
          <w:rFonts w:ascii="Book Antiqua" w:eastAsia="Times New Roman" w:hAnsi="Book Antiqua" w:cs="Calibri"/>
          <w:color w:val="000000"/>
          <w:sz w:val="24"/>
          <w:szCs w:val="24"/>
          <w:lang w:val="en-US"/>
        </w:rPr>
      </w:pPr>
    </w:p>
    <w:p w14:paraId="09D8A7A9" w14:textId="77777777" w:rsidR="003801E8" w:rsidRDefault="003801E8">
      <w:pPr>
        <w:spacing w:line="360" w:lineRule="auto"/>
        <w:jc w:val="both"/>
        <w:rPr>
          <w:rFonts w:ascii="Book Antiqua" w:eastAsia="Times New Roman" w:hAnsi="Book Antiqua" w:cs="Calibri"/>
          <w:color w:val="000000"/>
          <w:sz w:val="24"/>
          <w:szCs w:val="24"/>
          <w:lang w:val="en-US"/>
        </w:rPr>
      </w:pPr>
    </w:p>
    <w:p w14:paraId="57A4B085" w14:textId="77777777" w:rsidR="003801E8" w:rsidRDefault="003801E8">
      <w:pPr>
        <w:spacing w:line="360" w:lineRule="auto"/>
        <w:jc w:val="both"/>
        <w:rPr>
          <w:rFonts w:ascii="Book Antiqua" w:eastAsia="Times New Roman" w:hAnsi="Book Antiqua" w:cs="Times New Roman"/>
          <w:color w:val="000000"/>
          <w:sz w:val="24"/>
          <w:szCs w:val="24"/>
          <w:lang w:val="en-US"/>
        </w:rPr>
      </w:pPr>
    </w:p>
    <w:p w14:paraId="6414CC02" w14:textId="77777777" w:rsidR="003801E8" w:rsidRDefault="00E44AAE">
      <w:pPr>
        <w:spacing w:line="360" w:lineRule="auto"/>
        <w:jc w:val="both"/>
        <w:rPr>
          <w:rFonts w:ascii="Book Antiqua" w:eastAsia="Times New Roman" w:hAnsi="Book Antiqua" w:cs="Times New Roman"/>
          <w:color w:val="000000"/>
          <w:sz w:val="24"/>
          <w:szCs w:val="24"/>
          <w:lang w:val="en-US"/>
        </w:rPr>
      </w:pPr>
      <w:r>
        <w:rPr>
          <w:rFonts w:ascii="Book Antiqua" w:eastAsia="Times New Roman" w:hAnsi="Book Antiqua" w:cs="Times New Roman"/>
          <w:noProof/>
          <w:color w:val="000000"/>
          <w:sz w:val="24"/>
          <w:szCs w:val="24"/>
          <w:lang w:val="en-US"/>
        </w:rPr>
        <w:lastRenderedPageBreak/>
        <w:drawing>
          <wp:inline distT="0" distB="0" distL="0" distR="0" wp14:anchorId="7A65331B" wp14:editId="22D95796">
            <wp:extent cx="5400040" cy="1684020"/>
            <wp:effectExtent l="0" t="0" r="0" b="0"/>
            <wp:docPr id="666268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268417" name="Picture 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40" cy="1684020"/>
                    </a:xfrm>
                    <a:prstGeom prst="rect">
                      <a:avLst/>
                    </a:prstGeom>
                  </pic:spPr>
                </pic:pic>
              </a:graphicData>
            </a:graphic>
          </wp:inline>
        </w:drawing>
      </w:r>
    </w:p>
    <w:p w14:paraId="0CE365EF" w14:textId="77777777" w:rsidR="003801E8" w:rsidRDefault="00E44AAE">
      <w:pPr>
        <w:spacing w:line="360" w:lineRule="auto"/>
        <w:jc w:val="both"/>
        <w:rPr>
          <w:rFonts w:ascii="Book Antiqua" w:eastAsia="Times New Roman" w:hAnsi="Book Antiqua" w:cs="Times New Roman"/>
          <w:color w:val="000000"/>
          <w:sz w:val="22"/>
          <w:szCs w:val="22"/>
        </w:rPr>
      </w:pPr>
      <w:r>
        <w:rPr>
          <w:rFonts w:ascii="Book Antiqua" w:eastAsia="Times New Roman" w:hAnsi="Book Antiqua" w:cs="Times New Roman"/>
          <w:b/>
          <w:bCs/>
          <w:color w:val="000000"/>
          <w:sz w:val="22"/>
          <w:szCs w:val="22"/>
          <w:lang w:val="en-US"/>
        </w:rPr>
        <w:t>Slika 6</w:t>
      </w:r>
      <w:r>
        <w:rPr>
          <w:rFonts w:ascii="Book Antiqua" w:eastAsia="Times New Roman" w:hAnsi="Book Antiqua" w:cs="Times New Roman"/>
          <w:color w:val="000000"/>
          <w:sz w:val="22"/>
          <w:szCs w:val="22"/>
          <w:lang w:val="en-US"/>
        </w:rPr>
        <w:t>. F</w:t>
      </w:r>
      <w:r>
        <w:rPr>
          <w:rFonts w:ascii="Book Antiqua" w:eastAsia="Times New Roman" w:hAnsi="Book Antiqua" w:cs="Times New Roman"/>
          <w:color w:val="000000"/>
          <w:sz w:val="22"/>
          <w:szCs w:val="22"/>
        </w:rPr>
        <w:t>ilogenetska stabla konstruisana metodom Maximum likehold</w:t>
      </w:r>
      <w:r>
        <w:rPr>
          <w:rFonts w:ascii="Book Antiqua" w:eastAsia="Times New Roman" w:hAnsi="Book Antiqua" w:cs="Times New Roman"/>
          <w:i/>
          <w:iCs/>
          <w:color w:val="000000"/>
          <w:sz w:val="22"/>
          <w:szCs w:val="22"/>
        </w:rPr>
        <w:t xml:space="preserve"> </w:t>
      </w:r>
      <w:r>
        <w:rPr>
          <w:rFonts w:ascii="Book Antiqua" w:eastAsia="Times New Roman" w:hAnsi="Book Antiqua" w:cs="Times New Roman"/>
          <w:color w:val="000000"/>
          <w:sz w:val="22"/>
          <w:szCs w:val="22"/>
        </w:rPr>
        <w:t xml:space="preserve">na osnovu konkateniranih sekvenci A. ITS regiona, tub2 i act gena izolata gljiva </w:t>
      </w:r>
      <w:r>
        <w:rPr>
          <w:rFonts w:ascii="Book Antiqua" w:eastAsia="Times New Roman" w:hAnsi="Book Antiqua" w:cs="Times New Roman"/>
          <w:i/>
          <w:iCs/>
          <w:color w:val="000000"/>
          <w:sz w:val="22"/>
          <w:szCs w:val="22"/>
        </w:rPr>
        <w:t>P. minimum</w:t>
      </w:r>
      <w:r>
        <w:rPr>
          <w:rFonts w:ascii="Book Antiqua" w:eastAsia="Times New Roman" w:hAnsi="Book Antiqua" w:cs="Times New Roman"/>
          <w:color w:val="000000"/>
          <w:sz w:val="22"/>
          <w:szCs w:val="22"/>
        </w:rPr>
        <w:t xml:space="preserve"> i </w:t>
      </w:r>
      <w:r>
        <w:rPr>
          <w:rFonts w:ascii="Book Antiqua" w:eastAsia="Times New Roman" w:hAnsi="Book Antiqua" w:cs="Times New Roman"/>
          <w:i/>
          <w:iCs/>
          <w:color w:val="000000"/>
          <w:sz w:val="22"/>
          <w:szCs w:val="22"/>
        </w:rPr>
        <w:t>P. iranianum</w:t>
      </w:r>
      <w:r>
        <w:rPr>
          <w:rFonts w:ascii="Book Antiqua" w:eastAsia="Times New Roman" w:hAnsi="Book Antiqua" w:cs="Times New Roman"/>
          <w:color w:val="000000"/>
          <w:sz w:val="22"/>
          <w:szCs w:val="22"/>
        </w:rPr>
        <w:t>;</w:t>
      </w:r>
      <w:r>
        <w:rPr>
          <w:rFonts w:ascii="Book Antiqua" w:eastAsia="Times New Roman" w:hAnsi="Book Antiqua" w:cs="Times New Roman"/>
          <w:i/>
          <w:iCs/>
          <w:color w:val="000000"/>
          <w:sz w:val="22"/>
          <w:szCs w:val="22"/>
        </w:rPr>
        <w:t xml:space="preserve"> </w:t>
      </w:r>
      <w:r>
        <w:rPr>
          <w:rFonts w:ascii="Book Antiqua" w:eastAsia="Times New Roman" w:hAnsi="Book Antiqua" w:cs="Times New Roman"/>
          <w:color w:val="000000"/>
          <w:sz w:val="22"/>
          <w:szCs w:val="22"/>
        </w:rPr>
        <w:t xml:space="preserve">Stablo je ukorijenjemo vrstom </w:t>
      </w:r>
      <w:r>
        <w:rPr>
          <w:rFonts w:ascii="Book Antiqua" w:eastAsia="Times New Roman" w:hAnsi="Book Antiqua" w:cs="Times New Roman"/>
          <w:i/>
          <w:iCs/>
          <w:color w:val="000000"/>
          <w:sz w:val="22"/>
          <w:szCs w:val="22"/>
        </w:rPr>
        <w:t>P. richardsaiae</w:t>
      </w:r>
      <w:r>
        <w:rPr>
          <w:rFonts w:ascii="Book Antiqua" w:eastAsia="Times New Roman" w:hAnsi="Book Antiqua" w:cs="Times New Roman"/>
          <w:color w:val="000000"/>
          <w:sz w:val="22"/>
          <w:szCs w:val="22"/>
        </w:rPr>
        <w:t xml:space="preserve"> izolat CBS 27033; B. ITS regiona i tub2 gena izolata vrste </w:t>
      </w:r>
      <w:r>
        <w:rPr>
          <w:rFonts w:ascii="Book Antiqua" w:eastAsia="Times New Roman" w:hAnsi="Book Antiqua" w:cs="Times New Roman"/>
          <w:i/>
          <w:iCs/>
          <w:color w:val="000000"/>
          <w:sz w:val="22"/>
          <w:szCs w:val="22"/>
        </w:rPr>
        <w:t>P. chlamydospora</w:t>
      </w:r>
      <w:r>
        <w:rPr>
          <w:rFonts w:ascii="Book Antiqua" w:eastAsia="Times New Roman" w:hAnsi="Book Antiqua" w:cs="Times New Roman"/>
          <w:color w:val="000000"/>
          <w:sz w:val="22"/>
          <w:szCs w:val="22"/>
        </w:rPr>
        <w:t xml:space="preserve">; Stablo je ukorijenjeno sa vrstom </w:t>
      </w:r>
      <w:r>
        <w:rPr>
          <w:rFonts w:ascii="Book Antiqua" w:eastAsia="Times New Roman" w:hAnsi="Book Antiqua" w:cs="Times New Roman"/>
          <w:i/>
          <w:iCs/>
          <w:color w:val="000000"/>
          <w:sz w:val="22"/>
          <w:szCs w:val="22"/>
        </w:rPr>
        <w:t>P. tardicola</w:t>
      </w:r>
      <w:r>
        <w:rPr>
          <w:rFonts w:ascii="Book Antiqua" w:eastAsia="Times New Roman" w:hAnsi="Book Antiqua" w:cs="Times New Roman"/>
          <w:color w:val="000000"/>
          <w:sz w:val="22"/>
          <w:szCs w:val="22"/>
        </w:rPr>
        <w:t xml:space="preserve">. </w:t>
      </w:r>
    </w:p>
    <w:p w14:paraId="0ACA494F" w14:textId="77777777" w:rsidR="003801E8" w:rsidRDefault="00E44AAE">
      <w:pPr>
        <w:spacing w:line="360" w:lineRule="auto"/>
        <w:jc w:val="both"/>
        <w:rPr>
          <w:rFonts w:ascii="Book Antiqua" w:eastAsia="Times New Roman" w:hAnsi="Book Antiqua" w:cs="Times New Roman"/>
          <w:color w:val="000000"/>
          <w:sz w:val="24"/>
          <w:szCs w:val="24"/>
          <w:lang w:val="en-US"/>
        </w:rPr>
      </w:pPr>
      <w:r>
        <w:rPr>
          <w:rFonts w:ascii="Book Antiqua" w:eastAsia="Times New Roman" w:hAnsi="Book Antiqua" w:cs="Times New Roman"/>
          <w:noProof/>
          <w:color w:val="000000"/>
          <w:sz w:val="24"/>
          <w:szCs w:val="24"/>
          <w:lang w:val="en-US"/>
        </w:rPr>
        <w:drawing>
          <wp:inline distT="0" distB="0" distL="0" distR="0" wp14:anchorId="56D7982E" wp14:editId="27F5F07C">
            <wp:extent cx="5400040" cy="2506980"/>
            <wp:effectExtent l="0" t="0" r="0" b="7620"/>
            <wp:docPr id="373316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1677" name="Picture 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40" cy="2506980"/>
                    </a:xfrm>
                    <a:prstGeom prst="rect">
                      <a:avLst/>
                    </a:prstGeom>
                  </pic:spPr>
                </pic:pic>
              </a:graphicData>
            </a:graphic>
          </wp:inline>
        </w:drawing>
      </w:r>
    </w:p>
    <w:p w14:paraId="0D6B1A1E" w14:textId="77777777" w:rsidR="003801E8" w:rsidRDefault="00E44AAE">
      <w:pPr>
        <w:spacing w:line="360" w:lineRule="auto"/>
        <w:jc w:val="both"/>
        <w:rPr>
          <w:rFonts w:ascii="Book Antiqua" w:eastAsia="Times New Roman" w:hAnsi="Book Antiqua" w:cs="Times New Roman"/>
          <w:color w:val="000000"/>
          <w:sz w:val="22"/>
          <w:szCs w:val="22"/>
        </w:rPr>
      </w:pPr>
      <w:r>
        <w:rPr>
          <w:rFonts w:ascii="Book Antiqua" w:eastAsia="Times New Roman" w:hAnsi="Book Antiqua" w:cs="Times New Roman"/>
          <w:b/>
          <w:bCs/>
          <w:color w:val="000000"/>
          <w:sz w:val="22"/>
          <w:szCs w:val="22"/>
          <w:lang w:val="en-US"/>
        </w:rPr>
        <w:t>Slika 7</w:t>
      </w:r>
      <w:r>
        <w:rPr>
          <w:rFonts w:ascii="Book Antiqua" w:eastAsia="Times New Roman" w:hAnsi="Book Antiqua" w:cs="Times New Roman"/>
          <w:color w:val="000000"/>
          <w:sz w:val="22"/>
          <w:szCs w:val="22"/>
          <w:lang w:val="en-US"/>
        </w:rPr>
        <w:t>. F</w:t>
      </w:r>
      <w:r>
        <w:rPr>
          <w:rFonts w:ascii="Book Antiqua" w:eastAsia="Times New Roman" w:hAnsi="Book Antiqua" w:cs="Times New Roman"/>
          <w:color w:val="000000"/>
          <w:sz w:val="22"/>
          <w:szCs w:val="22"/>
        </w:rPr>
        <w:t>ilogenetska stabla konstruisana metodom Maximum likehold</w:t>
      </w:r>
      <w:r>
        <w:rPr>
          <w:rFonts w:ascii="Book Antiqua" w:eastAsia="Times New Roman" w:hAnsi="Book Antiqua" w:cs="Times New Roman"/>
          <w:i/>
          <w:iCs/>
          <w:color w:val="000000"/>
          <w:sz w:val="22"/>
          <w:szCs w:val="22"/>
        </w:rPr>
        <w:t xml:space="preserve"> </w:t>
      </w:r>
      <w:r>
        <w:rPr>
          <w:rFonts w:ascii="Book Antiqua" w:eastAsia="Times New Roman" w:hAnsi="Book Antiqua" w:cs="Times New Roman"/>
          <w:color w:val="000000"/>
          <w:sz w:val="22"/>
          <w:szCs w:val="22"/>
        </w:rPr>
        <w:t xml:space="preserve">na osnovu konkateniranih sekvenci A. ITS regiona i tef1a gena izolata gljiva </w:t>
      </w:r>
      <w:r>
        <w:rPr>
          <w:rFonts w:ascii="Book Antiqua" w:eastAsia="Times New Roman" w:hAnsi="Book Antiqua" w:cs="Times New Roman"/>
          <w:i/>
          <w:iCs/>
          <w:color w:val="000000"/>
          <w:sz w:val="22"/>
          <w:szCs w:val="22"/>
        </w:rPr>
        <w:t>F. mediterranea</w:t>
      </w:r>
      <w:r>
        <w:rPr>
          <w:rFonts w:ascii="Book Antiqua" w:eastAsia="Times New Roman" w:hAnsi="Book Antiqua" w:cs="Times New Roman"/>
          <w:color w:val="000000"/>
          <w:sz w:val="22"/>
          <w:szCs w:val="22"/>
        </w:rPr>
        <w:t>;</w:t>
      </w:r>
      <w:r>
        <w:rPr>
          <w:rFonts w:ascii="Book Antiqua" w:eastAsia="Times New Roman" w:hAnsi="Book Antiqua" w:cs="Times New Roman"/>
          <w:i/>
          <w:iCs/>
          <w:color w:val="000000"/>
          <w:sz w:val="22"/>
          <w:szCs w:val="22"/>
        </w:rPr>
        <w:t xml:space="preserve"> </w:t>
      </w:r>
      <w:r>
        <w:rPr>
          <w:rFonts w:ascii="Book Antiqua" w:eastAsia="Times New Roman" w:hAnsi="Book Antiqua" w:cs="Times New Roman"/>
          <w:color w:val="000000"/>
          <w:sz w:val="22"/>
          <w:szCs w:val="22"/>
        </w:rPr>
        <w:t xml:space="preserve">Stablo je ukorijenjemo vrstom </w:t>
      </w:r>
      <w:r>
        <w:rPr>
          <w:rFonts w:ascii="Book Antiqua" w:eastAsia="Times New Roman" w:hAnsi="Book Antiqua" w:cs="Times New Roman"/>
          <w:i/>
          <w:iCs/>
          <w:color w:val="000000"/>
          <w:sz w:val="22"/>
          <w:szCs w:val="22"/>
        </w:rPr>
        <w:t>P. igniarius</w:t>
      </w:r>
      <w:r>
        <w:rPr>
          <w:rFonts w:ascii="Book Antiqua" w:eastAsia="Times New Roman" w:hAnsi="Book Antiqua" w:cs="Times New Roman"/>
          <w:color w:val="000000"/>
          <w:sz w:val="22"/>
          <w:szCs w:val="22"/>
        </w:rPr>
        <w:t xml:space="preserve"> izolat Cui 2332; B. ITS regiona, tef1a i rpb2 gena izolata vrste </w:t>
      </w:r>
      <w:r>
        <w:rPr>
          <w:rFonts w:ascii="Book Antiqua" w:eastAsia="Times New Roman" w:hAnsi="Book Antiqua" w:cs="Times New Roman"/>
          <w:i/>
          <w:iCs/>
          <w:color w:val="000000"/>
          <w:sz w:val="22"/>
          <w:szCs w:val="22"/>
        </w:rPr>
        <w:t>T. citrinoviride</w:t>
      </w:r>
      <w:r>
        <w:rPr>
          <w:rFonts w:ascii="Book Antiqua" w:eastAsia="Times New Roman" w:hAnsi="Book Antiqua" w:cs="Times New Roman"/>
          <w:color w:val="000000"/>
          <w:sz w:val="22"/>
          <w:szCs w:val="22"/>
        </w:rPr>
        <w:t xml:space="preserve">; Stablo je ukorijenjeno sa vrstom </w:t>
      </w:r>
      <w:r>
        <w:rPr>
          <w:rFonts w:ascii="Book Antiqua" w:eastAsia="Times New Roman" w:hAnsi="Book Antiqua" w:cs="Times New Roman"/>
          <w:i/>
          <w:iCs/>
          <w:color w:val="000000"/>
          <w:sz w:val="22"/>
          <w:szCs w:val="22"/>
        </w:rPr>
        <w:t xml:space="preserve">T. atroviride </w:t>
      </w:r>
      <w:r>
        <w:rPr>
          <w:rFonts w:ascii="Book Antiqua" w:eastAsia="Times New Roman" w:hAnsi="Book Antiqua" w:cs="Times New Roman"/>
          <w:color w:val="000000"/>
          <w:sz w:val="22"/>
          <w:szCs w:val="22"/>
        </w:rPr>
        <w:t xml:space="preserve">izolat SC1. </w:t>
      </w:r>
    </w:p>
    <w:p w14:paraId="60D5B023" w14:textId="77777777" w:rsidR="003801E8" w:rsidRDefault="003801E8">
      <w:pPr>
        <w:spacing w:line="360" w:lineRule="auto"/>
        <w:jc w:val="both"/>
        <w:rPr>
          <w:rFonts w:ascii="Book Antiqua" w:eastAsia="Times New Roman" w:hAnsi="Book Antiqua" w:cs="Times New Roman"/>
          <w:color w:val="000000"/>
          <w:sz w:val="24"/>
          <w:szCs w:val="24"/>
          <w:lang w:val="en-US"/>
        </w:rPr>
      </w:pPr>
    </w:p>
    <w:p w14:paraId="00D3143F" w14:textId="77777777" w:rsidR="003801E8" w:rsidRDefault="003801E8">
      <w:pPr>
        <w:spacing w:line="360" w:lineRule="auto"/>
        <w:jc w:val="both"/>
        <w:rPr>
          <w:rFonts w:ascii="Book Antiqua" w:eastAsia="Times New Roman" w:hAnsi="Book Antiqua" w:cs="Times New Roman"/>
          <w:color w:val="000000"/>
          <w:sz w:val="24"/>
          <w:szCs w:val="24"/>
          <w:lang w:val="en-US"/>
        </w:rPr>
      </w:pPr>
    </w:p>
    <w:p w14:paraId="3CBC6D15" w14:textId="77777777" w:rsidR="003801E8" w:rsidRDefault="003801E8">
      <w:pPr>
        <w:spacing w:line="360" w:lineRule="auto"/>
        <w:jc w:val="both"/>
        <w:rPr>
          <w:rFonts w:ascii="Book Antiqua" w:eastAsia="Times New Roman" w:hAnsi="Book Antiqua" w:cs="Times New Roman"/>
          <w:color w:val="000000"/>
          <w:sz w:val="24"/>
          <w:szCs w:val="24"/>
          <w:lang w:val="en-US"/>
        </w:rPr>
      </w:pPr>
    </w:p>
    <w:p w14:paraId="23B1A150" w14:textId="77777777" w:rsidR="003801E8" w:rsidRDefault="003801E8">
      <w:pPr>
        <w:spacing w:line="360" w:lineRule="auto"/>
        <w:jc w:val="both"/>
        <w:rPr>
          <w:rFonts w:ascii="Book Antiqua" w:hAnsi="Book Antiqua" w:cs="Times New Roman"/>
          <w:sz w:val="24"/>
          <w:szCs w:val="24"/>
          <w:lang w:val="sr-Latn-RS"/>
        </w:rPr>
      </w:pPr>
    </w:p>
    <w:p w14:paraId="70864177" w14:textId="77777777" w:rsidR="003801E8" w:rsidRDefault="00E44AAE">
      <w:pPr>
        <w:jc w:val="both"/>
        <w:rPr>
          <w:rFonts w:ascii="Book Antiqua" w:hAnsi="Book Antiqua" w:cs="Times New Roman"/>
          <w:sz w:val="24"/>
          <w:szCs w:val="24"/>
          <w:lang w:val="sr-Latn-RS"/>
        </w:rPr>
      </w:pPr>
      <w:r>
        <w:rPr>
          <w:rFonts w:ascii="Book Antiqua" w:hAnsi="Book Antiqua" w:cs="Times New Roman"/>
          <w:noProof/>
          <w:sz w:val="24"/>
          <w:szCs w:val="24"/>
          <w:lang w:val="en-US"/>
        </w:rPr>
        <w:lastRenderedPageBreak/>
        <w:drawing>
          <wp:inline distT="0" distB="0" distL="0" distR="0" wp14:anchorId="21177B5F" wp14:editId="1CE4B971">
            <wp:extent cx="5400040" cy="1896745"/>
            <wp:effectExtent l="0" t="0" r="0" b="8255"/>
            <wp:docPr id="20591704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70490" name="Picture 4"/>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400040" cy="1896745"/>
                    </a:xfrm>
                    <a:prstGeom prst="rect">
                      <a:avLst/>
                    </a:prstGeom>
                  </pic:spPr>
                </pic:pic>
              </a:graphicData>
            </a:graphic>
          </wp:inline>
        </w:drawing>
      </w:r>
    </w:p>
    <w:p w14:paraId="698A7667" w14:textId="77777777" w:rsidR="003801E8" w:rsidRDefault="00E44AAE">
      <w:pPr>
        <w:spacing w:line="360" w:lineRule="auto"/>
        <w:jc w:val="both"/>
        <w:rPr>
          <w:rFonts w:ascii="Book Antiqua" w:eastAsia="Times New Roman" w:hAnsi="Book Antiqua" w:cs="Times New Roman"/>
          <w:color w:val="000000"/>
          <w:sz w:val="22"/>
          <w:szCs w:val="22"/>
        </w:rPr>
      </w:pPr>
      <w:r>
        <w:rPr>
          <w:rFonts w:ascii="Book Antiqua" w:eastAsia="Times New Roman" w:hAnsi="Book Antiqua" w:cs="Times New Roman"/>
          <w:b/>
          <w:bCs/>
          <w:color w:val="000000"/>
          <w:sz w:val="22"/>
          <w:szCs w:val="22"/>
          <w:lang w:val="en-US"/>
        </w:rPr>
        <w:t>Slika 8</w:t>
      </w:r>
      <w:r>
        <w:rPr>
          <w:rFonts w:ascii="Book Antiqua" w:eastAsia="Times New Roman" w:hAnsi="Book Antiqua" w:cs="Times New Roman"/>
          <w:color w:val="000000"/>
          <w:sz w:val="22"/>
          <w:szCs w:val="22"/>
          <w:lang w:val="en-US"/>
        </w:rPr>
        <w:t>. F</w:t>
      </w:r>
      <w:r>
        <w:rPr>
          <w:rFonts w:ascii="Book Antiqua" w:eastAsia="Times New Roman" w:hAnsi="Book Antiqua" w:cs="Times New Roman"/>
          <w:color w:val="000000"/>
          <w:sz w:val="22"/>
          <w:szCs w:val="22"/>
        </w:rPr>
        <w:t>ilogenetska stabla konstruisana metodom Maximum likehold</w:t>
      </w:r>
      <w:r>
        <w:rPr>
          <w:rFonts w:ascii="Book Antiqua" w:eastAsia="Times New Roman" w:hAnsi="Book Antiqua" w:cs="Times New Roman"/>
          <w:i/>
          <w:iCs/>
          <w:color w:val="000000"/>
          <w:sz w:val="22"/>
          <w:szCs w:val="22"/>
        </w:rPr>
        <w:t xml:space="preserve"> </w:t>
      </w:r>
      <w:r>
        <w:rPr>
          <w:rFonts w:ascii="Book Antiqua" w:eastAsia="Times New Roman" w:hAnsi="Book Antiqua" w:cs="Times New Roman"/>
          <w:color w:val="000000"/>
          <w:sz w:val="22"/>
          <w:szCs w:val="22"/>
        </w:rPr>
        <w:t xml:space="preserve">na osnovu konkateniranih sekvenci A. ITS i LSU regiona, tef1a i rpb2 gena izolata gljiva </w:t>
      </w:r>
      <w:r>
        <w:rPr>
          <w:rFonts w:ascii="Book Antiqua" w:eastAsia="Times New Roman" w:hAnsi="Book Antiqua" w:cs="Times New Roman"/>
          <w:i/>
          <w:iCs/>
          <w:color w:val="000000"/>
          <w:sz w:val="22"/>
          <w:szCs w:val="22"/>
        </w:rPr>
        <w:t>N. parvum</w:t>
      </w:r>
      <w:r>
        <w:rPr>
          <w:rFonts w:ascii="Book Antiqua" w:eastAsia="Times New Roman" w:hAnsi="Book Antiqua" w:cs="Times New Roman"/>
          <w:color w:val="000000"/>
          <w:sz w:val="22"/>
          <w:szCs w:val="22"/>
        </w:rPr>
        <w:t>,</w:t>
      </w:r>
      <w:r>
        <w:rPr>
          <w:rFonts w:ascii="Book Antiqua" w:eastAsia="Times New Roman" w:hAnsi="Book Antiqua" w:cs="Times New Roman"/>
          <w:i/>
          <w:iCs/>
          <w:color w:val="000000"/>
          <w:sz w:val="22"/>
          <w:szCs w:val="22"/>
        </w:rPr>
        <w:t xml:space="preserve"> D. seriata</w:t>
      </w:r>
      <w:r>
        <w:rPr>
          <w:rFonts w:ascii="Book Antiqua" w:eastAsia="Times New Roman" w:hAnsi="Book Antiqua" w:cs="Times New Roman"/>
          <w:color w:val="000000"/>
          <w:sz w:val="22"/>
          <w:szCs w:val="22"/>
        </w:rPr>
        <w:t>,</w:t>
      </w:r>
      <w:r>
        <w:rPr>
          <w:rFonts w:ascii="Book Antiqua" w:eastAsia="Times New Roman" w:hAnsi="Book Antiqua" w:cs="Times New Roman"/>
          <w:i/>
          <w:iCs/>
          <w:color w:val="000000"/>
          <w:sz w:val="22"/>
          <w:szCs w:val="22"/>
        </w:rPr>
        <w:t xml:space="preserve"> D. mutila </w:t>
      </w:r>
      <w:r>
        <w:rPr>
          <w:rFonts w:ascii="Book Antiqua" w:eastAsia="Times New Roman" w:hAnsi="Book Antiqua" w:cs="Times New Roman"/>
          <w:color w:val="000000"/>
          <w:sz w:val="22"/>
          <w:szCs w:val="22"/>
        </w:rPr>
        <w:t>i</w:t>
      </w:r>
      <w:r>
        <w:rPr>
          <w:rFonts w:ascii="Book Antiqua" w:eastAsia="Times New Roman" w:hAnsi="Book Antiqua" w:cs="Times New Roman"/>
          <w:i/>
          <w:iCs/>
          <w:color w:val="000000"/>
          <w:sz w:val="22"/>
          <w:szCs w:val="22"/>
        </w:rPr>
        <w:t xml:space="preserve"> B. dothidea</w:t>
      </w:r>
      <w:r>
        <w:rPr>
          <w:rFonts w:ascii="Book Antiqua" w:eastAsia="Times New Roman" w:hAnsi="Book Antiqua" w:cs="Times New Roman"/>
          <w:color w:val="000000"/>
          <w:sz w:val="22"/>
          <w:szCs w:val="22"/>
        </w:rPr>
        <w:t>;</w:t>
      </w:r>
      <w:r>
        <w:rPr>
          <w:rFonts w:ascii="Book Antiqua" w:eastAsia="Times New Roman" w:hAnsi="Book Antiqua" w:cs="Times New Roman"/>
          <w:i/>
          <w:iCs/>
          <w:color w:val="000000"/>
          <w:sz w:val="22"/>
          <w:szCs w:val="22"/>
        </w:rPr>
        <w:t xml:space="preserve"> </w:t>
      </w:r>
      <w:r>
        <w:rPr>
          <w:rFonts w:ascii="Book Antiqua" w:eastAsia="Times New Roman" w:hAnsi="Book Antiqua" w:cs="Times New Roman"/>
          <w:color w:val="000000"/>
          <w:sz w:val="22"/>
          <w:szCs w:val="22"/>
        </w:rPr>
        <w:t xml:space="preserve">Stablo je ukorijenjemo potklasterom dva izolata </w:t>
      </w:r>
      <w:r>
        <w:rPr>
          <w:rFonts w:ascii="Book Antiqua" w:eastAsia="Times New Roman" w:hAnsi="Book Antiqua" w:cs="Times New Roman"/>
          <w:i/>
          <w:iCs/>
          <w:color w:val="000000"/>
          <w:sz w:val="22"/>
          <w:szCs w:val="22"/>
          <w:u w:val="single"/>
        </w:rPr>
        <w:t>N. parvum</w:t>
      </w:r>
      <w:r>
        <w:rPr>
          <w:rFonts w:ascii="Book Antiqua" w:eastAsia="Times New Roman" w:hAnsi="Book Antiqua" w:cs="Times New Roman"/>
          <w:color w:val="000000"/>
          <w:sz w:val="22"/>
          <w:szCs w:val="22"/>
        </w:rPr>
        <w:t xml:space="preserve">; B. ITS regiona, tef1a i tub2 gena izolata vrste </w:t>
      </w:r>
      <w:r>
        <w:rPr>
          <w:rFonts w:ascii="Book Antiqua" w:eastAsia="Times New Roman" w:hAnsi="Book Antiqua" w:cs="Times New Roman"/>
          <w:i/>
          <w:iCs/>
          <w:color w:val="000000"/>
          <w:sz w:val="22"/>
          <w:szCs w:val="22"/>
        </w:rPr>
        <w:t>C. luteo olivacea</w:t>
      </w:r>
      <w:r>
        <w:rPr>
          <w:rFonts w:ascii="Book Antiqua" w:eastAsia="Times New Roman" w:hAnsi="Book Antiqua" w:cs="Times New Roman"/>
          <w:color w:val="000000"/>
          <w:sz w:val="22"/>
          <w:szCs w:val="22"/>
        </w:rPr>
        <w:t xml:space="preserve">; Stablo je ukorijenjeno sa vrstom </w:t>
      </w:r>
      <w:r>
        <w:rPr>
          <w:rFonts w:ascii="Book Antiqua" w:eastAsia="Times New Roman" w:hAnsi="Book Antiqua" w:cs="Times New Roman"/>
          <w:i/>
          <w:iCs/>
          <w:color w:val="000000"/>
          <w:sz w:val="22"/>
          <w:szCs w:val="22"/>
        </w:rPr>
        <w:t xml:space="preserve">P. viticola </w:t>
      </w:r>
      <w:r>
        <w:rPr>
          <w:rFonts w:ascii="Book Antiqua" w:eastAsia="Times New Roman" w:hAnsi="Book Antiqua" w:cs="Times New Roman"/>
          <w:color w:val="000000"/>
          <w:sz w:val="22"/>
          <w:szCs w:val="22"/>
        </w:rPr>
        <w:t xml:space="preserve">izolat Y271-03-1d. </w:t>
      </w:r>
    </w:p>
    <w:p w14:paraId="7FED3723" w14:textId="77777777" w:rsidR="003801E8" w:rsidRDefault="00E44AAE">
      <w:pPr>
        <w:spacing w:line="360" w:lineRule="auto"/>
        <w:jc w:val="both"/>
        <w:rPr>
          <w:rFonts w:ascii="Book Antiqua" w:eastAsia="Times New Roman" w:hAnsi="Book Antiqua" w:cs="Times New Roman"/>
          <w:color w:val="000000"/>
          <w:sz w:val="22"/>
          <w:szCs w:val="22"/>
        </w:rPr>
      </w:pPr>
      <w:r>
        <w:rPr>
          <w:rFonts w:ascii="Book Antiqua" w:eastAsia="Times New Roman" w:hAnsi="Book Antiqua" w:cs="Times New Roman"/>
          <w:noProof/>
          <w:color w:val="000000"/>
          <w:sz w:val="22"/>
          <w:szCs w:val="22"/>
          <w:lang w:val="en-US"/>
        </w:rPr>
        <w:drawing>
          <wp:inline distT="0" distB="0" distL="0" distR="0" wp14:anchorId="0DAAD3EF" wp14:editId="6D912DEC">
            <wp:extent cx="5400040" cy="2344420"/>
            <wp:effectExtent l="0" t="0" r="0" b="0"/>
            <wp:docPr id="7559511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951178" name="Picture 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400040" cy="2344420"/>
                    </a:xfrm>
                    <a:prstGeom prst="rect">
                      <a:avLst/>
                    </a:prstGeom>
                  </pic:spPr>
                </pic:pic>
              </a:graphicData>
            </a:graphic>
          </wp:inline>
        </w:drawing>
      </w:r>
    </w:p>
    <w:p w14:paraId="4A69453B" w14:textId="77777777" w:rsidR="003801E8" w:rsidRDefault="00E44AAE">
      <w:pPr>
        <w:spacing w:line="360" w:lineRule="auto"/>
        <w:jc w:val="both"/>
        <w:rPr>
          <w:rFonts w:ascii="Book Antiqua" w:eastAsia="Times New Roman" w:hAnsi="Book Antiqua" w:cs="Times New Roman"/>
          <w:color w:val="000000"/>
          <w:sz w:val="22"/>
          <w:szCs w:val="22"/>
        </w:rPr>
      </w:pPr>
      <w:r>
        <w:rPr>
          <w:rFonts w:ascii="Book Antiqua" w:eastAsia="Times New Roman" w:hAnsi="Book Antiqua" w:cs="Times New Roman"/>
          <w:b/>
          <w:bCs/>
          <w:color w:val="000000"/>
          <w:sz w:val="22"/>
          <w:szCs w:val="22"/>
          <w:lang w:val="en-US"/>
        </w:rPr>
        <w:t>Slika 9</w:t>
      </w:r>
      <w:r>
        <w:rPr>
          <w:rFonts w:ascii="Book Antiqua" w:eastAsia="Times New Roman" w:hAnsi="Book Antiqua" w:cs="Times New Roman"/>
          <w:color w:val="000000"/>
          <w:sz w:val="22"/>
          <w:szCs w:val="22"/>
          <w:lang w:val="en-US"/>
        </w:rPr>
        <w:t>. F</w:t>
      </w:r>
      <w:r>
        <w:rPr>
          <w:rFonts w:ascii="Book Antiqua" w:eastAsia="Times New Roman" w:hAnsi="Book Antiqua" w:cs="Times New Roman"/>
          <w:color w:val="000000"/>
          <w:sz w:val="22"/>
          <w:szCs w:val="22"/>
        </w:rPr>
        <w:t>ilogenetska stabla konstruisana metodom Maximum likehold</w:t>
      </w:r>
      <w:r>
        <w:rPr>
          <w:rFonts w:ascii="Book Antiqua" w:eastAsia="Times New Roman" w:hAnsi="Book Antiqua" w:cs="Times New Roman"/>
          <w:i/>
          <w:iCs/>
          <w:color w:val="000000"/>
          <w:sz w:val="22"/>
          <w:szCs w:val="22"/>
        </w:rPr>
        <w:t xml:space="preserve"> </w:t>
      </w:r>
      <w:r>
        <w:rPr>
          <w:rFonts w:ascii="Book Antiqua" w:eastAsia="Times New Roman" w:hAnsi="Book Antiqua" w:cs="Times New Roman"/>
          <w:color w:val="000000"/>
          <w:sz w:val="22"/>
          <w:szCs w:val="22"/>
        </w:rPr>
        <w:t xml:space="preserve">na osnovu konkateniranih sekvenci A. ITS regiona, tef1a i tub2 gena izolata gljive </w:t>
      </w:r>
      <w:r>
        <w:rPr>
          <w:rFonts w:ascii="Book Antiqua" w:eastAsia="Times New Roman" w:hAnsi="Book Antiqua" w:cs="Times New Roman"/>
          <w:i/>
          <w:iCs/>
          <w:color w:val="000000"/>
          <w:sz w:val="22"/>
          <w:szCs w:val="22"/>
        </w:rPr>
        <w:t>S. vitis</w:t>
      </w:r>
      <w:r>
        <w:rPr>
          <w:rFonts w:ascii="Book Antiqua" w:eastAsia="Times New Roman" w:hAnsi="Book Antiqua" w:cs="Times New Roman"/>
          <w:color w:val="000000"/>
          <w:sz w:val="22"/>
          <w:szCs w:val="22"/>
        </w:rPr>
        <w:t>;</w:t>
      </w:r>
      <w:r>
        <w:rPr>
          <w:rFonts w:ascii="Book Antiqua" w:eastAsia="Times New Roman" w:hAnsi="Book Antiqua" w:cs="Times New Roman"/>
          <w:i/>
          <w:iCs/>
          <w:color w:val="000000"/>
          <w:sz w:val="22"/>
          <w:szCs w:val="22"/>
        </w:rPr>
        <w:t xml:space="preserve"> </w:t>
      </w:r>
      <w:r>
        <w:rPr>
          <w:rFonts w:ascii="Book Antiqua" w:eastAsia="Times New Roman" w:hAnsi="Book Antiqua" w:cs="Times New Roman"/>
          <w:color w:val="000000"/>
          <w:sz w:val="22"/>
          <w:szCs w:val="22"/>
        </w:rPr>
        <w:t xml:space="preserve">Stablo je ukorijenjemo vrstom </w:t>
      </w:r>
      <w:r>
        <w:rPr>
          <w:rFonts w:ascii="Book Antiqua" w:eastAsia="Times New Roman" w:hAnsi="Book Antiqua" w:cs="Times New Roman"/>
          <w:i/>
          <w:iCs/>
          <w:color w:val="000000"/>
          <w:sz w:val="22"/>
          <w:szCs w:val="22"/>
        </w:rPr>
        <w:t>S. lichenicola</w:t>
      </w:r>
      <w:r>
        <w:rPr>
          <w:rFonts w:ascii="Book Antiqua" w:eastAsia="Times New Roman" w:hAnsi="Book Antiqua" w:cs="Times New Roman"/>
          <w:color w:val="000000"/>
          <w:sz w:val="22"/>
          <w:szCs w:val="22"/>
        </w:rPr>
        <w:t xml:space="preserve"> NBRC32625; B. ITS regiona, tef1a i tub2 gena izolata vrste </w:t>
      </w:r>
      <w:r>
        <w:rPr>
          <w:rFonts w:ascii="Book Antiqua" w:eastAsia="Times New Roman" w:hAnsi="Book Antiqua" w:cs="Times New Roman"/>
          <w:i/>
          <w:iCs/>
          <w:color w:val="000000"/>
          <w:sz w:val="22"/>
          <w:szCs w:val="22"/>
        </w:rPr>
        <w:t>B. mediterranea</w:t>
      </w:r>
      <w:r>
        <w:rPr>
          <w:rFonts w:ascii="Book Antiqua" w:eastAsia="Times New Roman" w:hAnsi="Book Antiqua" w:cs="Times New Roman"/>
          <w:color w:val="000000"/>
          <w:sz w:val="22"/>
          <w:szCs w:val="22"/>
        </w:rPr>
        <w:t xml:space="preserve">; Stablo je ukorijenjeno sa vrstom </w:t>
      </w:r>
      <w:r>
        <w:rPr>
          <w:rFonts w:ascii="Book Antiqua" w:eastAsia="Times New Roman" w:hAnsi="Book Antiqua" w:cs="Times New Roman"/>
          <w:i/>
          <w:iCs/>
          <w:color w:val="000000"/>
          <w:sz w:val="22"/>
          <w:szCs w:val="22"/>
        </w:rPr>
        <w:t xml:space="preserve">B. nummularia </w:t>
      </w:r>
      <w:r>
        <w:rPr>
          <w:rFonts w:ascii="Book Antiqua" w:eastAsia="Times New Roman" w:hAnsi="Book Antiqua" w:cs="Times New Roman"/>
          <w:color w:val="000000"/>
          <w:sz w:val="22"/>
          <w:szCs w:val="22"/>
        </w:rPr>
        <w:t xml:space="preserve">izolat 677J. </w:t>
      </w:r>
    </w:p>
    <w:p w14:paraId="4391CAAA" w14:textId="77777777" w:rsidR="003801E8" w:rsidRDefault="003801E8">
      <w:pPr>
        <w:jc w:val="both"/>
        <w:rPr>
          <w:rFonts w:ascii="Book Antiqua" w:eastAsia="Times New Roman" w:hAnsi="Book Antiqua" w:cs="Times New Roman"/>
          <w:sz w:val="24"/>
          <w:szCs w:val="24"/>
          <w:lang w:val="en-US"/>
        </w:rPr>
      </w:pPr>
    </w:p>
    <w:p w14:paraId="4B18BA9E" w14:textId="77777777" w:rsidR="003801E8" w:rsidRDefault="003801E8">
      <w:pPr>
        <w:jc w:val="both"/>
        <w:rPr>
          <w:rFonts w:ascii="Book Antiqua" w:eastAsia="Times New Roman" w:hAnsi="Book Antiqua" w:cs="Times New Roman"/>
          <w:color w:val="000000"/>
          <w:sz w:val="24"/>
          <w:szCs w:val="24"/>
          <w:lang w:val="en-US"/>
        </w:rPr>
      </w:pPr>
    </w:p>
    <w:p w14:paraId="0EBC1798" w14:textId="77777777" w:rsidR="003801E8" w:rsidRDefault="003801E8">
      <w:pPr>
        <w:jc w:val="both"/>
        <w:rPr>
          <w:rFonts w:ascii="Times New Roman" w:eastAsia="Times New Roman" w:hAnsi="Times New Roman" w:cs="Times New Roman"/>
          <w:color w:val="000000"/>
          <w:sz w:val="20"/>
          <w:szCs w:val="20"/>
          <w:lang w:val="en-US"/>
        </w:rPr>
      </w:pPr>
    </w:p>
    <w:p w14:paraId="60E1CDAD" w14:textId="77777777" w:rsidR="003801E8" w:rsidRDefault="003801E8">
      <w:pPr>
        <w:jc w:val="both"/>
        <w:rPr>
          <w:rFonts w:ascii="Book Antiqua" w:eastAsia="Times New Roman" w:hAnsi="Book Antiqua" w:cs="Calibri"/>
          <w:color w:val="000000"/>
          <w:sz w:val="24"/>
          <w:szCs w:val="24"/>
          <w:lang w:val="en-US"/>
        </w:rPr>
      </w:pPr>
    </w:p>
    <w:p w14:paraId="519C4D2C" w14:textId="77777777" w:rsidR="003801E8" w:rsidRDefault="00E44AAE">
      <w:pPr>
        <w:jc w:val="center"/>
        <w:rPr>
          <w:rFonts w:ascii="Book Antiqua" w:eastAsia="Times New Roman" w:hAnsi="Book Antiqua" w:cs="Calibri"/>
          <w:color w:val="000000"/>
          <w:sz w:val="24"/>
          <w:szCs w:val="24"/>
          <w:lang w:val="en-US"/>
        </w:rPr>
      </w:pPr>
      <w:r>
        <w:rPr>
          <w:rFonts w:ascii="Book Antiqua" w:eastAsia="Times New Roman" w:hAnsi="Book Antiqua" w:cs="Calibri"/>
          <w:noProof/>
          <w:color w:val="000000"/>
          <w:sz w:val="24"/>
          <w:szCs w:val="24"/>
          <w:lang w:val="en-US"/>
        </w:rPr>
        <w:lastRenderedPageBreak/>
        <w:drawing>
          <wp:inline distT="0" distB="0" distL="0" distR="0" wp14:anchorId="759B961D" wp14:editId="6CDADF94">
            <wp:extent cx="4084320" cy="4752340"/>
            <wp:effectExtent l="0" t="0" r="0" b="0"/>
            <wp:docPr id="20560076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07627" name="Picture 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084320" cy="4752393"/>
                    </a:xfrm>
                    <a:prstGeom prst="rect">
                      <a:avLst/>
                    </a:prstGeom>
                  </pic:spPr>
                </pic:pic>
              </a:graphicData>
            </a:graphic>
          </wp:inline>
        </w:drawing>
      </w:r>
    </w:p>
    <w:p w14:paraId="74497D54" w14:textId="77777777" w:rsidR="003801E8" w:rsidRDefault="00E44AAE">
      <w:pPr>
        <w:jc w:val="both"/>
        <w:rPr>
          <w:rFonts w:ascii="Book Antiqua" w:eastAsia="Times New Roman" w:hAnsi="Book Antiqua" w:cs="Calibri"/>
          <w:color w:val="000000"/>
          <w:sz w:val="24"/>
          <w:szCs w:val="24"/>
          <w:lang w:val="en-US"/>
        </w:rPr>
      </w:pPr>
      <w:r>
        <w:rPr>
          <w:rFonts w:ascii="Book Antiqua" w:eastAsia="Times New Roman" w:hAnsi="Book Antiqua" w:cs="Calibri"/>
          <w:b/>
          <w:color w:val="000000"/>
          <w:sz w:val="24"/>
          <w:szCs w:val="24"/>
          <w:lang w:val="en-US"/>
        </w:rPr>
        <w:t>Slika 10</w:t>
      </w:r>
      <w:r>
        <w:rPr>
          <w:rFonts w:ascii="Book Antiqua" w:eastAsia="Times New Roman" w:hAnsi="Book Antiqua" w:cs="Calibri"/>
          <w:color w:val="000000"/>
          <w:sz w:val="24"/>
          <w:szCs w:val="24"/>
          <w:lang w:val="en-US"/>
        </w:rPr>
        <w:t xml:space="preserve">. </w:t>
      </w:r>
      <w:r>
        <w:rPr>
          <w:rFonts w:ascii="Book Antiqua" w:eastAsia="Times New Roman" w:hAnsi="Book Antiqua" w:cs="Times New Roman"/>
          <w:color w:val="000000"/>
          <w:sz w:val="22"/>
          <w:szCs w:val="22"/>
          <w:lang w:val="en-US"/>
        </w:rPr>
        <w:t>F</w:t>
      </w:r>
      <w:r>
        <w:rPr>
          <w:rFonts w:ascii="Book Antiqua" w:eastAsia="Times New Roman" w:hAnsi="Book Antiqua" w:cs="Times New Roman"/>
          <w:color w:val="000000"/>
          <w:sz w:val="22"/>
          <w:szCs w:val="22"/>
        </w:rPr>
        <w:t>ilogenetsko stablo konstruisana metodom Maximum likehold</w:t>
      </w:r>
      <w:r>
        <w:rPr>
          <w:rFonts w:ascii="Book Antiqua" w:eastAsia="Times New Roman" w:hAnsi="Book Antiqua" w:cs="Times New Roman"/>
          <w:i/>
          <w:iCs/>
          <w:color w:val="000000"/>
          <w:sz w:val="22"/>
          <w:szCs w:val="22"/>
        </w:rPr>
        <w:t xml:space="preserve"> </w:t>
      </w:r>
      <w:r>
        <w:rPr>
          <w:rFonts w:ascii="Book Antiqua" w:eastAsia="Times New Roman" w:hAnsi="Book Antiqua" w:cs="Times New Roman"/>
          <w:color w:val="000000"/>
          <w:sz w:val="22"/>
          <w:szCs w:val="22"/>
        </w:rPr>
        <w:t xml:space="preserve">na osnovu konkateniranih sekvenci ITS regiona, tef1a, tub2 i his (H3) gena izolata gljiva </w:t>
      </w:r>
      <w:r>
        <w:rPr>
          <w:rFonts w:ascii="Book Antiqua" w:eastAsia="Times New Roman" w:hAnsi="Book Antiqua" w:cs="Times New Roman"/>
          <w:i/>
          <w:iCs/>
          <w:color w:val="000000"/>
          <w:sz w:val="22"/>
          <w:szCs w:val="22"/>
        </w:rPr>
        <w:t xml:space="preserve">D. ampelina </w:t>
      </w:r>
      <w:r>
        <w:rPr>
          <w:rFonts w:ascii="Book Antiqua" w:eastAsia="Times New Roman" w:hAnsi="Book Antiqua" w:cs="Times New Roman"/>
          <w:color w:val="000000"/>
          <w:sz w:val="22"/>
          <w:szCs w:val="22"/>
        </w:rPr>
        <w:t>i</w:t>
      </w:r>
      <w:r>
        <w:rPr>
          <w:rFonts w:ascii="Book Antiqua" w:eastAsia="Times New Roman" w:hAnsi="Book Antiqua" w:cs="Times New Roman"/>
          <w:i/>
          <w:iCs/>
          <w:color w:val="000000"/>
          <w:sz w:val="22"/>
          <w:szCs w:val="22"/>
        </w:rPr>
        <w:t xml:space="preserve"> D. eres</w:t>
      </w:r>
      <w:r>
        <w:rPr>
          <w:rFonts w:ascii="Book Antiqua" w:eastAsia="Times New Roman" w:hAnsi="Book Antiqua" w:cs="Times New Roman"/>
          <w:color w:val="000000"/>
          <w:sz w:val="22"/>
          <w:szCs w:val="22"/>
        </w:rPr>
        <w:t>;</w:t>
      </w:r>
      <w:r>
        <w:rPr>
          <w:rFonts w:ascii="Book Antiqua" w:eastAsia="Times New Roman" w:hAnsi="Book Antiqua" w:cs="Times New Roman"/>
          <w:i/>
          <w:iCs/>
          <w:color w:val="000000"/>
          <w:sz w:val="22"/>
          <w:szCs w:val="22"/>
        </w:rPr>
        <w:t xml:space="preserve"> </w:t>
      </w:r>
      <w:r>
        <w:rPr>
          <w:rFonts w:ascii="Book Antiqua" w:eastAsia="Times New Roman" w:hAnsi="Book Antiqua" w:cs="Times New Roman"/>
          <w:color w:val="000000"/>
          <w:sz w:val="22"/>
          <w:szCs w:val="22"/>
        </w:rPr>
        <w:t xml:space="preserve">Stablo je ukorijenjemo potklasterom više vrsta </w:t>
      </w:r>
      <w:r>
        <w:rPr>
          <w:rFonts w:ascii="Book Antiqua" w:eastAsia="Times New Roman" w:hAnsi="Book Antiqua" w:cs="Times New Roman"/>
          <w:i/>
          <w:iCs/>
          <w:color w:val="000000"/>
          <w:sz w:val="22"/>
          <w:szCs w:val="22"/>
        </w:rPr>
        <w:t>D. eres</w:t>
      </w:r>
      <w:r>
        <w:rPr>
          <w:rFonts w:ascii="Book Antiqua" w:eastAsia="Times New Roman" w:hAnsi="Book Antiqua" w:cs="Times New Roman"/>
          <w:color w:val="000000"/>
          <w:sz w:val="22"/>
          <w:szCs w:val="22"/>
        </w:rPr>
        <w:t>;</w:t>
      </w:r>
    </w:p>
    <w:p w14:paraId="4259F262" w14:textId="77777777" w:rsidR="003801E8" w:rsidRDefault="003801E8">
      <w:pPr>
        <w:jc w:val="both"/>
        <w:rPr>
          <w:rFonts w:ascii="Calibri" w:eastAsia="Times New Roman" w:hAnsi="Calibri" w:cs="Calibri"/>
          <w:color w:val="000000"/>
          <w:sz w:val="22"/>
          <w:szCs w:val="22"/>
          <w:lang w:val="en-US"/>
        </w:rPr>
      </w:pPr>
    </w:p>
    <w:p w14:paraId="0FB45E9D" w14:textId="77777777" w:rsidR="003801E8" w:rsidRDefault="003801E8">
      <w:pPr>
        <w:jc w:val="both"/>
        <w:rPr>
          <w:rFonts w:ascii="Book Antiqua" w:eastAsia="Times New Roman" w:hAnsi="Book Antiqua" w:cs="Calibri"/>
          <w:color w:val="000000"/>
          <w:sz w:val="24"/>
          <w:szCs w:val="24"/>
          <w:lang w:val="en-US"/>
        </w:rPr>
      </w:pPr>
    </w:p>
    <w:p w14:paraId="159E6BAE" w14:textId="77777777" w:rsidR="003801E8" w:rsidRDefault="003801E8">
      <w:pPr>
        <w:jc w:val="both"/>
        <w:rPr>
          <w:rFonts w:ascii="Book Antiqua" w:eastAsia="Times New Roman" w:hAnsi="Book Antiqua" w:cs="Calibri"/>
          <w:color w:val="000000"/>
          <w:sz w:val="24"/>
          <w:szCs w:val="24"/>
          <w:lang w:val="en-US"/>
        </w:rPr>
      </w:pPr>
    </w:p>
    <w:p w14:paraId="79959FFD" w14:textId="77777777" w:rsidR="003801E8" w:rsidRDefault="003801E8">
      <w:pPr>
        <w:jc w:val="both"/>
        <w:rPr>
          <w:rFonts w:ascii="Calibri" w:eastAsia="Times New Roman" w:hAnsi="Calibri" w:cs="Calibri"/>
          <w:color w:val="000000"/>
          <w:sz w:val="22"/>
          <w:szCs w:val="22"/>
        </w:rPr>
      </w:pPr>
    </w:p>
    <w:p w14:paraId="7C27AC6F" w14:textId="77777777" w:rsidR="003801E8" w:rsidRDefault="003801E8">
      <w:pPr>
        <w:jc w:val="both"/>
        <w:rPr>
          <w:rFonts w:ascii="Calibri" w:eastAsia="Times New Roman" w:hAnsi="Calibri" w:cs="Calibri"/>
          <w:color w:val="000000"/>
          <w:sz w:val="22"/>
          <w:szCs w:val="22"/>
          <w:lang w:val="en-US"/>
        </w:rPr>
      </w:pPr>
    </w:p>
    <w:p w14:paraId="190F2486" w14:textId="77777777" w:rsidR="003801E8" w:rsidRDefault="003801E8">
      <w:pPr>
        <w:jc w:val="both"/>
        <w:rPr>
          <w:rFonts w:ascii="Calibri" w:eastAsia="Times New Roman" w:hAnsi="Calibri" w:cs="Calibri"/>
          <w:color w:val="000000"/>
          <w:sz w:val="22"/>
          <w:szCs w:val="22"/>
          <w:lang w:val="en-US"/>
        </w:rPr>
      </w:pPr>
    </w:p>
    <w:p w14:paraId="74F8E871" w14:textId="77777777" w:rsidR="003801E8" w:rsidRDefault="003801E8">
      <w:pPr>
        <w:jc w:val="both"/>
        <w:rPr>
          <w:rFonts w:ascii="Book Antiqua" w:eastAsia="Times New Roman" w:hAnsi="Book Antiqua" w:cs="Times New Roman"/>
          <w:sz w:val="24"/>
          <w:szCs w:val="24"/>
          <w:lang w:val="en-US"/>
        </w:rPr>
      </w:pPr>
    </w:p>
    <w:p w14:paraId="0BFA26FF" w14:textId="77777777" w:rsidR="003801E8" w:rsidRDefault="003801E8">
      <w:pPr>
        <w:jc w:val="both"/>
        <w:rPr>
          <w:rFonts w:ascii="Book Antiqua" w:hAnsi="Book Antiqua" w:cs="Times New Roman"/>
          <w:b/>
          <w:sz w:val="24"/>
          <w:szCs w:val="24"/>
          <w:lang w:val="sr-Latn-RS"/>
        </w:rPr>
      </w:pPr>
    </w:p>
    <w:p w14:paraId="16B6C680" w14:textId="77777777" w:rsidR="003801E8" w:rsidRDefault="00E44AAE">
      <w:pPr>
        <w:tabs>
          <w:tab w:val="left" w:pos="3315"/>
        </w:tabs>
        <w:spacing w:line="360" w:lineRule="auto"/>
        <w:jc w:val="both"/>
        <w:rPr>
          <w:rFonts w:ascii="Book Antiqua" w:hAnsi="Book Antiqua" w:cs="Times New Roman"/>
          <w:b/>
          <w:sz w:val="24"/>
          <w:szCs w:val="24"/>
          <w:lang w:val="sr-Latn-RS"/>
        </w:rPr>
      </w:pPr>
      <w:bookmarkStart w:id="9" w:name="_Hlk191836179"/>
      <w:r>
        <w:rPr>
          <w:rFonts w:ascii="Book Antiqua" w:hAnsi="Book Antiqua" w:cs="Times New Roman"/>
          <w:b/>
          <w:sz w:val="24"/>
          <w:szCs w:val="24"/>
          <w:lang w:val="sr-Latn-RS"/>
        </w:rPr>
        <w:lastRenderedPageBreak/>
        <w:t xml:space="preserve">5.5 Morfološke karakteristike patogena prouzrokovača eska oboljenja </w:t>
      </w:r>
    </w:p>
    <w:bookmarkEnd w:id="9"/>
    <w:p w14:paraId="7CE9E95F" w14:textId="77777777" w:rsidR="003801E8" w:rsidRDefault="00E44AAE">
      <w:pPr>
        <w:tabs>
          <w:tab w:val="left" w:pos="3315"/>
        </w:tabs>
        <w:spacing w:line="360" w:lineRule="auto"/>
        <w:jc w:val="both"/>
        <w:rPr>
          <w:rFonts w:ascii="Book Antiqua" w:hAnsi="Book Antiqua" w:cs="Times New Roman"/>
          <w:bCs/>
          <w:sz w:val="24"/>
          <w:szCs w:val="24"/>
          <w:lang w:val="sr-Latn-RS"/>
        </w:rPr>
      </w:pPr>
      <w:r>
        <w:rPr>
          <w:rFonts w:ascii="Book Antiqua" w:hAnsi="Book Antiqua" w:cs="Times New Roman"/>
          <w:bCs/>
          <w:sz w:val="24"/>
          <w:szCs w:val="24"/>
          <w:lang w:val="sr-Latn-RS"/>
        </w:rPr>
        <w:t xml:space="preserve">Nakon 20 dana razvoja na hranljivoj podlozi (KDA) fitopatogena gljiva </w:t>
      </w:r>
      <w:r>
        <w:rPr>
          <w:rFonts w:ascii="Book Antiqua" w:hAnsi="Book Antiqua" w:cs="Times New Roman"/>
          <w:bCs/>
          <w:i/>
          <w:iCs/>
          <w:sz w:val="24"/>
          <w:szCs w:val="24"/>
          <w:lang w:val="sr-Latn-RS"/>
        </w:rPr>
        <w:t>P. chlamydospora</w:t>
      </w:r>
      <w:r>
        <w:rPr>
          <w:rFonts w:ascii="Book Antiqua" w:hAnsi="Book Antiqua" w:cs="Times New Roman"/>
          <w:bCs/>
          <w:sz w:val="24"/>
          <w:szCs w:val="24"/>
          <w:lang w:val="sr-Latn-RS"/>
        </w:rPr>
        <w:t xml:space="preserve"> formirala je karakteristične kolonije sluzave teksture. Utvr</w:t>
      </w:r>
      <w:r>
        <w:rPr>
          <w:rFonts w:ascii="Book Antiqua" w:hAnsi="Book Antiqua" w:cs="Times New Roman"/>
          <w:bCs/>
          <w:sz w:val="24"/>
          <w:szCs w:val="24"/>
        </w:rPr>
        <w:t>đene</w:t>
      </w:r>
      <w:r>
        <w:rPr>
          <w:rFonts w:ascii="Book Antiqua" w:hAnsi="Book Antiqua" w:cs="Times New Roman"/>
          <w:bCs/>
          <w:sz w:val="24"/>
          <w:szCs w:val="24"/>
          <w:lang w:val="sr-Latn-RS"/>
        </w:rPr>
        <w:t xml:space="preserve"> su vizuelne razlike između kolonija ispitivanih izolata, na osnovu kojih su kolonije podijeljene u 4 grupe. Kolonije </w:t>
      </w:r>
      <w:r>
        <w:rPr>
          <w:rFonts w:ascii="Book Antiqua" w:hAnsi="Book Antiqua" w:cs="Times New Roman"/>
          <w:b/>
          <w:sz w:val="24"/>
          <w:szCs w:val="24"/>
          <w:lang w:val="sr-Latn-RS"/>
        </w:rPr>
        <w:t xml:space="preserve">tipa I </w:t>
      </w:r>
      <w:r>
        <w:rPr>
          <w:rFonts w:ascii="Book Antiqua" w:hAnsi="Book Antiqua" w:cs="Times New Roman"/>
          <w:bCs/>
          <w:sz w:val="24"/>
          <w:szCs w:val="24"/>
          <w:lang w:val="sr-Latn-RS"/>
        </w:rPr>
        <w:t xml:space="preserve">su imale izrazitu maslinastu boju sa formiranom filamentoznom vazdušnom micelijom zelene boje i ivicama ravnomjernog porasta (11a). Kolonije </w:t>
      </w:r>
      <w:r>
        <w:rPr>
          <w:rFonts w:ascii="Book Antiqua" w:hAnsi="Book Antiqua" w:cs="Times New Roman"/>
          <w:b/>
          <w:sz w:val="24"/>
          <w:szCs w:val="24"/>
          <w:lang w:val="sr-Latn-RS"/>
        </w:rPr>
        <w:t>tipa II</w:t>
      </w:r>
      <w:r>
        <w:rPr>
          <w:rFonts w:ascii="Book Antiqua" w:hAnsi="Book Antiqua" w:cs="Times New Roman"/>
          <w:bCs/>
          <w:sz w:val="24"/>
          <w:szCs w:val="24"/>
          <w:lang w:val="sr-Latn-RS"/>
        </w:rPr>
        <w:t xml:space="preserve"> su bile bijele boje sa neravnomjernim porastom (11b). Treća grupa kolonija </w:t>
      </w:r>
      <w:r>
        <w:rPr>
          <w:rFonts w:ascii="Book Antiqua" w:hAnsi="Book Antiqua" w:cs="Times New Roman"/>
          <w:b/>
          <w:sz w:val="24"/>
          <w:szCs w:val="24"/>
          <w:lang w:val="sr-Latn-RS"/>
        </w:rPr>
        <w:t xml:space="preserve">tipa III </w:t>
      </w:r>
      <w:r>
        <w:rPr>
          <w:rFonts w:ascii="Book Antiqua" w:hAnsi="Book Antiqua" w:cs="Times New Roman"/>
          <w:bCs/>
          <w:sz w:val="24"/>
          <w:szCs w:val="24"/>
          <w:lang w:val="sr-Latn-RS"/>
        </w:rPr>
        <w:t>karakterisala se ivicom neravnomjernog porasta bijele boje, ali sa koncentrično raspoređenim zelenim pigmentom i neravnomjerno formiranom filamentoznom micelijom (11c). Četvrta grupa kolonija (</w:t>
      </w:r>
      <w:r>
        <w:rPr>
          <w:rFonts w:ascii="Book Antiqua" w:hAnsi="Book Antiqua" w:cs="Times New Roman"/>
          <w:b/>
          <w:sz w:val="24"/>
          <w:szCs w:val="24"/>
          <w:lang w:val="sr-Latn-RS"/>
        </w:rPr>
        <w:t>tip IV</w:t>
      </w:r>
      <w:r>
        <w:rPr>
          <w:rFonts w:ascii="Book Antiqua" w:hAnsi="Book Antiqua" w:cs="Times New Roman"/>
          <w:bCs/>
          <w:sz w:val="24"/>
          <w:szCs w:val="24"/>
          <w:lang w:val="sr-Latn-RS"/>
        </w:rPr>
        <w:t>) imala je bijelu boju sa ivicom ravnomjernog porasta, dok se u centralnom dijelu kolonije uočavala slaba zelena pigmentacija (11d). Brzina rasta četiri različite grupe kolonija se nije razlikovala. Prosječan prečnik kolonije nakon 10 dana razvoja na KDA iznosio je 18 mm, a nakon 20 dana, 29 mm. Prosječan dnevni porast je bio 1,1 mm. Konidije su duguljasto-elipsoidne do jajaste (14a), prosječne dimenzije 3,2 x 1,8 µm (n = 100 spora).</w:t>
      </w:r>
    </w:p>
    <w:p w14:paraId="34AAEFA7" w14:textId="77777777" w:rsidR="003801E8" w:rsidRDefault="00E44AAE">
      <w:pPr>
        <w:tabs>
          <w:tab w:val="left" w:pos="3315"/>
        </w:tabs>
        <w:spacing w:line="240" w:lineRule="auto"/>
        <w:jc w:val="center"/>
        <w:rPr>
          <w:rFonts w:ascii="Book Antiqua" w:hAnsi="Book Antiqua" w:cs="Times New Roman"/>
          <w:bCs/>
          <w:sz w:val="24"/>
          <w:szCs w:val="24"/>
          <w:lang w:val="sr-Latn-RS"/>
        </w:rPr>
      </w:pPr>
      <w:r>
        <w:rPr>
          <w:rFonts w:ascii="Book Antiqua" w:hAnsi="Book Antiqua" w:cs="Times New Roman"/>
          <w:bCs/>
          <w:noProof/>
          <w:sz w:val="24"/>
          <w:szCs w:val="24"/>
          <w:lang w:val="en-US"/>
        </w:rPr>
        <w:drawing>
          <wp:inline distT="0" distB="0" distL="0" distR="0" wp14:anchorId="23C01326" wp14:editId="1AAB5F51">
            <wp:extent cx="2790825" cy="2800985"/>
            <wp:effectExtent l="0" t="0" r="9525" b="18415"/>
            <wp:docPr id="11086310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31038" name="Picture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90825" cy="2800985"/>
                    </a:xfrm>
                    <a:prstGeom prst="rect">
                      <a:avLst/>
                    </a:prstGeom>
                  </pic:spPr>
                </pic:pic>
              </a:graphicData>
            </a:graphic>
          </wp:inline>
        </w:drawing>
      </w:r>
    </w:p>
    <w:p w14:paraId="1CB8A32D" w14:textId="77777777" w:rsidR="003801E8" w:rsidRDefault="00E44AAE">
      <w:pPr>
        <w:tabs>
          <w:tab w:val="left" w:pos="3315"/>
        </w:tabs>
        <w:spacing w:line="240" w:lineRule="auto"/>
        <w:jc w:val="both"/>
        <w:rPr>
          <w:rFonts w:ascii="Book Antiqua" w:hAnsi="Book Antiqua"/>
          <w:b/>
          <w:sz w:val="22"/>
          <w:szCs w:val="22"/>
        </w:rPr>
      </w:pPr>
      <w:r>
        <w:rPr>
          <w:rFonts w:ascii="Book Antiqua" w:hAnsi="Book Antiqua"/>
          <w:b/>
          <w:sz w:val="22"/>
          <w:szCs w:val="22"/>
        </w:rPr>
        <w:t>Slika 11</w:t>
      </w:r>
      <w:r>
        <w:rPr>
          <w:rFonts w:ascii="Book Antiqua" w:hAnsi="Book Antiqua"/>
          <w:sz w:val="22"/>
          <w:szCs w:val="22"/>
        </w:rPr>
        <w:t xml:space="preserve">. </w:t>
      </w:r>
      <w:bookmarkStart w:id="10" w:name="_Hlk164283448"/>
      <w:r>
        <w:rPr>
          <w:rFonts w:ascii="Book Antiqua" w:hAnsi="Book Antiqua"/>
          <w:sz w:val="22"/>
          <w:szCs w:val="22"/>
        </w:rPr>
        <w:t xml:space="preserve">Kolonije gljive </w:t>
      </w:r>
      <w:r>
        <w:rPr>
          <w:rFonts w:ascii="Book Antiqua" w:hAnsi="Book Antiqua"/>
          <w:i/>
          <w:iCs/>
          <w:sz w:val="22"/>
          <w:szCs w:val="22"/>
        </w:rPr>
        <w:t>Phaemoniella chlamydospora:</w:t>
      </w:r>
      <w:r>
        <w:rPr>
          <w:rFonts w:ascii="Book Antiqua" w:hAnsi="Book Antiqua"/>
          <w:sz w:val="22"/>
          <w:szCs w:val="22"/>
        </w:rPr>
        <w:t xml:space="preserve"> </w:t>
      </w:r>
      <w:bookmarkEnd w:id="10"/>
      <w:r>
        <w:rPr>
          <w:rFonts w:ascii="Book Antiqua" w:hAnsi="Book Antiqua"/>
          <w:sz w:val="22"/>
          <w:szCs w:val="22"/>
        </w:rPr>
        <w:t xml:space="preserve">(a) </w:t>
      </w:r>
      <w:r>
        <w:rPr>
          <w:rFonts w:ascii="Book Antiqua" w:hAnsi="Book Antiqua"/>
          <w:b/>
          <w:bCs/>
          <w:sz w:val="22"/>
          <w:szCs w:val="22"/>
        </w:rPr>
        <w:t>tip I</w:t>
      </w:r>
      <w:r>
        <w:rPr>
          <w:rFonts w:ascii="Book Antiqua" w:hAnsi="Book Antiqua"/>
          <w:sz w:val="22"/>
          <w:szCs w:val="22"/>
        </w:rPr>
        <w:t xml:space="preserve"> (izolat MN010) (b</w:t>
      </w:r>
      <w:r>
        <w:rPr>
          <w:rFonts w:ascii="Book Antiqua" w:hAnsi="Book Antiqua"/>
          <w:i/>
          <w:iCs/>
          <w:sz w:val="22"/>
          <w:szCs w:val="22"/>
        </w:rPr>
        <w:t xml:space="preserve">) </w:t>
      </w:r>
      <w:r>
        <w:rPr>
          <w:rFonts w:ascii="Book Antiqua" w:hAnsi="Book Antiqua"/>
          <w:b/>
          <w:bCs/>
          <w:sz w:val="22"/>
          <w:szCs w:val="22"/>
        </w:rPr>
        <w:t xml:space="preserve">tip II </w:t>
      </w:r>
      <w:r>
        <w:rPr>
          <w:rFonts w:ascii="Book Antiqua" w:hAnsi="Book Antiqua"/>
          <w:sz w:val="22"/>
          <w:szCs w:val="22"/>
        </w:rPr>
        <w:t>(izolat MN015) (c)</w:t>
      </w:r>
      <w:r>
        <w:rPr>
          <w:rFonts w:ascii="Book Antiqua" w:hAnsi="Book Antiqua"/>
          <w:i/>
          <w:iCs/>
          <w:sz w:val="22"/>
          <w:szCs w:val="22"/>
        </w:rPr>
        <w:t xml:space="preserve"> </w:t>
      </w:r>
      <w:r>
        <w:rPr>
          <w:rFonts w:ascii="Book Antiqua" w:hAnsi="Book Antiqua"/>
          <w:b/>
          <w:bCs/>
          <w:sz w:val="22"/>
          <w:szCs w:val="22"/>
        </w:rPr>
        <w:t>tip III</w:t>
      </w:r>
      <w:r>
        <w:rPr>
          <w:rFonts w:ascii="Book Antiqua" w:hAnsi="Book Antiqua"/>
          <w:sz w:val="22"/>
          <w:szCs w:val="22"/>
        </w:rPr>
        <w:t xml:space="preserve"> (izolat MN012) (d) </w:t>
      </w:r>
      <w:r>
        <w:rPr>
          <w:rFonts w:ascii="Book Antiqua" w:hAnsi="Book Antiqua"/>
          <w:b/>
          <w:sz w:val="22"/>
          <w:szCs w:val="22"/>
        </w:rPr>
        <w:t xml:space="preserve">tip IV na KDA </w:t>
      </w:r>
      <w:r>
        <w:rPr>
          <w:rFonts w:ascii="Book Antiqua" w:hAnsi="Book Antiqua"/>
          <w:bCs/>
          <w:sz w:val="22"/>
          <w:szCs w:val="22"/>
        </w:rPr>
        <w:t>(izolat MN013)</w:t>
      </w:r>
    </w:p>
    <w:p w14:paraId="7258B017" w14:textId="77777777" w:rsidR="003801E8" w:rsidRDefault="00E44AAE">
      <w:pPr>
        <w:spacing w:line="360" w:lineRule="auto"/>
        <w:jc w:val="both"/>
        <w:rPr>
          <w:rFonts w:ascii="Book Antiqua" w:hAnsi="Book Antiqua"/>
          <w:sz w:val="24"/>
          <w:szCs w:val="24"/>
        </w:rPr>
      </w:pPr>
      <w:r>
        <w:rPr>
          <w:rFonts w:ascii="Book Antiqua" w:hAnsi="Book Antiqua"/>
          <w:sz w:val="24"/>
          <w:szCs w:val="24"/>
        </w:rPr>
        <w:lastRenderedPageBreak/>
        <w:t xml:space="preserve">Na osnovu morfoloških karakteristika kolonije gljive </w:t>
      </w:r>
      <w:r>
        <w:rPr>
          <w:rFonts w:ascii="Book Antiqua" w:hAnsi="Book Antiqua"/>
          <w:i/>
          <w:sz w:val="24"/>
          <w:szCs w:val="24"/>
        </w:rPr>
        <w:t>P. minimum</w:t>
      </w:r>
      <w:r>
        <w:rPr>
          <w:rFonts w:ascii="Book Antiqua" w:hAnsi="Book Antiqua"/>
          <w:sz w:val="24"/>
          <w:szCs w:val="24"/>
        </w:rPr>
        <w:t xml:space="preserve">  su podijeljene u tri grupe. </w:t>
      </w:r>
      <w:r>
        <w:rPr>
          <w:rFonts w:ascii="Book Antiqua" w:hAnsi="Book Antiqua"/>
          <w:b/>
          <w:bCs/>
          <w:sz w:val="24"/>
          <w:szCs w:val="24"/>
        </w:rPr>
        <w:t>Tip I</w:t>
      </w:r>
      <w:r>
        <w:rPr>
          <w:rFonts w:ascii="Book Antiqua" w:hAnsi="Book Antiqua"/>
          <w:sz w:val="24"/>
          <w:szCs w:val="24"/>
        </w:rPr>
        <w:t xml:space="preserve">: Vazdušna kolonija je smeđe boje, neravnomjerne teksture sa rijetkom vazdušnom micelijom i ravnomjernog porasta (12a); </w:t>
      </w:r>
      <w:r>
        <w:rPr>
          <w:rFonts w:ascii="Book Antiqua" w:hAnsi="Book Antiqua"/>
          <w:b/>
          <w:bCs/>
          <w:sz w:val="24"/>
          <w:szCs w:val="24"/>
        </w:rPr>
        <w:t>Tip II</w:t>
      </w:r>
      <w:r>
        <w:rPr>
          <w:rFonts w:ascii="Book Antiqua" w:hAnsi="Book Antiqua"/>
          <w:sz w:val="24"/>
          <w:szCs w:val="24"/>
        </w:rPr>
        <w:t xml:space="preserve">: Vazdušna micelija je neravnomjerne teksture smeđe do braon boje sa neravnomjernom ivicom porasta (12b); </w:t>
      </w:r>
      <w:r>
        <w:rPr>
          <w:rFonts w:ascii="Book Antiqua" w:hAnsi="Book Antiqua"/>
          <w:b/>
          <w:bCs/>
          <w:sz w:val="24"/>
          <w:szCs w:val="24"/>
        </w:rPr>
        <w:t>Tip III</w:t>
      </w:r>
      <w:r>
        <w:rPr>
          <w:rFonts w:ascii="Book Antiqua" w:hAnsi="Book Antiqua"/>
          <w:sz w:val="24"/>
          <w:szCs w:val="24"/>
        </w:rPr>
        <w:t xml:space="preserve">: Vazdušna kolonija je sive do crne boje (12c). Deset dana nakon zasijavanja, prosječan prečnik je iznosio 24,80 mm, odnosno 45,3 mm nakon 20 dana razvoja. Prosječan dnevni porast je iznosio  2,05 mm. Sva tri tipa kolonija </w:t>
      </w:r>
      <w:r>
        <w:rPr>
          <w:rFonts w:ascii="Book Antiqua" w:hAnsi="Book Antiqua"/>
          <w:i/>
          <w:iCs/>
          <w:sz w:val="24"/>
          <w:szCs w:val="24"/>
        </w:rPr>
        <w:t>P. minimum</w:t>
      </w:r>
      <w:r>
        <w:rPr>
          <w:rFonts w:ascii="Book Antiqua" w:hAnsi="Book Antiqua"/>
          <w:sz w:val="24"/>
          <w:szCs w:val="24"/>
        </w:rPr>
        <w:t xml:space="preserve"> prouzrokovala su žutu pigmentaciju na KDA. Konidije su hijaline, elipsoidne do alantoidne, prosječnih dimenzija 4,8 x 2,2 µm (n = 100 spora) (14b). Vazdušna kolonija (12d) gljive </w:t>
      </w:r>
      <w:r>
        <w:rPr>
          <w:rFonts w:ascii="Book Antiqua" w:hAnsi="Book Antiqua"/>
          <w:i/>
          <w:iCs/>
          <w:sz w:val="24"/>
          <w:szCs w:val="24"/>
        </w:rPr>
        <w:t>P. iranianum</w:t>
      </w:r>
      <w:r>
        <w:rPr>
          <w:rFonts w:ascii="Book Antiqua" w:hAnsi="Book Antiqua"/>
          <w:sz w:val="24"/>
          <w:szCs w:val="24"/>
        </w:rPr>
        <w:t xml:space="preserve"> je kružna i pravilnih ivica glatka do slabo filamentozna. Na početku razvoja svijetlo siva, a kasnije dobija smeđu nijansu. Za razliku od </w:t>
      </w:r>
      <w:r>
        <w:rPr>
          <w:rFonts w:ascii="Book Antiqua" w:hAnsi="Book Antiqua"/>
          <w:i/>
          <w:iCs/>
          <w:sz w:val="24"/>
          <w:szCs w:val="24"/>
        </w:rPr>
        <w:t>P. minimum</w:t>
      </w:r>
      <w:r>
        <w:rPr>
          <w:rFonts w:ascii="Book Antiqua" w:hAnsi="Book Antiqua"/>
          <w:sz w:val="24"/>
          <w:szCs w:val="24"/>
        </w:rPr>
        <w:t xml:space="preserve">, ova vrsta prouzrokuje tamnu pigmentaciju hranljive podloge. Brzina razvoja na KDA je identična kao i kod vrste </w:t>
      </w:r>
      <w:r>
        <w:rPr>
          <w:rFonts w:ascii="Book Antiqua" w:hAnsi="Book Antiqua"/>
          <w:i/>
          <w:iCs/>
          <w:sz w:val="24"/>
          <w:szCs w:val="24"/>
        </w:rPr>
        <w:t>P. minimum</w:t>
      </w:r>
      <w:r>
        <w:rPr>
          <w:rFonts w:ascii="Book Antiqua" w:hAnsi="Book Antiqua"/>
          <w:sz w:val="24"/>
          <w:szCs w:val="24"/>
        </w:rPr>
        <w:t>. Prosječan dnevni porast je iznosio  2,04 mm. Konidije su glatkih ivica, hijaline, neseptirane, elipsoidne do ovalne.  Dimenzija konidija iznosi 3.5-7 µm x 1.4-2.2 µm (n = 100 spora) (14c).</w:t>
      </w:r>
    </w:p>
    <w:p w14:paraId="4F684BC7" w14:textId="77777777" w:rsidR="003801E8" w:rsidRDefault="00E44AAE">
      <w:pPr>
        <w:spacing w:line="240" w:lineRule="auto"/>
        <w:jc w:val="both"/>
        <w:rPr>
          <w:rFonts w:ascii="Book Antiqua" w:hAnsi="Book Antiqua"/>
          <w:sz w:val="24"/>
          <w:szCs w:val="24"/>
        </w:rPr>
      </w:pPr>
      <w:r>
        <w:rPr>
          <w:rFonts w:ascii="Book Antiqua" w:hAnsi="Book Antiqua"/>
          <w:noProof/>
          <w:sz w:val="24"/>
          <w:szCs w:val="24"/>
          <w:lang w:val="en-US"/>
        </w:rPr>
        <w:drawing>
          <wp:inline distT="0" distB="0" distL="0" distR="0" wp14:anchorId="3B7456FB" wp14:editId="7939A9A1">
            <wp:extent cx="5394960" cy="1351280"/>
            <wp:effectExtent l="0" t="0" r="0" b="1270"/>
            <wp:docPr id="20000870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087096" name="Picture 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426421" cy="1359462"/>
                    </a:xfrm>
                    <a:prstGeom prst="rect">
                      <a:avLst/>
                    </a:prstGeom>
                  </pic:spPr>
                </pic:pic>
              </a:graphicData>
            </a:graphic>
          </wp:inline>
        </w:drawing>
      </w:r>
    </w:p>
    <w:p w14:paraId="6F300102" w14:textId="77777777" w:rsidR="003801E8" w:rsidRDefault="00E44AAE">
      <w:pPr>
        <w:spacing w:line="240" w:lineRule="auto"/>
        <w:jc w:val="both"/>
        <w:rPr>
          <w:rFonts w:ascii="Book Antiqua" w:hAnsi="Book Antiqua"/>
          <w:sz w:val="22"/>
          <w:szCs w:val="22"/>
        </w:rPr>
      </w:pPr>
      <w:r>
        <w:rPr>
          <w:rFonts w:ascii="Book Antiqua" w:hAnsi="Book Antiqua"/>
          <w:b/>
          <w:sz w:val="22"/>
          <w:szCs w:val="22"/>
        </w:rPr>
        <w:t>Slika 12</w:t>
      </w:r>
      <w:r>
        <w:rPr>
          <w:rFonts w:ascii="Book Antiqua" w:hAnsi="Book Antiqua"/>
          <w:sz w:val="22"/>
          <w:szCs w:val="22"/>
        </w:rPr>
        <w:t xml:space="preserve">. Kolonije gljiva iz roda </w:t>
      </w:r>
      <w:r>
        <w:rPr>
          <w:rFonts w:ascii="Book Antiqua" w:hAnsi="Book Antiqua"/>
          <w:i/>
          <w:iCs/>
          <w:sz w:val="22"/>
          <w:szCs w:val="22"/>
        </w:rPr>
        <w:t>Phaeoacremonium</w:t>
      </w:r>
      <w:r>
        <w:rPr>
          <w:rFonts w:ascii="Book Antiqua" w:hAnsi="Book Antiqua"/>
          <w:sz w:val="22"/>
          <w:szCs w:val="22"/>
        </w:rPr>
        <w:t>; a) tip I (</w:t>
      </w:r>
      <w:r>
        <w:rPr>
          <w:rFonts w:ascii="Book Antiqua" w:hAnsi="Book Antiqua"/>
          <w:i/>
          <w:iCs/>
          <w:sz w:val="22"/>
          <w:szCs w:val="22"/>
        </w:rPr>
        <w:t xml:space="preserve">P. minimum </w:t>
      </w:r>
      <w:r>
        <w:rPr>
          <w:rFonts w:ascii="Book Antiqua" w:hAnsi="Book Antiqua"/>
          <w:sz w:val="22"/>
          <w:szCs w:val="22"/>
        </w:rPr>
        <w:t>MN004), b) tip II (</w:t>
      </w:r>
      <w:r>
        <w:rPr>
          <w:rFonts w:ascii="Book Antiqua" w:hAnsi="Book Antiqua"/>
          <w:i/>
          <w:iCs/>
          <w:sz w:val="22"/>
          <w:szCs w:val="22"/>
        </w:rPr>
        <w:t>P. minimum</w:t>
      </w:r>
      <w:r>
        <w:rPr>
          <w:rFonts w:ascii="Book Antiqua" w:hAnsi="Book Antiqua"/>
          <w:sz w:val="22"/>
          <w:szCs w:val="22"/>
        </w:rPr>
        <w:t xml:space="preserve"> MN009) i c) tip III (</w:t>
      </w:r>
      <w:r>
        <w:rPr>
          <w:rFonts w:ascii="Book Antiqua" w:hAnsi="Book Antiqua"/>
          <w:i/>
          <w:iCs/>
          <w:sz w:val="22"/>
          <w:szCs w:val="22"/>
        </w:rPr>
        <w:t>P. minimum</w:t>
      </w:r>
      <w:r>
        <w:rPr>
          <w:rFonts w:ascii="Book Antiqua" w:hAnsi="Book Antiqua"/>
          <w:sz w:val="22"/>
          <w:szCs w:val="22"/>
        </w:rPr>
        <w:t xml:space="preserve"> MN005) na KDA d) vazdušna kolonija </w:t>
      </w:r>
      <w:r>
        <w:rPr>
          <w:rFonts w:ascii="Book Antiqua" w:hAnsi="Book Antiqua"/>
          <w:i/>
          <w:iCs/>
          <w:sz w:val="22"/>
          <w:szCs w:val="22"/>
        </w:rPr>
        <w:t>P. iranianium</w:t>
      </w:r>
      <w:r>
        <w:rPr>
          <w:rFonts w:ascii="Book Antiqua" w:hAnsi="Book Antiqua"/>
          <w:sz w:val="22"/>
          <w:szCs w:val="22"/>
        </w:rPr>
        <w:t xml:space="preserve"> izolat MN006</w:t>
      </w:r>
    </w:p>
    <w:p w14:paraId="1FA3A343" w14:textId="77777777" w:rsidR="003801E8" w:rsidRDefault="003801E8">
      <w:pPr>
        <w:spacing w:line="240" w:lineRule="auto"/>
        <w:jc w:val="both"/>
        <w:rPr>
          <w:rFonts w:ascii="Book Antiqua" w:hAnsi="Book Antiqua"/>
          <w:sz w:val="22"/>
          <w:szCs w:val="22"/>
        </w:rPr>
      </w:pPr>
    </w:p>
    <w:p w14:paraId="63BB0CCA" w14:textId="77777777" w:rsidR="003801E8" w:rsidRDefault="003801E8">
      <w:pPr>
        <w:spacing w:line="240" w:lineRule="auto"/>
        <w:jc w:val="both"/>
        <w:rPr>
          <w:rFonts w:ascii="Book Antiqua" w:hAnsi="Book Antiqua"/>
          <w:sz w:val="22"/>
          <w:szCs w:val="22"/>
        </w:rPr>
      </w:pPr>
    </w:p>
    <w:p w14:paraId="19E69E37" w14:textId="77777777" w:rsidR="003801E8" w:rsidRDefault="003801E8">
      <w:pPr>
        <w:spacing w:line="240" w:lineRule="auto"/>
        <w:jc w:val="both"/>
        <w:rPr>
          <w:rFonts w:ascii="Book Antiqua" w:hAnsi="Book Antiqua"/>
          <w:sz w:val="22"/>
          <w:szCs w:val="22"/>
        </w:rPr>
      </w:pPr>
    </w:p>
    <w:p w14:paraId="3F506EFC" w14:textId="77777777" w:rsidR="003801E8" w:rsidRDefault="003801E8">
      <w:pPr>
        <w:spacing w:line="240" w:lineRule="auto"/>
        <w:jc w:val="both"/>
        <w:rPr>
          <w:rFonts w:ascii="Book Antiqua" w:hAnsi="Book Antiqua"/>
          <w:sz w:val="22"/>
          <w:szCs w:val="22"/>
        </w:rPr>
      </w:pPr>
    </w:p>
    <w:p w14:paraId="0BBE8C92" w14:textId="77777777" w:rsidR="003801E8" w:rsidRDefault="003801E8">
      <w:pPr>
        <w:spacing w:line="240" w:lineRule="auto"/>
        <w:jc w:val="both"/>
        <w:rPr>
          <w:rFonts w:ascii="Book Antiqua" w:hAnsi="Book Antiqua"/>
          <w:sz w:val="24"/>
          <w:szCs w:val="24"/>
        </w:rPr>
      </w:pPr>
    </w:p>
    <w:p w14:paraId="28237A68" w14:textId="77777777" w:rsidR="003801E8" w:rsidRDefault="00E44AAE">
      <w:pPr>
        <w:spacing w:line="360" w:lineRule="auto"/>
        <w:jc w:val="both"/>
        <w:rPr>
          <w:rFonts w:ascii="Book Antiqua" w:hAnsi="Book Antiqua"/>
          <w:sz w:val="24"/>
          <w:szCs w:val="24"/>
        </w:rPr>
      </w:pPr>
      <w:r>
        <w:rPr>
          <w:rFonts w:ascii="Book Antiqua" w:hAnsi="Book Antiqua"/>
          <w:sz w:val="24"/>
          <w:szCs w:val="24"/>
        </w:rPr>
        <w:lastRenderedPageBreak/>
        <w:t xml:space="preserve">Vazdušna kolonija gljive </w:t>
      </w:r>
      <w:r>
        <w:rPr>
          <w:rFonts w:ascii="Book Antiqua" w:hAnsi="Book Antiqua"/>
          <w:i/>
          <w:sz w:val="24"/>
          <w:szCs w:val="24"/>
        </w:rPr>
        <w:t>F. mediterranea</w:t>
      </w:r>
      <w:r>
        <w:rPr>
          <w:rFonts w:ascii="Book Antiqua" w:hAnsi="Book Antiqua"/>
          <w:sz w:val="24"/>
          <w:szCs w:val="24"/>
        </w:rPr>
        <w:t xml:space="preserve"> je na KDA u početku razvoja bila bijele boje (13a), a nakon 10 dana je dobila žutu boju sa pamučnom do vunastom micelijom (13b). Prosječan prečnik kolonije je iznosio  44,5 mm nakon 10 dana, dok je nakon 20 dana došlo do potpunog razvoja kolonije u Petri kutiji prečnika 9 cm. Prosječan dnevni porast iznosio je 4,55 mm. </w:t>
      </w:r>
    </w:p>
    <w:p w14:paraId="741BB88D" w14:textId="77777777" w:rsidR="003801E8" w:rsidRDefault="00E44AAE">
      <w:pPr>
        <w:spacing w:line="240" w:lineRule="auto"/>
        <w:jc w:val="center"/>
        <w:rPr>
          <w:rFonts w:ascii="Book Antiqua" w:hAnsi="Book Antiqua"/>
          <w:sz w:val="22"/>
          <w:szCs w:val="22"/>
        </w:rPr>
      </w:pPr>
      <w:r>
        <w:rPr>
          <w:rFonts w:ascii="Book Antiqua" w:hAnsi="Book Antiqua"/>
          <w:noProof/>
          <w:sz w:val="22"/>
          <w:szCs w:val="22"/>
          <w:lang w:val="en-US"/>
        </w:rPr>
        <w:drawing>
          <wp:inline distT="0" distB="0" distL="0" distR="0" wp14:anchorId="342D8C83" wp14:editId="52743D5A">
            <wp:extent cx="5400040" cy="2682240"/>
            <wp:effectExtent l="0" t="0" r="0" b="3810"/>
            <wp:docPr id="4183539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53944" name="Picture 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400040" cy="2682240"/>
                    </a:xfrm>
                    <a:prstGeom prst="rect">
                      <a:avLst/>
                    </a:prstGeom>
                  </pic:spPr>
                </pic:pic>
              </a:graphicData>
            </a:graphic>
          </wp:inline>
        </w:drawing>
      </w:r>
    </w:p>
    <w:p w14:paraId="6683F214" w14:textId="77777777" w:rsidR="003801E8" w:rsidRDefault="00E44AAE">
      <w:pPr>
        <w:spacing w:line="360" w:lineRule="auto"/>
        <w:jc w:val="both"/>
        <w:rPr>
          <w:rFonts w:ascii="Book Antiqua" w:hAnsi="Book Antiqua"/>
          <w:sz w:val="22"/>
          <w:szCs w:val="22"/>
        </w:rPr>
      </w:pPr>
      <w:r>
        <w:rPr>
          <w:rFonts w:ascii="Book Antiqua" w:hAnsi="Book Antiqua"/>
          <w:b/>
          <w:sz w:val="22"/>
          <w:szCs w:val="22"/>
        </w:rPr>
        <w:t>Slika 13</w:t>
      </w:r>
      <w:r>
        <w:rPr>
          <w:rFonts w:ascii="Book Antiqua" w:hAnsi="Book Antiqua"/>
          <w:sz w:val="22"/>
          <w:szCs w:val="22"/>
        </w:rPr>
        <w:t xml:space="preserve">. A. Vazdušna kolonija fitopatogene gljive </w:t>
      </w:r>
      <w:r>
        <w:rPr>
          <w:rFonts w:ascii="Book Antiqua" w:hAnsi="Book Antiqua"/>
          <w:i/>
          <w:sz w:val="22"/>
          <w:szCs w:val="22"/>
        </w:rPr>
        <w:t xml:space="preserve">F. mediterranea </w:t>
      </w:r>
      <w:r>
        <w:rPr>
          <w:rFonts w:ascii="Book Antiqua" w:hAnsi="Book Antiqua"/>
          <w:iCs/>
          <w:sz w:val="22"/>
          <w:szCs w:val="22"/>
        </w:rPr>
        <w:t xml:space="preserve">izolat MN008 </w:t>
      </w:r>
      <w:r>
        <w:rPr>
          <w:rFonts w:ascii="Book Antiqua" w:hAnsi="Book Antiqua"/>
          <w:i/>
          <w:sz w:val="22"/>
          <w:szCs w:val="22"/>
        </w:rPr>
        <w:t xml:space="preserve"> </w:t>
      </w:r>
      <w:r>
        <w:rPr>
          <w:rFonts w:ascii="Book Antiqua" w:hAnsi="Book Antiqua"/>
          <w:sz w:val="22"/>
          <w:szCs w:val="22"/>
        </w:rPr>
        <w:t xml:space="preserve">nakon 5 dana inkbacije  B. Vazdušna kolonija fitopatogene gljive </w:t>
      </w:r>
      <w:r>
        <w:rPr>
          <w:rFonts w:ascii="Book Antiqua" w:hAnsi="Book Antiqua"/>
          <w:i/>
          <w:sz w:val="22"/>
          <w:szCs w:val="22"/>
        </w:rPr>
        <w:t>F. mediterranea</w:t>
      </w:r>
      <w:r>
        <w:rPr>
          <w:rFonts w:ascii="Book Antiqua" w:hAnsi="Book Antiqua"/>
          <w:sz w:val="22"/>
          <w:szCs w:val="22"/>
        </w:rPr>
        <w:t xml:space="preserve"> </w:t>
      </w:r>
      <w:r>
        <w:rPr>
          <w:rFonts w:ascii="Book Antiqua" w:hAnsi="Book Antiqua"/>
          <w:iCs/>
          <w:sz w:val="22"/>
          <w:szCs w:val="22"/>
        </w:rPr>
        <w:t xml:space="preserve">izolat MN008 </w:t>
      </w:r>
      <w:r>
        <w:rPr>
          <w:rFonts w:ascii="Book Antiqua" w:hAnsi="Book Antiqua"/>
          <w:i/>
          <w:sz w:val="22"/>
          <w:szCs w:val="22"/>
        </w:rPr>
        <w:t xml:space="preserve"> </w:t>
      </w:r>
      <w:r>
        <w:rPr>
          <w:rFonts w:ascii="Book Antiqua" w:hAnsi="Book Antiqua"/>
          <w:sz w:val="22"/>
          <w:szCs w:val="22"/>
        </w:rPr>
        <w:t>nakon 10  dana inkubacije na KDA</w:t>
      </w:r>
    </w:p>
    <w:p w14:paraId="6EEAE904" w14:textId="77777777" w:rsidR="003801E8" w:rsidRDefault="00E44AAE">
      <w:pPr>
        <w:spacing w:line="240" w:lineRule="auto"/>
        <w:jc w:val="both"/>
        <w:rPr>
          <w:rFonts w:ascii="Book Antiqua" w:hAnsi="Book Antiqua"/>
          <w:sz w:val="24"/>
          <w:szCs w:val="24"/>
        </w:rPr>
      </w:pPr>
      <w:r>
        <w:rPr>
          <w:rFonts w:ascii="Book Antiqua" w:hAnsi="Book Antiqua"/>
          <w:noProof/>
          <w:sz w:val="24"/>
          <w:szCs w:val="24"/>
          <w:lang w:val="en-US"/>
        </w:rPr>
        <w:drawing>
          <wp:inline distT="0" distB="0" distL="0" distR="0" wp14:anchorId="506295A3" wp14:editId="7113764A">
            <wp:extent cx="5400040" cy="1605915"/>
            <wp:effectExtent l="0" t="0" r="0" b="0"/>
            <wp:docPr id="1165730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730100" name="Picture 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400040" cy="1605915"/>
                    </a:xfrm>
                    <a:prstGeom prst="rect">
                      <a:avLst/>
                    </a:prstGeom>
                  </pic:spPr>
                </pic:pic>
              </a:graphicData>
            </a:graphic>
          </wp:inline>
        </w:drawing>
      </w:r>
    </w:p>
    <w:p w14:paraId="44FA330B" w14:textId="77777777" w:rsidR="003801E8" w:rsidRDefault="00E44AAE">
      <w:pPr>
        <w:spacing w:line="240" w:lineRule="auto"/>
        <w:jc w:val="both"/>
        <w:rPr>
          <w:rFonts w:ascii="Book Antiqua" w:hAnsi="Book Antiqua"/>
          <w:sz w:val="22"/>
          <w:szCs w:val="22"/>
        </w:rPr>
      </w:pPr>
      <w:r>
        <w:rPr>
          <w:rFonts w:ascii="Book Antiqua" w:hAnsi="Book Antiqua"/>
          <w:b/>
          <w:sz w:val="22"/>
          <w:szCs w:val="22"/>
        </w:rPr>
        <w:t>Slika 14</w:t>
      </w:r>
      <w:r>
        <w:rPr>
          <w:rFonts w:ascii="Book Antiqua" w:hAnsi="Book Antiqua"/>
          <w:sz w:val="22"/>
          <w:szCs w:val="22"/>
        </w:rPr>
        <w:t xml:space="preserve">. A. Konidije </w:t>
      </w:r>
      <w:r>
        <w:rPr>
          <w:rFonts w:ascii="Book Antiqua" w:hAnsi="Book Antiqua"/>
          <w:i/>
          <w:iCs/>
          <w:sz w:val="22"/>
          <w:szCs w:val="22"/>
        </w:rPr>
        <w:t>P. chlamydospora</w:t>
      </w:r>
      <w:r>
        <w:rPr>
          <w:rFonts w:ascii="Book Antiqua" w:hAnsi="Book Antiqua"/>
          <w:sz w:val="22"/>
          <w:szCs w:val="22"/>
        </w:rPr>
        <w:t xml:space="preserve">, izolat MN010 (400x) B. Konidije </w:t>
      </w:r>
      <w:r>
        <w:rPr>
          <w:rFonts w:ascii="Book Antiqua" w:hAnsi="Book Antiqua"/>
          <w:i/>
          <w:iCs/>
          <w:sz w:val="22"/>
          <w:szCs w:val="22"/>
        </w:rPr>
        <w:t>P. minimum</w:t>
      </w:r>
      <w:r>
        <w:rPr>
          <w:rFonts w:ascii="Book Antiqua" w:hAnsi="Book Antiqua"/>
          <w:sz w:val="22"/>
          <w:szCs w:val="22"/>
        </w:rPr>
        <w:t xml:space="preserve">, izolat MN001 (400x) C. Konidije </w:t>
      </w:r>
      <w:r>
        <w:rPr>
          <w:rFonts w:ascii="Book Antiqua" w:hAnsi="Book Antiqua"/>
          <w:i/>
          <w:iCs/>
          <w:sz w:val="22"/>
          <w:szCs w:val="22"/>
        </w:rPr>
        <w:t>P. iranianum</w:t>
      </w:r>
      <w:r>
        <w:rPr>
          <w:rFonts w:ascii="Book Antiqua" w:hAnsi="Book Antiqua"/>
          <w:sz w:val="22"/>
          <w:szCs w:val="22"/>
        </w:rPr>
        <w:t xml:space="preserve"> izolat MN006 (400x)</w:t>
      </w:r>
    </w:p>
    <w:p w14:paraId="4D84F8C0" w14:textId="77777777" w:rsidR="003801E8" w:rsidRDefault="003801E8">
      <w:pPr>
        <w:spacing w:line="360" w:lineRule="auto"/>
        <w:jc w:val="both"/>
        <w:rPr>
          <w:rFonts w:ascii="Book Antiqua" w:hAnsi="Book Antiqua"/>
          <w:sz w:val="24"/>
          <w:szCs w:val="24"/>
        </w:rPr>
      </w:pPr>
    </w:p>
    <w:p w14:paraId="0147A9BB" w14:textId="77777777" w:rsidR="003801E8" w:rsidRDefault="003801E8">
      <w:pPr>
        <w:spacing w:line="360" w:lineRule="auto"/>
        <w:jc w:val="both"/>
        <w:rPr>
          <w:rFonts w:ascii="Book Antiqua" w:hAnsi="Book Antiqua"/>
          <w:sz w:val="24"/>
          <w:szCs w:val="24"/>
        </w:rPr>
      </w:pPr>
    </w:p>
    <w:p w14:paraId="35472574" w14:textId="77777777" w:rsidR="003801E8" w:rsidRDefault="003801E8">
      <w:pPr>
        <w:spacing w:line="360" w:lineRule="auto"/>
        <w:jc w:val="both"/>
        <w:rPr>
          <w:rFonts w:ascii="Book Antiqua" w:hAnsi="Book Antiqua"/>
          <w:sz w:val="24"/>
          <w:szCs w:val="24"/>
        </w:rPr>
      </w:pPr>
    </w:p>
    <w:p w14:paraId="0574A7AA" w14:textId="77777777" w:rsidR="003801E8" w:rsidRDefault="00E44AAE">
      <w:pPr>
        <w:tabs>
          <w:tab w:val="left" w:pos="3315"/>
        </w:tabs>
        <w:spacing w:line="360" w:lineRule="auto"/>
        <w:jc w:val="both"/>
        <w:rPr>
          <w:rFonts w:ascii="Book Antiqua" w:hAnsi="Book Antiqua" w:cs="Times New Roman"/>
          <w:b/>
          <w:sz w:val="24"/>
          <w:szCs w:val="24"/>
        </w:rPr>
      </w:pPr>
      <w:r>
        <w:rPr>
          <w:rFonts w:ascii="Book Antiqua" w:hAnsi="Book Antiqua" w:cs="Times New Roman"/>
          <w:b/>
          <w:sz w:val="24"/>
          <w:szCs w:val="24"/>
          <w:lang w:val="sr-Latn-RS"/>
        </w:rPr>
        <w:lastRenderedPageBreak/>
        <w:t>5.6 Morfološke karakteristike ostalih patogena prouzrokova</w:t>
      </w:r>
      <w:r>
        <w:rPr>
          <w:rFonts w:ascii="Book Antiqua" w:hAnsi="Book Antiqua" w:cs="Times New Roman"/>
          <w:b/>
          <w:sz w:val="24"/>
          <w:szCs w:val="24"/>
        </w:rPr>
        <w:t xml:space="preserve">ča bolesti drveta vinove loze identifikovanih u Crnoj Gori </w:t>
      </w:r>
    </w:p>
    <w:p w14:paraId="6750DF89" w14:textId="77777777" w:rsidR="003801E8" w:rsidRDefault="00E44AAE">
      <w:pPr>
        <w:spacing w:line="360" w:lineRule="auto"/>
        <w:jc w:val="both"/>
        <w:rPr>
          <w:rFonts w:ascii="Book Antiqua" w:hAnsi="Book Antiqua"/>
          <w:sz w:val="24"/>
          <w:szCs w:val="24"/>
        </w:rPr>
      </w:pPr>
      <w:r>
        <w:rPr>
          <w:rFonts w:ascii="Book Antiqua" w:hAnsi="Book Antiqua"/>
          <w:sz w:val="24"/>
          <w:szCs w:val="24"/>
        </w:rPr>
        <w:t xml:space="preserve">Vadušna kolonija izolata gljive </w:t>
      </w:r>
      <w:r>
        <w:rPr>
          <w:rFonts w:ascii="Book Antiqua" w:hAnsi="Book Antiqua"/>
          <w:i/>
          <w:iCs/>
          <w:sz w:val="24"/>
          <w:szCs w:val="24"/>
        </w:rPr>
        <w:t>N. parvum</w:t>
      </w:r>
      <w:r>
        <w:rPr>
          <w:rFonts w:ascii="Book Antiqua" w:hAnsi="Book Antiqua"/>
          <w:sz w:val="24"/>
          <w:szCs w:val="24"/>
        </w:rPr>
        <w:t xml:space="preserve"> pod šifrom B-CG na početku razvoja bila je bijele boje, a zatim je formirala gust vazdušni micelijum tamno sive boje na KDA (Slika 15a). Prečnik kolonije iznosio je 26,68 mm nakon 24 h, a nakon 5 dana je došlo do potpunog razvoja kolonije gljive u Petri posudi prečnika 9 cm. Prosječan dnevni rast iznosio je 19,65 mm. </w:t>
      </w:r>
    </w:p>
    <w:p w14:paraId="249C8ADD" w14:textId="77777777" w:rsidR="003801E8" w:rsidRDefault="00E44AAE">
      <w:pPr>
        <w:spacing w:line="360" w:lineRule="auto"/>
        <w:jc w:val="both"/>
        <w:rPr>
          <w:rFonts w:ascii="Book Antiqua" w:hAnsi="Book Antiqua"/>
          <w:sz w:val="24"/>
          <w:szCs w:val="24"/>
        </w:rPr>
      </w:pPr>
      <w:r>
        <w:rPr>
          <w:rFonts w:ascii="Book Antiqua" w:hAnsi="Book Antiqua"/>
          <w:sz w:val="24"/>
          <w:szCs w:val="24"/>
        </w:rPr>
        <w:t xml:space="preserve">Deset dana nakon postavljanja fragmenata micelije izolata B-CG, gljive </w:t>
      </w:r>
      <w:r>
        <w:rPr>
          <w:rFonts w:ascii="Book Antiqua" w:hAnsi="Book Antiqua"/>
          <w:i/>
          <w:iCs/>
          <w:sz w:val="24"/>
          <w:szCs w:val="24"/>
        </w:rPr>
        <w:t>N. parvum</w:t>
      </w:r>
      <w:r>
        <w:rPr>
          <w:rFonts w:ascii="Book Antiqua" w:hAnsi="Book Antiqua"/>
          <w:sz w:val="24"/>
          <w:szCs w:val="24"/>
        </w:rPr>
        <w:t xml:space="preserve"> na vodeni agar sa borovim iglicama, formirali su se karaktetistični piknidi u vidu crnih tačaka i nepravilnih gumoznih izraštaja (Slika 15b). Spore su jednoćelijske, hijaline, aseptirane i elipsoidne (Slika 15c). Prosječna dimenzija spora iznosila je 14,18 x 5,39</w:t>
      </w:r>
      <w:r>
        <w:t xml:space="preserve"> </w:t>
      </w:r>
      <w:r>
        <w:rPr>
          <w:rFonts w:ascii="Book Antiqua" w:hAnsi="Book Antiqua"/>
          <w:sz w:val="24"/>
          <w:szCs w:val="24"/>
        </w:rPr>
        <w:t xml:space="preserve">µm (n = 100 spora). </w:t>
      </w:r>
    </w:p>
    <w:p w14:paraId="2487F44A" w14:textId="77777777" w:rsidR="003801E8" w:rsidRDefault="00E44AAE">
      <w:pPr>
        <w:spacing w:line="240" w:lineRule="auto"/>
        <w:jc w:val="both"/>
        <w:rPr>
          <w:rFonts w:ascii="Book Antiqua" w:hAnsi="Book Antiqua"/>
          <w:sz w:val="24"/>
          <w:szCs w:val="24"/>
        </w:rPr>
      </w:pPr>
      <w:r>
        <w:rPr>
          <w:rFonts w:ascii="Book Antiqua" w:hAnsi="Book Antiqua"/>
          <w:noProof/>
          <w:sz w:val="24"/>
          <w:szCs w:val="24"/>
          <w:lang w:val="en-US"/>
        </w:rPr>
        <w:drawing>
          <wp:inline distT="0" distB="0" distL="0" distR="0" wp14:anchorId="12ADDA30" wp14:editId="32982D18">
            <wp:extent cx="5400040" cy="1268730"/>
            <wp:effectExtent l="0" t="0" r="0" b="7620"/>
            <wp:docPr id="10955280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528020" name="Picture 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40" cy="1268730"/>
                    </a:xfrm>
                    <a:prstGeom prst="rect">
                      <a:avLst/>
                    </a:prstGeom>
                  </pic:spPr>
                </pic:pic>
              </a:graphicData>
            </a:graphic>
          </wp:inline>
        </w:drawing>
      </w:r>
    </w:p>
    <w:p w14:paraId="0EB3709C" w14:textId="77777777" w:rsidR="003801E8" w:rsidRDefault="00E44AAE">
      <w:pPr>
        <w:spacing w:line="360" w:lineRule="auto"/>
        <w:jc w:val="both"/>
        <w:rPr>
          <w:rFonts w:ascii="Book Antiqua" w:hAnsi="Book Antiqua"/>
          <w:sz w:val="22"/>
          <w:szCs w:val="22"/>
        </w:rPr>
      </w:pPr>
      <w:r>
        <w:rPr>
          <w:rFonts w:ascii="Book Antiqua" w:hAnsi="Book Antiqua"/>
          <w:b/>
          <w:sz w:val="22"/>
          <w:szCs w:val="22"/>
        </w:rPr>
        <w:t>Slika 15</w:t>
      </w:r>
      <w:r>
        <w:rPr>
          <w:rFonts w:ascii="Book Antiqua" w:hAnsi="Book Antiqua"/>
          <w:sz w:val="22"/>
          <w:szCs w:val="22"/>
        </w:rPr>
        <w:t xml:space="preserve">. </w:t>
      </w:r>
      <w:r>
        <w:rPr>
          <w:rFonts w:ascii="Book Antiqua" w:hAnsi="Book Antiqua"/>
          <w:i/>
          <w:iCs/>
          <w:sz w:val="22"/>
          <w:szCs w:val="22"/>
        </w:rPr>
        <w:t>N. Parvum,</w:t>
      </w:r>
      <w:r>
        <w:rPr>
          <w:rFonts w:ascii="Book Antiqua" w:hAnsi="Book Antiqua"/>
          <w:sz w:val="22"/>
          <w:szCs w:val="22"/>
        </w:rPr>
        <w:t xml:space="preserve"> izolat B-CG A. Vazdušna kolonija sive boje nakon 10 dana razvoja na KDA; B. Piknidi formirani na borovim iglicama; C. Konidije (200x)</w:t>
      </w:r>
    </w:p>
    <w:p w14:paraId="14F3CD38" w14:textId="77777777" w:rsidR="003801E8" w:rsidRDefault="003801E8">
      <w:pPr>
        <w:spacing w:line="240" w:lineRule="auto"/>
        <w:jc w:val="both"/>
        <w:rPr>
          <w:rFonts w:ascii="Book Antiqua" w:hAnsi="Book Antiqua"/>
          <w:sz w:val="22"/>
          <w:szCs w:val="22"/>
        </w:rPr>
      </w:pPr>
    </w:p>
    <w:p w14:paraId="681487D3" w14:textId="77777777" w:rsidR="003801E8" w:rsidRDefault="00E44AAE">
      <w:pPr>
        <w:spacing w:line="360" w:lineRule="auto"/>
        <w:jc w:val="both"/>
        <w:rPr>
          <w:rFonts w:ascii="Book Antiqua" w:hAnsi="Book Antiqua"/>
          <w:sz w:val="24"/>
          <w:szCs w:val="24"/>
        </w:rPr>
      </w:pPr>
      <w:r>
        <w:rPr>
          <w:rFonts w:ascii="Book Antiqua" w:hAnsi="Book Antiqua"/>
          <w:sz w:val="24"/>
          <w:szCs w:val="24"/>
        </w:rPr>
        <w:t xml:space="preserve">Vazdušna kolonija izolata gljive </w:t>
      </w:r>
      <w:r>
        <w:rPr>
          <w:rFonts w:ascii="Book Antiqua" w:hAnsi="Book Antiqua"/>
          <w:i/>
          <w:iCs/>
          <w:sz w:val="24"/>
          <w:szCs w:val="24"/>
        </w:rPr>
        <w:t>D. seriata</w:t>
      </w:r>
      <w:r>
        <w:rPr>
          <w:rFonts w:ascii="Book Antiqua" w:hAnsi="Book Antiqua"/>
          <w:sz w:val="24"/>
          <w:szCs w:val="24"/>
        </w:rPr>
        <w:t xml:space="preserve"> pod šifrom MN001 na početku razvoja je bila bijele boje, a nakon 7 dana razvoja je postala tamno siva sa veoma gustom micelijom na KDA (Slika 16a). Prečnik kolonije iznosio je 20,75 mm nakon 24 h, a nakon 5 dana je došlo do potpunog razvoja kolonije gljive u Petri posudi prečnika 9 cm. Prosječan dnevni porast iznosio je 17,31 mm. </w:t>
      </w:r>
    </w:p>
    <w:p w14:paraId="76ABA97A" w14:textId="77777777" w:rsidR="003801E8" w:rsidRDefault="003801E8">
      <w:pPr>
        <w:spacing w:line="360" w:lineRule="auto"/>
        <w:jc w:val="both"/>
        <w:rPr>
          <w:rFonts w:ascii="Book Antiqua" w:hAnsi="Book Antiqua"/>
          <w:sz w:val="24"/>
          <w:szCs w:val="24"/>
        </w:rPr>
      </w:pPr>
    </w:p>
    <w:p w14:paraId="3291A8E1" w14:textId="77777777" w:rsidR="003801E8" w:rsidRDefault="00E44AAE">
      <w:pPr>
        <w:spacing w:line="360" w:lineRule="auto"/>
        <w:jc w:val="both"/>
        <w:rPr>
          <w:rFonts w:ascii="Book Antiqua" w:hAnsi="Book Antiqua"/>
          <w:sz w:val="24"/>
          <w:szCs w:val="24"/>
        </w:rPr>
      </w:pPr>
      <w:r>
        <w:rPr>
          <w:rFonts w:ascii="Book Antiqua" w:hAnsi="Book Antiqua"/>
          <w:sz w:val="24"/>
          <w:szCs w:val="24"/>
        </w:rPr>
        <w:lastRenderedPageBreak/>
        <w:t xml:space="preserve">Više tamno braon do crnih piknida se formiralo na borovim iglicama postavljenim na vodeni agar, nakon 15 dana inkubacije (Slika 16b). Uočena su dva tipa konidja, hijaline i tamno smeđe obojene (Slika 16c). Oba tipa konidija su zaobljenih vrhova i aseptirana, prosječnih dimenzija 16-21 x 6-8 µm (n=100 spora). </w:t>
      </w:r>
    </w:p>
    <w:p w14:paraId="19088773" w14:textId="77777777" w:rsidR="003801E8" w:rsidRDefault="00E44AAE">
      <w:pPr>
        <w:spacing w:line="240" w:lineRule="auto"/>
        <w:jc w:val="both"/>
        <w:rPr>
          <w:rFonts w:ascii="Book Antiqua" w:hAnsi="Book Antiqua"/>
          <w:sz w:val="22"/>
          <w:szCs w:val="22"/>
        </w:rPr>
      </w:pPr>
      <w:r>
        <w:rPr>
          <w:rFonts w:ascii="Book Antiqua" w:hAnsi="Book Antiqua"/>
          <w:noProof/>
          <w:sz w:val="22"/>
          <w:szCs w:val="22"/>
          <w:lang w:val="en-US"/>
        </w:rPr>
        <w:drawing>
          <wp:inline distT="0" distB="0" distL="0" distR="0" wp14:anchorId="1306BA67" wp14:editId="0429BC3E">
            <wp:extent cx="5400040" cy="1642745"/>
            <wp:effectExtent l="0" t="0" r="0" b="0"/>
            <wp:docPr id="9552820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82099" name="Picture 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40" cy="1642745"/>
                    </a:xfrm>
                    <a:prstGeom prst="rect">
                      <a:avLst/>
                    </a:prstGeom>
                  </pic:spPr>
                </pic:pic>
              </a:graphicData>
            </a:graphic>
          </wp:inline>
        </w:drawing>
      </w:r>
    </w:p>
    <w:p w14:paraId="7740F3BB" w14:textId="77777777" w:rsidR="003801E8" w:rsidRDefault="00E44AAE">
      <w:pPr>
        <w:spacing w:line="360" w:lineRule="auto"/>
        <w:jc w:val="both"/>
        <w:rPr>
          <w:rFonts w:ascii="Book Antiqua" w:hAnsi="Book Antiqua"/>
          <w:sz w:val="22"/>
          <w:szCs w:val="22"/>
        </w:rPr>
      </w:pPr>
      <w:r>
        <w:rPr>
          <w:rFonts w:ascii="Book Antiqua" w:hAnsi="Book Antiqua"/>
          <w:b/>
          <w:sz w:val="22"/>
          <w:szCs w:val="22"/>
        </w:rPr>
        <w:t>Slika 16</w:t>
      </w:r>
      <w:r>
        <w:rPr>
          <w:rFonts w:ascii="Book Antiqua" w:hAnsi="Book Antiqua"/>
          <w:sz w:val="22"/>
          <w:szCs w:val="22"/>
        </w:rPr>
        <w:t xml:space="preserve">. </w:t>
      </w:r>
      <w:r>
        <w:rPr>
          <w:rFonts w:ascii="Book Antiqua" w:hAnsi="Book Antiqua"/>
          <w:i/>
          <w:iCs/>
          <w:sz w:val="22"/>
          <w:szCs w:val="22"/>
        </w:rPr>
        <w:t>D. seriata</w:t>
      </w:r>
      <w:r>
        <w:rPr>
          <w:rFonts w:ascii="Book Antiqua" w:hAnsi="Book Antiqua"/>
          <w:sz w:val="22"/>
          <w:szCs w:val="22"/>
        </w:rPr>
        <w:t>, izolat MN001 A. Vazdušna kolonija sive boje nakon 7 dana razvoja na KDA; B. Crni piknidi na borovim iglicama C. Hijaline i tamno smeđe konidije (200x)</w:t>
      </w:r>
    </w:p>
    <w:p w14:paraId="11D34C8A" w14:textId="77777777" w:rsidR="003801E8" w:rsidRDefault="00E44AAE">
      <w:pPr>
        <w:spacing w:line="360" w:lineRule="auto"/>
        <w:jc w:val="both"/>
        <w:rPr>
          <w:rFonts w:ascii="Book Antiqua" w:hAnsi="Book Antiqua"/>
          <w:sz w:val="24"/>
          <w:szCs w:val="24"/>
        </w:rPr>
      </w:pPr>
      <w:r>
        <w:rPr>
          <w:rFonts w:ascii="Book Antiqua" w:hAnsi="Book Antiqua"/>
          <w:sz w:val="24"/>
          <w:szCs w:val="24"/>
        </w:rPr>
        <w:t xml:space="preserve">Vazdušna kolonija izolata gljive </w:t>
      </w:r>
      <w:r>
        <w:rPr>
          <w:rFonts w:ascii="Book Antiqua" w:hAnsi="Book Antiqua"/>
          <w:i/>
          <w:iCs/>
          <w:sz w:val="24"/>
          <w:szCs w:val="24"/>
        </w:rPr>
        <w:t>D. mutila</w:t>
      </w:r>
      <w:r>
        <w:rPr>
          <w:rFonts w:ascii="Book Antiqua" w:hAnsi="Book Antiqua"/>
          <w:sz w:val="24"/>
          <w:szCs w:val="24"/>
        </w:rPr>
        <w:t xml:space="preserve"> pod šifrom MN001 na početku razvoja je bila bijele do sive boje, a nakon 7 dana razvoja je postala tamno siva do crna sa pamučastom micelijom na KDA (Slika 17a). Prečnik kolonije iznosio je 22,75 mm nakon 24 h, a nakon 5 dana je došlo do potpunog razvoja kolonije gljive u Petri posudi prečnika 9 cm. Prosječan dnevni porast iznosio je 18,41 mm. Na površini borovih iglica nakon 5 nedelja inkubacije došlo je do razvoja okruglih do blago spljoštenih crnih piknida (Slika 17b). Konidije su glatkih zidova, hijaline do svijetlo smeđe u zavisnosti od starosti, aseptirane i elipsoidne do izdužene sa zaobljenim vrhovima (Slika 17c). Dimenzija kolonija iznosila je 19-31 x 8-12 µm (n=100 spora).</w:t>
      </w:r>
    </w:p>
    <w:p w14:paraId="722C0A7E" w14:textId="77777777" w:rsidR="003801E8" w:rsidRDefault="003801E8">
      <w:pPr>
        <w:spacing w:line="360" w:lineRule="auto"/>
        <w:jc w:val="both"/>
        <w:rPr>
          <w:rFonts w:ascii="Book Antiqua" w:hAnsi="Book Antiqua"/>
          <w:sz w:val="24"/>
          <w:szCs w:val="24"/>
        </w:rPr>
      </w:pPr>
    </w:p>
    <w:p w14:paraId="1E9B851A" w14:textId="77777777" w:rsidR="003801E8" w:rsidRDefault="003801E8">
      <w:pPr>
        <w:spacing w:line="360" w:lineRule="auto"/>
        <w:jc w:val="both"/>
        <w:rPr>
          <w:rFonts w:ascii="Book Antiqua" w:hAnsi="Book Antiqua"/>
          <w:sz w:val="24"/>
          <w:szCs w:val="24"/>
        </w:rPr>
      </w:pPr>
    </w:p>
    <w:p w14:paraId="4F4DFDB4" w14:textId="77777777" w:rsidR="003801E8" w:rsidRDefault="003801E8">
      <w:pPr>
        <w:spacing w:line="360" w:lineRule="auto"/>
        <w:jc w:val="both"/>
        <w:rPr>
          <w:rFonts w:ascii="Book Antiqua" w:hAnsi="Book Antiqua"/>
          <w:sz w:val="24"/>
          <w:szCs w:val="24"/>
        </w:rPr>
      </w:pPr>
    </w:p>
    <w:p w14:paraId="7E0AB243" w14:textId="77777777" w:rsidR="003801E8" w:rsidRDefault="00E44AAE">
      <w:pPr>
        <w:spacing w:line="360" w:lineRule="auto"/>
        <w:jc w:val="center"/>
        <w:rPr>
          <w:rFonts w:ascii="Book Antiqua" w:hAnsi="Book Antiqua"/>
          <w:sz w:val="24"/>
          <w:szCs w:val="24"/>
        </w:rPr>
      </w:pPr>
      <w:r>
        <w:rPr>
          <w:rFonts w:ascii="Book Antiqua" w:hAnsi="Book Antiqua"/>
          <w:noProof/>
          <w:sz w:val="24"/>
          <w:szCs w:val="24"/>
          <w:lang w:val="en-US"/>
        </w:rPr>
        <w:lastRenderedPageBreak/>
        <w:drawing>
          <wp:inline distT="0" distB="0" distL="0" distR="0" wp14:anchorId="50273A30" wp14:editId="0BF02EF7">
            <wp:extent cx="5400040" cy="1663700"/>
            <wp:effectExtent l="0" t="0" r="0" b="0"/>
            <wp:docPr id="435318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1820" name="Picture 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400040" cy="1663700"/>
                    </a:xfrm>
                    <a:prstGeom prst="rect">
                      <a:avLst/>
                    </a:prstGeom>
                  </pic:spPr>
                </pic:pic>
              </a:graphicData>
            </a:graphic>
          </wp:inline>
        </w:drawing>
      </w:r>
    </w:p>
    <w:p w14:paraId="7B65A64D" w14:textId="77777777" w:rsidR="003801E8" w:rsidRDefault="00E44AAE">
      <w:pPr>
        <w:spacing w:line="360" w:lineRule="auto"/>
        <w:jc w:val="both"/>
        <w:rPr>
          <w:rFonts w:ascii="Book Antiqua" w:hAnsi="Book Antiqua"/>
          <w:sz w:val="22"/>
          <w:szCs w:val="22"/>
        </w:rPr>
      </w:pPr>
      <w:r>
        <w:rPr>
          <w:rFonts w:ascii="Book Antiqua" w:hAnsi="Book Antiqua"/>
          <w:b/>
          <w:sz w:val="22"/>
          <w:szCs w:val="22"/>
        </w:rPr>
        <w:t>Slika 17</w:t>
      </w:r>
      <w:r>
        <w:rPr>
          <w:rFonts w:ascii="Book Antiqua" w:hAnsi="Book Antiqua"/>
          <w:sz w:val="22"/>
          <w:szCs w:val="22"/>
        </w:rPr>
        <w:t xml:space="preserve">. </w:t>
      </w:r>
      <w:r>
        <w:rPr>
          <w:rFonts w:ascii="Book Antiqua" w:hAnsi="Book Antiqua"/>
          <w:i/>
          <w:iCs/>
          <w:sz w:val="22"/>
          <w:szCs w:val="22"/>
        </w:rPr>
        <w:t>D. mutila</w:t>
      </w:r>
      <w:r>
        <w:rPr>
          <w:rFonts w:ascii="Book Antiqua" w:hAnsi="Book Antiqua"/>
          <w:sz w:val="22"/>
          <w:szCs w:val="22"/>
        </w:rPr>
        <w:t>, izolat MN001 A. Vazdušna kolonija tamno sive boje nakon 7 dana razvoja na KDA; B. Crni piknidi na borovim iglicama C. Konidije (200x)</w:t>
      </w:r>
    </w:p>
    <w:p w14:paraId="05A9E2D2" w14:textId="77777777" w:rsidR="003801E8" w:rsidRDefault="00E44AAE">
      <w:pPr>
        <w:spacing w:line="360" w:lineRule="auto"/>
        <w:jc w:val="both"/>
        <w:rPr>
          <w:rFonts w:ascii="Book Antiqua" w:hAnsi="Book Antiqua"/>
          <w:sz w:val="24"/>
          <w:szCs w:val="24"/>
        </w:rPr>
      </w:pPr>
      <w:r>
        <w:rPr>
          <w:rFonts w:ascii="Book Antiqua" w:hAnsi="Book Antiqua"/>
          <w:sz w:val="24"/>
          <w:szCs w:val="24"/>
        </w:rPr>
        <w:t xml:space="preserve">Vazdušna kolonija izolata gljive </w:t>
      </w:r>
      <w:r>
        <w:rPr>
          <w:rFonts w:ascii="Book Antiqua" w:hAnsi="Book Antiqua"/>
          <w:i/>
          <w:iCs/>
          <w:sz w:val="24"/>
          <w:szCs w:val="24"/>
        </w:rPr>
        <w:t>B. dothidea</w:t>
      </w:r>
      <w:r>
        <w:rPr>
          <w:rFonts w:ascii="Book Antiqua" w:hAnsi="Book Antiqua"/>
          <w:sz w:val="24"/>
          <w:szCs w:val="24"/>
        </w:rPr>
        <w:t xml:space="preserve"> pod šifrom MN001 na KDA je u početku razvoja bila bijele do sive boje, a zatim je postala tamno siva do crna (Slika 18a). Prečnik kolonije iznosio je 23,75 mm nakon 24 h, a nakon 5 dana je došlo do potpunog razvoja kolonije gljive u Petri posudi prečnika 9 cm. Prosječan dnevni porast iznosio je 16,56 mm. </w:t>
      </w:r>
    </w:p>
    <w:p w14:paraId="616F35BA" w14:textId="77777777" w:rsidR="003801E8" w:rsidRDefault="00E44AAE">
      <w:pPr>
        <w:spacing w:line="360" w:lineRule="auto"/>
        <w:jc w:val="both"/>
        <w:rPr>
          <w:rFonts w:ascii="Book Antiqua" w:hAnsi="Book Antiqua"/>
          <w:sz w:val="24"/>
          <w:szCs w:val="24"/>
        </w:rPr>
      </w:pPr>
      <w:r>
        <w:rPr>
          <w:rFonts w:ascii="Book Antiqua" w:hAnsi="Book Antiqua"/>
          <w:sz w:val="24"/>
          <w:szCs w:val="24"/>
        </w:rPr>
        <w:t>Nakon 28 dana inkubacije na vodenom agaru sa borovim iglicama formirali su se pojedinačni, loptasti piknidi (Slika 19a) prekriveni bijelom micelijom (Slika 19b). Konidije su jednoćelijske hijaline ili tamno smeđe obojene sa zaobljenim vrhovima (Slika 18b). Dimenzija konidija iznosi 19,60 – 31,85 x 9,80 – 12,25 µm (n</w:t>
      </w:r>
      <w:r>
        <w:rPr>
          <w:rFonts w:ascii="Book Antiqua" w:hAnsi="Book Antiqua"/>
          <w:sz w:val="24"/>
          <w:szCs w:val="24"/>
          <w:lang w:val="en-US"/>
        </w:rPr>
        <w:t xml:space="preserve">=100 spora). </w:t>
      </w:r>
    </w:p>
    <w:p w14:paraId="026D1D8E" w14:textId="77777777" w:rsidR="003801E8" w:rsidRDefault="00E44AAE">
      <w:pPr>
        <w:spacing w:line="240" w:lineRule="auto"/>
        <w:jc w:val="both"/>
        <w:rPr>
          <w:rFonts w:ascii="Book Antiqua" w:hAnsi="Book Antiqua"/>
          <w:sz w:val="24"/>
          <w:szCs w:val="24"/>
          <w:lang w:val="en-US"/>
        </w:rPr>
      </w:pPr>
      <w:r>
        <w:rPr>
          <w:rFonts w:ascii="Book Antiqua" w:hAnsi="Book Antiqua"/>
          <w:noProof/>
          <w:sz w:val="24"/>
          <w:szCs w:val="24"/>
          <w:lang w:val="en-US"/>
        </w:rPr>
        <w:drawing>
          <wp:inline distT="0" distB="0" distL="0" distR="0" wp14:anchorId="18465FF2" wp14:editId="5EDB92D1">
            <wp:extent cx="5400040" cy="2169795"/>
            <wp:effectExtent l="0" t="0" r="0" b="1905"/>
            <wp:docPr id="10757758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775873" name="Picture 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40" cy="2169795"/>
                    </a:xfrm>
                    <a:prstGeom prst="rect">
                      <a:avLst/>
                    </a:prstGeom>
                  </pic:spPr>
                </pic:pic>
              </a:graphicData>
            </a:graphic>
          </wp:inline>
        </w:drawing>
      </w:r>
    </w:p>
    <w:p w14:paraId="2F13832A" w14:textId="77777777" w:rsidR="003801E8" w:rsidRDefault="00E44AAE">
      <w:pPr>
        <w:spacing w:line="360" w:lineRule="auto"/>
        <w:jc w:val="both"/>
        <w:rPr>
          <w:rFonts w:ascii="Book Antiqua" w:hAnsi="Book Antiqua"/>
          <w:sz w:val="22"/>
          <w:szCs w:val="22"/>
        </w:rPr>
      </w:pPr>
      <w:r>
        <w:rPr>
          <w:rFonts w:ascii="Book Antiqua" w:hAnsi="Book Antiqua"/>
          <w:b/>
          <w:sz w:val="22"/>
          <w:szCs w:val="22"/>
        </w:rPr>
        <w:t>Slika 18</w:t>
      </w:r>
      <w:r>
        <w:rPr>
          <w:rFonts w:ascii="Book Antiqua" w:hAnsi="Book Antiqua"/>
          <w:sz w:val="22"/>
          <w:szCs w:val="22"/>
        </w:rPr>
        <w:t xml:space="preserve">. </w:t>
      </w:r>
      <w:r>
        <w:rPr>
          <w:rFonts w:ascii="Book Antiqua" w:hAnsi="Book Antiqua"/>
          <w:i/>
          <w:iCs/>
          <w:sz w:val="22"/>
          <w:szCs w:val="22"/>
        </w:rPr>
        <w:t>B. dothidea</w:t>
      </w:r>
      <w:r>
        <w:rPr>
          <w:rFonts w:ascii="Book Antiqua" w:hAnsi="Book Antiqua"/>
          <w:sz w:val="22"/>
          <w:szCs w:val="22"/>
        </w:rPr>
        <w:t>, izolat MN001 A. Vazdušna kolonija nakon 7 dana razvoja na KDA; B. Konidije (400 x)</w:t>
      </w:r>
    </w:p>
    <w:p w14:paraId="1A9BAD0B" w14:textId="77777777" w:rsidR="003801E8" w:rsidRDefault="00E44AAE">
      <w:pPr>
        <w:spacing w:line="240" w:lineRule="auto"/>
        <w:jc w:val="both"/>
        <w:rPr>
          <w:rFonts w:ascii="Book Antiqua" w:hAnsi="Book Antiqua"/>
          <w:sz w:val="22"/>
          <w:szCs w:val="22"/>
        </w:rPr>
      </w:pPr>
      <w:r>
        <w:rPr>
          <w:rFonts w:ascii="Book Antiqua" w:hAnsi="Book Antiqua"/>
          <w:noProof/>
          <w:sz w:val="22"/>
          <w:szCs w:val="22"/>
          <w:lang w:val="en-US"/>
        </w:rPr>
        <w:lastRenderedPageBreak/>
        <w:drawing>
          <wp:inline distT="0" distB="0" distL="0" distR="0" wp14:anchorId="289C35D7" wp14:editId="0BCA51C0">
            <wp:extent cx="5400040" cy="2891155"/>
            <wp:effectExtent l="0" t="0" r="0" b="4445"/>
            <wp:docPr id="706677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77073" name="Picture 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40" cy="2891155"/>
                    </a:xfrm>
                    <a:prstGeom prst="rect">
                      <a:avLst/>
                    </a:prstGeom>
                  </pic:spPr>
                </pic:pic>
              </a:graphicData>
            </a:graphic>
          </wp:inline>
        </w:drawing>
      </w:r>
    </w:p>
    <w:p w14:paraId="614A2DC0" w14:textId="77777777" w:rsidR="003801E8" w:rsidRDefault="00E44AAE">
      <w:pPr>
        <w:spacing w:line="360" w:lineRule="auto"/>
        <w:jc w:val="both"/>
        <w:rPr>
          <w:rFonts w:ascii="Book Antiqua" w:hAnsi="Book Antiqua"/>
          <w:sz w:val="22"/>
          <w:szCs w:val="22"/>
        </w:rPr>
      </w:pPr>
      <w:r>
        <w:rPr>
          <w:rFonts w:ascii="Book Antiqua" w:hAnsi="Book Antiqua"/>
          <w:b/>
          <w:sz w:val="22"/>
          <w:szCs w:val="22"/>
        </w:rPr>
        <w:t>Slika 19</w:t>
      </w:r>
      <w:r>
        <w:rPr>
          <w:rFonts w:ascii="Book Antiqua" w:hAnsi="Book Antiqua"/>
          <w:sz w:val="22"/>
          <w:szCs w:val="22"/>
        </w:rPr>
        <w:t xml:space="preserve">. </w:t>
      </w:r>
      <w:r>
        <w:rPr>
          <w:rFonts w:ascii="Book Antiqua" w:hAnsi="Book Antiqua"/>
          <w:i/>
          <w:iCs/>
          <w:sz w:val="22"/>
          <w:szCs w:val="22"/>
        </w:rPr>
        <w:t>B. dothidea</w:t>
      </w:r>
      <w:r>
        <w:rPr>
          <w:rFonts w:ascii="Book Antiqua" w:hAnsi="Book Antiqua"/>
          <w:sz w:val="22"/>
          <w:szCs w:val="22"/>
        </w:rPr>
        <w:t>, izolat MN001 A. Pojedinačni loptasti crni piknidi na borovim iglicama (strelica); B. Micelija na borovim iglicama (strelica)</w:t>
      </w:r>
    </w:p>
    <w:p w14:paraId="75CA05C6" w14:textId="77777777" w:rsidR="003801E8" w:rsidRDefault="003801E8">
      <w:pPr>
        <w:spacing w:line="240" w:lineRule="auto"/>
        <w:jc w:val="both"/>
        <w:rPr>
          <w:rFonts w:ascii="Book Antiqua" w:hAnsi="Book Antiqua"/>
          <w:sz w:val="22"/>
          <w:szCs w:val="22"/>
        </w:rPr>
      </w:pPr>
    </w:p>
    <w:p w14:paraId="624C73C4" w14:textId="77777777" w:rsidR="003801E8" w:rsidRDefault="00E44AAE">
      <w:pPr>
        <w:spacing w:line="360" w:lineRule="auto"/>
        <w:jc w:val="both"/>
        <w:rPr>
          <w:rFonts w:ascii="Book Antiqua" w:hAnsi="Book Antiqua"/>
          <w:sz w:val="24"/>
          <w:szCs w:val="24"/>
        </w:rPr>
      </w:pPr>
      <w:r>
        <w:rPr>
          <w:rFonts w:ascii="Book Antiqua" w:hAnsi="Book Antiqua"/>
          <w:sz w:val="24"/>
          <w:szCs w:val="24"/>
        </w:rPr>
        <w:t xml:space="preserve">Fitopatogena gljiva </w:t>
      </w:r>
      <w:r>
        <w:rPr>
          <w:rFonts w:ascii="Book Antiqua" w:hAnsi="Book Antiqua"/>
          <w:i/>
          <w:iCs/>
          <w:sz w:val="24"/>
          <w:szCs w:val="24"/>
        </w:rPr>
        <w:t>C. luteo olivacea</w:t>
      </w:r>
      <w:r>
        <w:rPr>
          <w:rFonts w:ascii="Book Antiqua" w:hAnsi="Book Antiqua"/>
          <w:sz w:val="24"/>
          <w:szCs w:val="24"/>
        </w:rPr>
        <w:t xml:space="preserve"> na početku razvoja formirala je vazdušnu koloniju bijele do kremasto žute boje na KDA (Slika 20a). Nakon 20 dana razvoja vazdušna kolonija postala je sivo do maslinasto zelena. Kolonija je bila ravnih ivica, glatka i blage pamučaste teksture u samoj sredini. Izolat gljive </w:t>
      </w:r>
      <w:r>
        <w:rPr>
          <w:rFonts w:ascii="Book Antiqua" w:hAnsi="Book Antiqua"/>
          <w:i/>
          <w:iCs/>
          <w:sz w:val="24"/>
          <w:szCs w:val="24"/>
        </w:rPr>
        <w:t xml:space="preserve">C. luteo olivacea </w:t>
      </w:r>
      <w:r>
        <w:rPr>
          <w:rFonts w:ascii="Book Antiqua" w:hAnsi="Book Antiqua"/>
          <w:sz w:val="24"/>
          <w:szCs w:val="24"/>
        </w:rPr>
        <w:t xml:space="preserve">prouzrokovao je žutu obojenost KDA. Prečnik kolonije iznosio je 7,5 mm nakon 48 h, 20,5 mm nakon 10 dana, odnosno 62 mm nakon 20 dana. Prosječan dnevni rast iznosio je 3,02 mm. </w:t>
      </w:r>
    </w:p>
    <w:p w14:paraId="2A020357" w14:textId="77777777" w:rsidR="003801E8" w:rsidRDefault="00E44AAE">
      <w:pPr>
        <w:spacing w:line="360" w:lineRule="auto"/>
        <w:jc w:val="both"/>
        <w:rPr>
          <w:rFonts w:ascii="Book Antiqua" w:hAnsi="Book Antiqua"/>
          <w:sz w:val="24"/>
          <w:szCs w:val="24"/>
        </w:rPr>
      </w:pPr>
      <w:r>
        <w:rPr>
          <w:rFonts w:ascii="Book Antiqua" w:hAnsi="Book Antiqua"/>
          <w:sz w:val="24"/>
          <w:szCs w:val="24"/>
        </w:rPr>
        <w:t xml:space="preserve">Konidije su jednoćelijske hijaline, jajolike ili blago izdužene sa zaobljenim vrhovima. Konidije na krajevima sadrže dvije gutule (Slika 20b). Dimenzija konidija iznosi 3,5 – 5 x 1,25– 2 µm (n=100 spora). </w:t>
      </w:r>
    </w:p>
    <w:p w14:paraId="2A46F1FB" w14:textId="77777777" w:rsidR="003801E8" w:rsidRDefault="00E44AAE">
      <w:pPr>
        <w:spacing w:line="240" w:lineRule="auto"/>
        <w:jc w:val="both"/>
        <w:rPr>
          <w:rFonts w:ascii="Book Antiqua" w:hAnsi="Book Antiqua"/>
          <w:sz w:val="22"/>
          <w:szCs w:val="22"/>
        </w:rPr>
      </w:pPr>
      <w:r>
        <w:rPr>
          <w:rFonts w:ascii="Book Antiqua" w:hAnsi="Book Antiqua"/>
          <w:noProof/>
          <w:sz w:val="22"/>
          <w:szCs w:val="22"/>
          <w:lang w:val="en-US"/>
        </w:rPr>
        <w:lastRenderedPageBreak/>
        <w:drawing>
          <wp:inline distT="0" distB="0" distL="0" distR="0" wp14:anchorId="6BAEE1A7" wp14:editId="2F13B8A2">
            <wp:extent cx="5400040" cy="2033270"/>
            <wp:effectExtent l="0" t="0" r="0" b="5080"/>
            <wp:docPr id="979603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0356" name="Picture 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040" cy="2033270"/>
                    </a:xfrm>
                    <a:prstGeom prst="rect">
                      <a:avLst/>
                    </a:prstGeom>
                  </pic:spPr>
                </pic:pic>
              </a:graphicData>
            </a:graphic>
          </wp:inline>
        </w:drawing>
      </w:r>
    </w:p>
    <w:p w14:paraId="7EBDE7B2" w14:textId="77777777" w:rsidR="003801E8" w:rsidRDefault="00E44AAE">
      <w:pPr>
        <w:spacing w:line="360" w:lineRule="auto"/>
        <w:jc w:val="both"/>
        <w:rPr>
          <w:rFonts w:ascii="Book Antiqua" w:hAnsi="Book Antiqua"/>
          <w:sz w:val="22"/>
          <w:szCs w:val="22"/>
        </w:rPr>
      </w:pPr>
      <w:r>
        <w:rPr>
          <w:rFonts w:ascii="Book Antiqua" w:hAnsi="Book Antiqua"/>
          <w:b/>
          <w:sz w:val="22"/>
          <w:szCs w:val="22"/>
        </w:rPr>
        <w:t>Slika 20</w:t>
      </w:r>
      <w:r>
        <w:rPr>
          <w:rFonts w:ascii="Book Antiqua" w:hAnsi="Book Antiqua"/>
          <w:sz w:val="22"/>
          <w:szCs w:val="22"/>
        </w:rPr>
        <w:t xml:space="preserve">. </w:t>
      </w:r>
      <w:r>
        <w:rPr>
          <w:rFonts w:ascii="Book Antiqua" w:hAnsi="Book Antiqua"/>
          <w:i/>
          <w:iCs/>
          <w:sz w:val="22"/>
          <w:szCs w:val="22"/>
        </w:rPr>
        <w:t>C. luteo olivacea</w:t>
      </w:r>
      <w:r>
        <w:rPr>
          <w:rFonts w:ascii="Book Antiqua" w:hAnsi="Book Antiqua"/>
          <w:sz w:val="22"/>
          <w:szCs w:val="22"/>
        </w:rPr>
        <w:t>, izolat MN001 A. Vazdušna kolonija nakon 10 dana razvoja na KDA; B. Konidije (400x)</w:t>
      </w:r>
    </w:p>
    <w:p w14:paraId="566E9CBC" w14:textId="77777777" w:rsidR="003801E8" w:rsidRDefault="00E44AAE">
      <w:pPr>
        <w:spacing w:line="360" w:lineRule="auto"/>
        <w:jc w:val="both"/>
        <w:rPr>
          <w:rFonts w:ascii="Book Antiqua" w:hAnsi="Book Antiqua"/>
          <w:sz w:val="24"/>
          <w:szCs w:val="24"/>
        </w:rPr>
      </w:pPr>
      <w:r>
        <w:rPr>
          <w:rFonts w:ascii="Book Antiqua" w:hAnsi="Book Antiqua"/>
          <w:sz w:val="24"/>
          <w:szCs w:val="24"/>
        </w:rPr>
        <w:t xml:space="preserve">Vazdušna kolonija izolata gljive </w:t>
      </w:r>
      <w:r>
        <w:rPr>
          <w:rFonts w:ascii="Book Antiqua" w:hAnsi="Book Antiqua"/>
          <w:i/>
          <w:iCs/>
          <w:sz w:val="24"/>
          <w:szCs w:val="24"/>
        </w:rPr>
        <w:t>B. mediterranea</w:t>
      </w:r>
      <w:r>
        <w:rPr>
          <w:rFonts w:ascii="Book Antiqua" w:hAnsi="Book Antiqua"/>
          <w:sz w:val="24"/>
          <w:szCs w:val="24"/>
        </w:rPr>
        <w:t xml:space="preserve"> pod šifrom MN001 nakon 24 h imala je tipično bijelu miceliju, a nakon 5 dana razvoja na KDA postala je svijetlo siva sa pojedinačnim bež mrljama (Slika 21a). Micelija je imala vunast i pamučast izgled. Kolonija </w:t>
      </w:r>
      <w:r>
        <w:rPr>
          <w:rFonts w:ascii="Book Antiqua" w:hAnsi="Book Antiqua"/>
          <w:i/>
          <w:iCs/>
          <w:sz w:val="24"/>
          <w:szCs w:val="24"/>
        </w:rPr>
        <w:t>B. mediterranea</w:t>
      </w:r>
      <w:r>
        <w:rPr>
          <w:rFonts w:ascii="Book Antiqua" w:hAnsi="Book Antiqua"/>
          <w:sz w:val="24"/>
          <w:szCs w:val="24"/>
        </w:rPr>
        <w:t xml:space="preserve"> odlikovala se veoma brzim rastom na KDA jer nakon 3 dana se u potpunosti razvila u Petri posudi od 9 cm. Prosječan dnevni porast iznosio je 38,5 mm. Hife su hijaline, razgranate i aseptirane, a konidije smeđe i elipsoidne (Slika 21b). Dimenzije konidija iznosile su 15,2 – 21.8 x 5,5-6.8 µm (</w:t>
      </w:r>
      <w:bookmarkStart w:id="11" w:name="_Hlk192018873"/>
      <w:r>
        <w:rPr>
          <w:rFonts w:ascii="Book Antiqua" w:hAnsi="Book Antiqua"/>
          <w:sz w:val="24"/>
          <w:szCs w:val="24"/>
        </w:rPr>
        <w:t>n=100 spora</w:t>
      </w:r>
      <w:bookmarkEnd w:id="11"/>
      <w:r>
        <w:rPr>
          <w:rFonts w:ascii="Book Antiqua" w:hAnsi="Book Antiqua"/>
          <w:sz w:val="24"/>
          <w:szCs w:val="24"/>
        </w:rPr>
        <w:t>).</w:t>
      </w:r>
    </w:p>
    <w:p w14:paraId="6C7FC8E9" w14:textId="77777777" w:rsidR="003801E8" w:rsidRDefault="00E44AAE">
      <w:pPr>
        <w:spacing w:line="240" w:lineRule="auto"/>
        <w:jc w:val="both"/>
        <w:rPr>
          <w:rFonts w:ascii="Book Antiqua" w:hAnsi="Book Antiqua"/>
          <w:sz w:val="22"/>
          <w:szCs w:val="22"/>
        </w:rPr>
      </w:pPr>
      <w:r>
        <w:rPr>
          <w:rFonts w:ascii="Book Antiqua" w:hAnsi="Book Antiqua"/>
          <w:noProof/>
          <w:sz w:val="22"/>
          <w:szCs w:val="22"/>
          <w:lang w:val="en-US"/>
        </w:rPr>
        <w:drawing>
          <wp:inline distT="0" distB="0" distL="0" distR="0" wp14:anchorId="229EE729" wp14:editId="4516CE3C">
            <wp:extent cx="5400040" cy="2783840"/>
            <wp:effectExtent l="0" t="0" r="0" b="0"/>
            <wp:docPr id="1880592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9206" name="Picture 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040" cy="2783840"/>
                    </a:xfrm>
                    <a:prstGeom prst="rect">
                      <a:avLst/>
                    </a:prstGeom>
                  </pic:spPr>
                </pic:pic>
              </a:graphicData>
            </a:graphic>
          </wp:inline>
        </w:drawing>
      </w:r>
    </w:p>
    <w:p w14:paraId="7D4B9311" w14:textId="77777777" w:rsidR="003801E8" w:rsidRDefault="00E44AAE">
      <w:pPr>
        <w:spacing w:line="240" w:lineRule="auto"/>
        <w:jc w:val="both"/>
        <w:rPr>
          <w:rFonts w:ascii="Book Antiqua" w:hAnsi="Book Antiqua"/>
          <w:sz w:val="22"/>
          <w:szCs w:val="22"/>
        </w:rPr>
      </w:pPr>
      <w:r>
        <w:rPr>
          <w:rFonts w:ascii="Book Antiqua" w:hAnsi="Book Antiqua"/>
          <w:b/>
          <w:sz w:val="22"/>
          <w:szCs w:val="22"/>
        </w:rPr>
        <w:t>Slika 21</w:t>
      </w:r>
      <w:r>
        <w:rPr>
          <w:rFonts w:ascii="Book Antiqua" w:hAnsi="Book Antiqua"/>
          <w:sz w:val="22"/>
          <w:szCs w:val="22"/>
        </w:rPr>
        <w:t xml:space="preserve">. </w:t>
      </w:r>
      <w:r>
        <w:rPr>
          <w:rFonts w:ascii="Book Antiqua" w:hAnsi="Book Antiqua"/>
          <w:i/>
          <w:iCs/>
          <w:sz w:val="22"/>
          <w:szCs w:val="22"/>
        </w:rPr>
        <w:t>B. mediterranea</w:t>
      </w:r>
      <w:r>
        <w:rPr>
          <w:rFonts w:ascii="Book Antiqua" w:hAnsi="Book Antiqua"/>
          <w:sz w:val="22"/>
          <w:szCs w:val="22"/>
        </w:rPr>
        <w:t>, izolat MN001  A. Vazdušna kolonija B. Konidije (400x)</w:t>
      </w:r>
    </w:p>
    <w:p w14:paraId="57560044" w14:textId="77777777" w:rsidR="003801E8" w:rsidRDefault="00E44AAE">
      <w:pPr>
        <w:spacing w:line="360" w:lineRule="auto"/>
        <w:jc w:val="both"/>
        <w:rPr>
          <w:rFonts w:ascii="Book Antiqua" w:hAnsi="Book Antiqua"/>
          <w:sz w:val="24"/>
          <w:szCs w:val="24"/>
        </w:rPr>
      </w:pPr>
      <w:r>
        <w:rPr>
          <w:rFonts w:ascii="Book Antiqua" w:hAnsi="Book Antiqua"/>
          <w:sz w:val="24"/>
          <w:szCs w:val="24"/>
        </w:rPr>
        <w:lastRenderedPageBreak/>
        <w:t xml:space="preserve">Fitopatogene gljive iz roda </w:t>
      </w:r>
      <w:r>
        <w:rPr>
          <w:rFonts w:ascii="Book Antiqua" w:hAnsi="Book Antiqua"/>
          <w:i/>
          <w:iCs/>
          <w:sz w:val="24"/>
          <w:szCs w:val="24"/>
        </w:rPr>
        <w:t>Diaporthe</w:t>
      </w:r>
      <w:r>
        <w:rPr>
          <w:rFonts w:ascii="Book Antiqua" w:hAnsi="Book Antiqua"/>
          <w:sz w:val="24"/>
          <w:szCs w:val="24"/>
        </w:rPr>
        <w:t xml:space="preserve">: </w:t>
      </w:r>
      <w:r>
        <w:rPr>
          <w:rFonts w:ascii="Book Antiqua" w:hAnsi="Book Antiqua"/>
          <w:i/>
          <w:iCs/>
          <w:sz w:val="24"/>
          <w:szCs w:val="24"/>
        </w:rPr>
        <w:t>Diaporthe ampelina</w:t>
      </w:r>
      <w:r>
        <w:rPr>
          <w:rFonts w:ascii="Book Antiqua" w:hAnsi="Book Antiqua"/>
          <w:sz w:val="24"/>
          <w:szCs w:val="24"/>
        </w:rPr>
        <w:t xml:space="preserve"> (stari naziv: </w:t>
      </w:r>
      <w:r>
        <w:rPr>
          <w:rFonts w:ascii="Book Antiqua" w:hAnsi="Book Antiqua"/>
          <w:i/>
          <w:iCs/>
          <w:sz w:val="24"/>
          <w:szCs w:val="24"/>
        </w:rPr>
        <w:t>Phomopsis viticola</w:t>
      </w:r>
      <w:r>
        <w:rPr>
          <w:rFonts w:ascii="Book Antiqua" w:hAnsi="Book Antiqua"/>
          <w:sz w:val="24"/>
          <w:szCs w:val="24"/>
        </w:rPr>
        <w:t xml:space="preserve">) i </w:t>
      </w:r>
      <w:r>
        <w:rPr>
          <w:rFonts w:ascii="Book Antiqua" w:hAnsi="Book Antiqua"/>
          <w:i/>
          <w:iCs/>
          <w:sz w:val="24"/>
          <w:szCs w:val="24"/>
        </w:rPr>
        <w:t>Diaporthe eres</w:t>
      </w:r>
      <w:r>
        <w:rPr>
          <w:rFonts w:ascii="Book Antiqua" w:hAnsi="Book Antiqua"/>
          <w:sz w:val="24"/>
          <w:szCs w:val="24"/>
        </w:rPr>
        <w:t xml:space="preserve"> formirale su morfološki slične kolonije, ali sa značajnom razlikom u brzini rasta na KDA. Vazdušna kolonija </w:t>
      </w:r>
      <w:r>
        <w:rPr>
          <w:rFonts w:ascii="Book Antiqua" w:hAnsi="Book Antiqua"/>
          <w:i/>
          <w:iCs/>
          <w:sz w:val="24"/>
          <w:szCs w:val="24"/>
        </w:rPr>
        <w:t>D. ampelina</w:t>
      </w:r>
      <w:r>
        <w:rPr>
          <w:rFonts w:ascii="Book Antiqua" w:hAnsi="Book Antiqua"/>
          <w:sz w:val="24"/>
          <w:szCs w:val="24"/>
        </w:rPr>
        <w:t xml:space="preserve"> izolata pod šifrom MN001 nakon 20 dana razvoja bila je kremasto bijele boje sa karakterističnim prstenovima koji su kremasto braon pigmentisani (Slika 22a). Na površini kolonije došlo je do razvoja crnih piknida, na čijem vrhu su pojedinačno formirane kremaste konidiomate.  Mikroskopiranjem je utvrđeno samo prisustvo alfa konidija (Slika 23a) koje su bile hijaline, fuzoidne do elipsoidne, a njihove dimenzije iznosile su 9,80 – 17,15 x 1,5 – 2,45 µm (n=100 spora). Nakon 10 dana razvoja na KDA utvrđen je porast od 63 mm, dok je prosječan dnevni porast iznosio 6,93 mm. </w:t>
      </w:r>
    </w:p>
    <w:p w14:paraId="19550BBE" w14:textId="77777777" w:rsidR="003801E8" w:rsidRDefault="00E44AAE">
      <w:pPr>
        <w:spacing w:line="360" w:lineRule="auto"/>
        <w:jc w:val="both"/>
        <w:rPr>
          <w:rFonts w:ascii="Book Antiqua" w:hAnsi="Book Antiqua"/>
          <w:sz w:val="24"/>
          <w:szCs w:val="24"/>
        </w:rPr>
      </w:pPr>
      <w:r>
        <w:rPr>
          <w:rFonts w:ascii="Book Antiqua" w:hAnsi="Book Antiqua"/>
          <w:sz w:val="24"/>
          <w:szCs w:val="24"/>
        </w:rPr>
        <w:t xml:space="preserve">Vazdušna kolonija </w:t>
      </w:r>
      <w:r>
        <w:rPr>
          <w:rFonts w:ascii="Book Antiqua" w:hAnsi="Book Antiqua"/>
          <w:i/>
          <w:iCs/>
          <w:sz w:val="24"/>
          <w:szCs w:val="24"/>
        </w:rPr>
        <w:t>D. eres</w:t>
      </w:r>
      <w:r>
        <w:rPr>
          <w:rFonts w:ascii="Book Antiqua" w:hAnsi="Book Antiqua"/>
          <w:sz w:val="24"/>
          <w:szCs w:val="24"/>
        </w:rPr>
        <w:t xml:space="preserve"> izolata pod šifrom MN001 nakon 10 dana razvoja imala je bijelu pahuljastu miceliju sa karakterističnom crnom pigmentacijom u pojedinim zonama (Slika 22b). U sredini izolata formirana je crna stroma. Mikroskopiranjem je utvrđeno prisustvo alfa i beta konidija. Alfa konidije (Slika 23b) su jednoćelijske, hijaline i izdužene sa prosječnim dimenzijama 4,90-7,35 x 1,5-2,45 µm (n=100 spora). Beta konidije su jednoćelijske, končaste i zakrivljene na jednom kraju (Slika 23c), a njihove dimenzije su iznosile 22,05-29,40 x 0,5-1,5 µm (n=100 spora). Brzina porasta nakon 48h iznosila je 25,5 mm, a nakon 6 dana 90 mm, sa prosječnim dnevnim porastom od 16,12 mm. </w:t>
      </w:r>
    </w:p>
    <w:p w14:paraId="6EB04619" w14:textId="77777777" w:rsidR="003801E8" w:rsidRDefault="00E44AAE">
      <w:pPr>
        <w:spacing w:line="240" w:lineRule="auto"/>
        <w:jc w:val="both"/>
        <w:rPr>
          <w:rFonts w:ascii="Book Antiqua" w:hAnsi="Book Antiqua"/>
          <w:sz w:val="24"/>
          <w:szCs w:val="24"/>
        </w:rPr>
      </w:pPr>
      <w:r>
        <w:rPr>
          <w:rFonts w:ascii="Book Antiqua" w:hAnsi="Book Antiqua"/>
          <w:noProof/>
          <w:sz w:val="24"/>
          <w:szCs w:val="24"/>
          <w:lang w:val="en-US"/>
        </w:rPr>
        <w:drawing>
          <wp:inline distT="0" distB="0" distL="0" distR="0" wp14:anchorId="16F2B26F" wp14:editId="77B40F9B">
            <wp:extent cx="5400040" cy="1943735"/>
            <wp:effectExtent l="0" t="0" r="0" b="0"/>
            <wp:docPr id="10927853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85385" name="Picture 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0040" cy="1943735"/>
                    </a:xfrm>
                    <a:prstGeom prst="rect">
                      <a:avLst/>
                    </a:prstGeom>
                  </pic:spPr>
                </pic:pic>
              </a:graphicData>
            </a:graphic>
          </wp:inline>
        </w:drawing>
      </w:r>
    </w:p>
    <w:p w14:paraId="7B7E1142" w14:textId="77777777" w:rsidR="003801E8" w:rsidRDefault="00E44AAE">
      <w:pPr>
        <w:spacing w:line="240" w:lineRule="auto"/>
        <w:jc w:val="both"/>
        <w:rPr>
          <w:rFonts w:ascii="Book Antiqua" w:hAnsi="Book Antiqua"/>
          <w:i/>
          <w:iCs/>
          <w:sz w:val="22"/>
          <w:szCs w:val="22"/>
        </w:rPr>
      </w:pPr>
      <w:r>
        <w:rPr>
          <w:rFonts w:ascii="Book Antiqua" w:hAnsi="Book Antiqua"/>
          <w:b/>
          <w:sz w:val="22"/>
          <w:szCs w:val="22"/>
        </w:rPr>
        <w:t>Slika 22</w:t>
      </w:r>
      <w:r>
        <w:rPr>
          <w:rFonts w:ascii="Book Antiqua" w:hAnsi="Book Antiqua"/>
          <w:sz w:val="22"/>
          <w:szCs w:val="22"/>
        </w:rPr>
        <w:t xml:space="preserve">. A. Vazdušna kolonija </w:t>
      </w:r>
      <w:r>
        <w:rPr>
          <w:rFonts w:ascii="Book Antiqua" w:hAnsi="Book Antiqua"/>
          <w:i/>
          <w:iCs/>
          <w:sz w:val="22"/>
          <w:szCs w:val="22"/>
        </w:rPr>
        <w:t xml:space="preserve">D. ampelina </w:t>
      </w:r>
      <w:r>
        <w:rPr>
          <w:rFonts w:ascii="Book Antiqua" w:hAnsi="Book Antiqua"/>
          <w:sz w:val="22"/>
          <w:szCs w:val="22"/>
        </w:rPr>
        <w:t xml:space="preserve">izolat MN001 B. Vazdušna kolinija </w:t>
      </w:r>
      <w:r>
        <w:rPr>
          <w:rFonts w:ascii="Book Antiqua" w:hAnsi="Book Antiqua"/>
          <w:i/>
          <w:iCs/>
          <w:sz w:val="22"/>
          <w:szCs w:val="22"/>
        </w:rPr>
        <w:t xml:space="preserve">D. eres </w:t>
      </w:r>
      <w:r>
        <w:rPr>
          <w:rFonts w:ascii="Book Antiqua" w:hAnsi="Book Antiqua"/>
          <w:sz w:val="22"/>
          <w:szCs w:val="22"/>
        </w:rPr>
        <w:t>izolat MN001</w:t>
      </w:r>
    </w:p>
    <w:p w14:paraId="2E690BA3" w14:textId="77777777" w:rsidR="003801E8" w:rsidRDefault="003801E8">
      <w:pPr>
        <w:spacing w:line="240" w:lineRule="auto"/>
        <w:jc w:val="both"/>
        <w:rPr>
          <w:rFonts w:ascii="Book Antiqua" w:hAnsi="Book Antiqua"/>
          <w:sz w:val="22"/>
          <w:szCs w:val="22"/>
        </w:rPr>
      </w:pPr>
    </w:p>
    <w:p w14:paraId="0EF02D08" w14:textId="77777777" w:rsidR="003801E8" w:rsidRDefault="00E44AAE">
      <w:pPr>
        <w:tabs>
          <w:tab w:val="left" w:pos="3315"/>
        </w:tabs>
        <w:spacing w:line="240" w:lineRule="auto"/>
        <w:jc w:val="both"/>
        <w:rPr>
          <w:rFonts w:ascii="Book Antiqua" w:hAnsi="Book Antiqua" w:cs="Times New Roman"/>
          <w:b/>
          <w:sz w:val="24"/>
          <w:szCs w:val="24"/>
          <w:lang w:val="sr-Latn-RS"/>
        </w:rPr>
      </w:pPr>
      <w:r>
        <w:rPr>
          <w:rFonts w:ascii="Book Antiqua" w:hAnsi="Book Antiqua" w:cs="Times New Roman"/>
          <w:b/>
          <w:noProof/>
          <w:sz w:val="24"/>
          <w:szCs w:val="24"/>
          <w:lang w:val="en-US"/>
        </w:rPr>
        <w:drawing>
          <wp:inline distT="0" distB="0" distL="0" distR="0" wp14:anchorId="51C7B1DB" wp14:editId="74FF04D5">
            <wp:extent cx="5400040" cy="1350010"/>
            <wp:effectExtent l="0" t="0" r="0" b="2540"/>
            <wp:docPr id="14094965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496536" name="Picture 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00040" cy="1350010"/>
                    </a:xfrm>
                    <a:prstGeom prst="rect">
                      <a:avLst/>
                    </a:prstGeom>
                  </pic:spPr>
                </pic:pic>
              </a:graphicData>
            </a:graphic>
          </wp:inline>
        </w:drawing>
      </w:r>
    </w:p>
    <w:p w14:paraId="2EFC43F4" w14:textId="77777777" w:rsidR="003801E8" w:rsidRDefault="00E44AAE">
      <w:pPr>
        <w:tabs>
          <w:tab w:val="left" w:pos="3315"/>
        </w:tabs>
        <w:spacing w:line="360" w:lineRule="auto"/>
        <w:jc w:val="both"/>
        <w:rPr>
          <w:rFonts w:ascii="Book Antiqua" w:hAnsi="Book Antiqua" w:cs="Times New Roman"/>
          <w:bCs/>
          <w:sz w:val="22"/>
          <w:szCs w:val="22"/>
          <w:lang w:val="sr-Latn-RS"/>
        </w:rPr>
      </w:pPr>
      <w:r>
        <w:rPr>
          <w:rFonts w:ascii="Book Antiqua" w:hAnsi="Book Antiqua" w:cs="Times New Roman"/>
          <w:b/>
          <w:bCs/>
          <w:sz w:val="22"/>
          <w:szCs w:val="22"/>
          <w:lang w:val="sr-Latn-RS"/>
        </w:rPr>
        <w:t>Slika 23</w:t>
      </w:r>
      <w:r>
        <w:rPr>
          <w:rFonts w:ascii="Book Antiqua" w:hAnsi="Book Antiqua" w:cs="Times New Roman"/>
          <w:bCs/>
          <w:sz w:val="22"/>
          <w:szCs w:val="22"/>
          <w:lang w:val="sr-Latn-RS"/>
        </w:rPr>
        <w:t xml:space="preserve">. A. Alfa konidije (400x) </w:t>
      </w:r>
      <w:r>
        <w:rPr>
          <w:rFonts w:ascii="Book Antiqua" w:hAnsi="Book Antiqua" w:cs="Times New Roman"/>
          <w:bCs/>
          <w:i/>
          <w:iCs/>
          <w:sz w:val="22"/>
          <w:szCs w:val="22"/>
          <w:lang w:val="sr-Latn-RS"/>
        </w:rPr>
        <w:t>D. ampelina</w:t>
      </w:r>
      <w:r>
        <w:rPr>
          <w:rFonts w:ascii="Book Antiqua" w:hAnsi="Book Antiqua" w:cs="Times New Roman"/>
          <w:bCs/>
          <w:sz w:val="22"/>
          <w:szCs w:val="22"/>
          <w:lang w:val="sr-Latn-RS"/>
        </w:rPr>
        <w:t xml:space="preserve"> </w:t>
      </w:r>
      <w:r>
        <w:rPr>
          <w:rFonts w:ascii="Book Antiqua" w:hAnsi="Book Antiqua"/>
          <w:sz w:val="22"/>
          <w:szCs w:val="22"/>
        </w:rPr>
        <w:t xml:space="preserve">izolat MN001 </w:t>
      </w:r>
      <w:r>
        <w:rPr>
          <w:rFonts w:ascii="Book Antiqua" w:hAnsi="Book Antiqua" w:cs="Times New Roman"/>
          <w:bCs/>
          <w:sz w:val="22"/>
          <w:szCs w:val="22"/>
          <w:lang w:val="sr-Latn-RS"/>
        </w:rPr>
        <w:t xml:space="preserve">B. Alfa konidije </w:t>
      </w:r>
      <w:r>
        <w:rPr>
          <w:rFonts w:ascii="Book Antiqua" w:hAnsi="Book Antiqua" w:cs="Times New Roman"/>
          <w:bCs/>
          <w:i/>
          <w:iCs/>
          <w:sz w:val="22"/>
          <w:szCs w:val="22"/>
          <w:lang w:val="sr-Latn-RS"/>
        </w:rPr>
        <w:t>D. eres</w:t>
      </w:r>
      <w:r>
        <w:rPr>
          <w:rFonts w:ascii="Book Antiqua" w:hAnsi="Book Antiqua" w:cs="Times New Roman"/>
          <w:bCs/>
          <w:sz w:val="22"/>
          <w:szCs w:val="22"/>
          <w:lang w:val="sr-Latn-RS"/>
        </w:rPr>
        <w:t xml:space="preserve"> </w:t>
      </w:r>
      <w:r>
        <w:rPr>
          <w:rFonts w:ascii="Book Antiqua" w:hAnsi="Book Antiqua"/>
          <w:sz w:val="22"/>
          <w:szCs w:val="22"/>
        </w:rPr>
        <w:t xml:space="preserve">izolat MN001 </w:t>
      </w:r>
      <w:r>
        <w:rPr>
          <w:rFonts w:ascii="Book Antiqua" w:hAnsi="Book Antiqua" w:cs="Times New Roman"/>
          <w:bCs/>
          <w:sz w:val="22"/>
          <w:szCs w:val="22"/>
          <w:lang w:val="sr-Latn-RS"/>
        </w:rPr>
        <w:t xml:space="preserve">(200x) C. Beta konidije </w:t>
      </w:r>
      <w:r>
        <w:rPr>
          <w:rFonts w:ascii="Book Antiqua" w:hAnsi="Book Antiqua" w:cs="Times New Roman"/>
          <w:bCs/>
          <w:i/>
          <w:iCs/>
          <w:sz w:val="22"/>
          <w:szCs w:val="22"/>
          <w:lang w:val="sr-Latn-RS"/>
        </w:rPr>
        <w:t>D. eres</w:t>
      </w:r>
      <w:r>
        <w:rPr>
          <w:rFonts w:ascii="Book Antiqua" w:hAnsi="Book Antiqua" w:cs="Times New Roman"/>
          <w:bCs/>
          <w:sz w:val="22"/>
          <w:szCs w:val="22"/>
          <w:lang w:val="sr-Latn-RS"/>
        </w:rPr>
        <w:t xml:space="preserve"> </w:t>
      </w:r>
      <w:r>
        <w:rPr>
          <w:rFonts w:ascii="Book Antiqua" w:hAnsi="Book Antiqua"/>
          <w:sz w:val="22"/>
          <w:szCs w:val="22"/>
        </w:rPr>
        <w:t xml:space="preserve">izolat MN001 </w:t>
      </w:r>
      <w:r>
        <w:rPr>
          <w:rFonts w:ascii="Book Antiqua" w:hAnsi="Book Antiqua" w:cs="Times New Roman"/>
          <w:bCs/>
          <w:sz w:val="22"/>
          <w:szCs w:val="22"/>
          <w:lang w:val="sr-Latn-RS"/>
        </w:rPr>
        <w:t>(400x)</w:t>
      </w:r>
    </w:p>
    <w:p w14:paraId="1EC7BC63" w14:textId="77777777" w:rsidR="003801E8" w:rsidRDefault="00E44AAE">
      <w:pPr>
        <w:spacing w:line="360" w:lineRule="auto"/>
        <w:jc w:val="both"/>
        <w:rPr>
          <w:rFonts w:ascii="Book Antiqua" w:hAnsi="Book Antiqua"/>
          <w:sz w:val="24"/>
          <w:szCs w:val="24"/>
        </w:rPr>
      </w:pPr>
      <w:r>
        <w:rPr>
          <w:rFonts w:ascii="Book Antiqua" w:hAnsi="Book Antiqua"/>
          <w:sz w:val="24"/>
          <w:szCs w:val="24"/>
        </w:rPr>
        <w:t xml:space="preserve">Vazdušna kolonija </w:t>
      </w:r>
      <w:r>
        <w:rPr>
          <w:rFonts w:ascii="Book Antiqua" w:hAnsi="Book Antiqua"/>
          <w:i/>
          <w:iCs/>
          <w:sz w:val="24"/>
          <w:szCs w:val="24"/>
        </w:rPr>
        <w:t xml:space="preserve">S. vitis </w:t>
      </w:r>
      <w:r>
        <w:rPr>
          <w:rFonts w:ascii="Book Antiqua" w:hAnsi="Book Antiqua"/>
          <w:sz w:val="24"/>
          <w:szCs w:val="24"/>
        </w:rPr>
        <w:t xml:space="preserve"> izolata MN001 nakon pet dana razvoja imala je sivkasto bijelu miceliju. Nakon 10 dana razvoja na KDA vazdušna micelija je dobila tamno braon boju sa bijelim rubom (Slika 24a). Deset dana nakon zasijavanja, prosječan prečnik je iznosio 30,80 mm, odnosno 52,5 mm nakon 20 dana razvoja. Prosječan dnevni porast je iznosio  4,2 mm. Konidije hijalne do svijetlo smeđe, elipsoidnog do vretenastog oblika i septirane sa 2-3 jasno uočljive poprečne septe (Slika 24b). Na konidijama su bazalno i/ili apikalno prisutni tanki apendicesi različite dužine. Dimenzija konidija 15-29 x 5-8 µm, dok dimenzija apendicesa iznosi 3-15 µm (n=100 spora).</w:t>
      </w:r>
    </w:p>
    <w:p w14:paraId="6F92E626" w14:textId="77777777" w:rsidR="003801E8" w:rsidRDefault="00E44AAE">
      <w:pPr>
        <w:spacing w:line="240" w:lineRule="auto"/>
        <w:jc w:val="both"/>
        <w:rPr>
          <w:rFonts w:ascii="Book Antiqua" w:hAnsi="Book Antiqua"/>
          <w:sz w:val="22"/>
          <w:szCs w:val="22"/>
        </w:rPr>
      </w:pPr>
      <w:r>
        <w:rPr>
          <w:rFonts w:ascii="Book Antiqua" w:hAnsi="Book Antiqua"/>
          <w:noProof/>
          <w:sz w:val="24"/>
          <w:szCs w:val="24"/>
          <w:lang w:val="en-US"/>
        </w:rPr>
        <w:drawing>
          <wp:inline distT="0" distB="0" distL="0" distR="0" wp14:anchorId="76695D41" wp14:editId="432B8CCF">
            <wp:extent cx="5400040" cy="2304415"/>
            <wp:effectExtent l="0" t="0" r="0" b="635"/>
            <wp:docPr id="19532234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23409" name="Picture 3"/>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400040" cy="2304415"/>
                    </a:xfrm>
                    <a:prstGeom prst="rect">
                      <a:avLst/>
                    </a:prstGeom>
                  </pic:spPr>
                </pic:pic>
              </a:graphicData>
            </a:graphic>
          </wp:inline>
        </w:drawing>
      </w:r>
      <w:r>
        <w:rPr>
          <w:rFonts w:ascii="Book Antiqua" w:hAnsi="Book Antiqua"/>
          <w:b/>
          <w:sz w:val="22"/>
          <w:szCs w:val="22"/>
        </w:rPr>
        <w:t>Slika 24</w:t>
      </w:r>
      <w:r>
        <w:rPr>
          <w:rFonts w:ascii="Book Antiqua" w:hAnsi="Book Antiqua"/>
          <w:sz w:val="22"/>
          <w:szCs w:val="22"/>
        </w:rPr>
        <w:t xml:space="preserve">. </w:t>
      </w:r>
      <w:r>
        <w:rPr>
          <w:rFonts w:ascii="Book Antiqua" w:hAnsi="Book Antiqua"/>
          <w:i/>
          <w:iCs/>
          <w:sz w:val="22"/>
          <w:szCs w:val="22"/>
        </w:rPr>
        <w:t>S. vits</w:t>
      </w:r>
      <w:r>
        <w:rPr>
          <w:rFonts w:ascii="Book Antiqua" w:hAnsi="Book Antiqua"/>
          <w:sz w:val="22"/>
          <w:szCs w:val="22"/>
        </w:rPr>
        <w:t>, izolat MN001  A. Vazdušna kolonija B. Konidije (400x)</w:t>
      </w:r>
    </w:p>
    <w:p w14:paraId="719424E1" w14:textId="77777777" w:rsidR="003801E8" w:rsidRDefault="003801E8">
      <w:pPr>
        <w:spacing w:line="360" w:lineRule="auto"/>
        <w:jc w:val="both"/>
        <w:rPr>
          <w:rFonts w:ascii="Book Antiqua" w:hAnsi="Book Antiqua"/>
          <w:sz w:val="24"/>
          <w:szCs w:val="24"/>
        </w:rPr>
      </w:pPr>
    </w:p>
    <w:p w14:paraId="5B57CD4A" w14:textId="77777777" w:rsidR="003801E8" w:rsidRDefault="003801E8">
      <w:pPr>
        <w:spacing w:line="360" w:lineRule="auto"/>
        <w:jc w:val="both"/>
        <w:rPr>
          <w:rFonts w:ascii="Book Antiqua" w:hAnsi="Book Antiqua"/>
          <w:sz w:val="24"/>
          <w:szCs w:val="24"/>
        </w:rPr>
      </w:pPr>
    </w:p>
    <w:p w14:paraId="526B6BF8" w14:textId="77777777" w:rsidR="003801E8" w:rsidRDefault="00E44AAE">
      <w:pPr>
        <w:tabs>
          <w:tab w:val="left" w:pos="3315"/>
        </w:tabs>
        <w:spacing w:line="360" w:lineRule="auto"/>
        <w:jc w:val="both"/>
        <w:rPr>
          <w:rFonts w:ascii="Book Antiqua" w:hAnsi="Book Antiqua" w:cs="Times New Roman"/>
          <w:b/>
          <w:sz w:val="24"/>
          <w:szCs w:val="24"/>
        </w:rPr>
      </w:pPr>
      <w:r>
        <w:rPr>
          <w:rFonts w:ascii="Book Antiqua" w:hAnsi="Book Antiqua" w:cs="Times New Roman"/>
          <w:b/>
          <w:sz w:val="24"/>
          <w:szCs w:val="24"/>
          <w:lang w:val="sr-Latn-RS"/>
        </w:rPr>
        <w:lastRenderedPageBreak/>
        <w:t xml:space="preserve">5.7 Morfološke karakteristike </w:t>
      </w:r>
      <w:r>
        <w:rPr>
          <w:rFonts w:ascii="Book Antiqua" w:hAnsi="Book Antiqua" w:cs="Times New Roman"/>
          <w:b/>
          <w:i/>
          <w:iCs/>
          <w:sz w:val="24"/>
          <w:szCs w:val="24"/>
          <w:lang w:val="sr-Latn-RS"/>
        </w:rPr>
        <w:t>T. citrinoviride</w:t>
      </w:r>
      <w:r>
        <w:rPr>
          <w:rFonts w:ascii="Book Antiqua" w:hAnsi="Book Antiqua" w:cs="Times New Roman"/>
          <w:b/>
          <w:sz w:val="24"/>
          <w:szCs w:val="24"/>
          <w:lang w:val="sr-Latn-RS"/>
        </w:rPr>
        <w:t xml:space="preserve"> T-CG izolovane </w:t>
      </w:r>
      <w:r>
        <w:rPr>
          <w:rFonts w:ascii="Book Antiqua" w:hAnsi="Book Antiqua" w:cs="Times New Roman"/>
          <w:b/>
          <w:sz w:val="24"/>
          <w:szCs w:val="24"/>
        </w:rPr>
        <w:t xml:space="preserve">u Crnoj Gori </w:t>
      </w:r>
    </w:p>
    <w:p w14:paraId="7E19EBFF" w14:textId="77777777" w:rsidR="003801E8" w:rsidRDefault="00E44AAE">
      <w:pPr>
        <w:spacing w:line="360" w:lineRule="auto"/>
        <w:jc w:val="both"/>
        <w:rPr>
          <w:rFonts w:ascii="Book Antiqua" w:hAnsi="Book Antiqua"/>
          <w:sz w:val="24"/>
          <w:szCs w:val="24"/>
        </w:rPr>
      </w:pPr>
      <w:r>
        <w:rPr>
          <w:rFonts w:ascii="Book Antiqua" w:hAnsi="Book Antiqua"/>
          <w:sz w:val="24"/>
          <w:szCs w:val="24"/>
        </w:rPr>
        <w:t xml:space="preserve">Vazdušna kolonija </w:t>
      </w:r>
      <w:r>
        <w:rPr>
          <w:rFonts w:ascii="Book Antiqua" w:hAnsi="Book Antiqua"/>
          <w:i/>
          <w:iCs/>
          <w:sz w:val="24"/>
          <w:szCs w:val="24"/>
        </w:rPr>
        <w:t>T. citrinoviride</w:t>
      </w:r>
      <w:r>
        <w:rPr>
          <w:rFonts w:ascii="Book Antiqua" w:hAnsi="Book Antiqua"/>
          <w:sz w:val="24"/>
          <w:szCs w:val="24"/>
        </w:rPr>
        <w:t xml:space="preserve"> izolata </w:t>
      </w:r>
      <w:r>
        <w:rPr>
          <w:rFonts w:ascii="Book Antiqua" w:hAnsi="Book Antiqua" w:cs="Times New Roman"/>
          <w:bCs/>
          <w:sz w:val="24"/>
          <w:szCs w:val="24"/>
          <w:lang w:val="sr-Latn-RS"/>
        </w:rPr>
        <w:t>T-CG</w:t>
      </w:r>
      <w:r>
        <w:rPr>
          <w:rFonts w:ascii="Book Antiqua" w:hAnsi="Book Antiqua" w:cs="Times New Roman"/>
          <w:b/>
          <w:sz w:val="24"/>
          <w:szCs w:val="24"/>
          <w:lang w:val="sr-Latn-RS"/>
        </w:rPr>
        <w:t xml:space="preserve"> </w:t>
      </w:r>
      <w:r>
        <w:rPr>
          <w:rFonts w:ascii="Book Antiqua" w:hAnsi="Book Antiqua"/>
          <w:sz w:val="24"/>
          <w:szCs w:val="24"/>
        </w:rPr>
        <w:t xml:space="preserve">nakon tri dana razvoja na KDA, bila je u vidu bjeličaste prevlake (Slika 25a). Petog dana inkubacije pojavila se intenzivna zelena sporulacija, a vazdušna kolonija je dobila karakterističnu zelenu boju (Slika 25b). Konidiofore su neujadnačene veličine i razgranate pod pravim uglom od 90° (Slika 26a). Konidije su sitne, glatke i blago elipsoidne, prosječne dužine 2.5-3 </w:t>
      </w:r>
      <w:r>
        <w:rPr>
          <w:rFonts w:ascii="Book Antiqua" w:hAnsi="Book Antiqua" w:cstheme="minorHAnsi"/>
          <w:sz w:val="24"/>
          <w:szCs w:val="24"/>
        </w:rPr>
        <w:t>µ</w:t>
      </w:r>
      <w:r>
        <w:rPr>
          <w:rFonts w:ascii="Book Antiqua" w:hAnsi="Book Antiqua"/>
          <w:sz w:val="24"/>
          <w:szCs w:val="24"/>
        </w:rPr>
        <w:t xml:space="preserve">m dužine, odnosno 2,2-2,5 </w:t>
      </w:r>
      <w:r>
        <w:rPr>
          <w:rFonts w:ascii="Book Antiqua" w:hAnsi="Book Antiqua" w:cstheme="minorHAnsi"/>
          <w:sz w:val="24"/>
          <w:szCs w:val="24"/>
        </w:rPr>
        <w:t>µ</w:t>
      </w:r>
      <w:r>
        <w:rPr>
          <w:rFonts w:ascii="Book Antiqua" w:hAnsi="Book Antiqua"/>
          <w:sz w:val="24"/>
          <w:szCs w:val="24"/>
        </w:rPr>
        <w:t>m širine (Slika 26b). Prečnik kolonije je iznosio 38,13 mm nakon 48 h, odnosno 9 cm nakon 3 dana razvoja. Prosječan dnevni porast iznosio je 36,61 mm (n = 100 spora).</w:t>
      </w:r>
    </w:p>
    <w:p w14:paraId="437F8CD9" w14:textId="77777777" w:rsidR="003801E8" w:rsidRDefault="00E44AAE">
      <w:pPr>
        <w:spacing w:line="240" w:lineRule="auto"/>
        <w:jc w:val="both"/>
        <w:rPr>
          <w:rFonts w:ascii="Book Antiqua" w:hAnsi="Book Antiqua"/>
          <w:sz w:val="24"/>
          <w:szCs w:val="24"/>
        </w:rPr>
      </w:pPr>
      <w:r>
        <w:rPr>
          <w:rFonts w:ascii="Book Antiqua" w:hAnsi="Book Antiqua"/>
          <w:noProof/>
          <w:sz w:val="24"/>
          <w:szCs w:val="24"/>
          <w:lang w:val="en-US"/>
        </w:rPr>
        <w:drawing>
          <wp:inline distT="0" distB="0" distL="0" distR="0" wp14:anchorId="78C5C753" wp14:editId="567CAB18">
            <wp:extent cx="5400040" cy="2385060"/>
            <wp:effectExtent l="0" t="0" r="0" b="0"/>
            <wp:docPr id="1778010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010161" name="Picture 4"/>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400040" cy="2385060"/>
                    </a:xfrm>
                    <a:prstGeom prst="rect">
                      <a:avLst/>
                    </a:prstGeom>
                  </pic:spPr>
                </pic:pic>
              </a:graphicData>
            </a:graphic>
          </wp:inline>
        </w:drawing>
      </w:r>
    </w:p>
    <w:p w14:paraId="0F4B3A60" w14:textId="77777777" w:rsidR="003801E8" w:rsidRDefault="00E44AAE">
      <w:pPr>
        <w:spacing w:line="360" w:lineRule="auto"/>
        <w:jc w:val="both"/>
        <w:rPr>
          <w:rFonts w:ascii="Book Antiqua" w:hAnsi="Book Antiqua" w:cs="Times New Roman"/>
          <w:sz w:val="22"/>
          <w:szCs w:val="22"/>
          <w:lang w:val="en-US" w:eastAsia="sr-Latn-ME"/>
        </w:rPr>
      </w:pPr>
      <w:r>
        <w:rPr>
          <w:rFonts w:ascii="Book Antiqua" w:hAnsi="Book Antiqua"/>
          <w:b/>
          <w:bCs/>
          <w:sz w:val="22"/>
          <w:szCs w:val="22"/>
        </w:rPr>
        <w:t>Slika 25</w:t>
      </w:r>
      <w:r>
        <w:rPr>
          <w:rFonts w:ascii="Book Antiqua" w:hAnsi="Book Antiqua"/>
          <w:sz w:val="22"/>
          <w:szCs w:val="22"/>
        </w:rPr>
        <w:t xml:space="preserve">. </w:t>
      </w:r>
      <w:r>
        <w:rPr>
          <w:rFonts w:ascii="Book Antiqua" w:hAnsi="Book Antiqua" w:cs="Times New Roman"/>
          <w:i/>
          <w:iCs/>
          <w:sz w:val="22"/>
          <w:szCs w:val="22"/>
          <w:lang w:val="en-US" w:eastAsia="sr-Latn-ME"/>
        </w:rPr>
        <w:t>T. citrinoviride</w:t>
      </w:r>
      <w:r>
        <w:rPr>
          <w:rFonts w:ascii="Book Antiqua" w:hAnsi="Book Antiqua" w:cs="Times New Roman"/>
          <w:sz w:val="22"/>
          <w:szCs w:val="22"/>
          <w:lang w:val="en-US" w:eastAsia="sr-Latn-ME"/>
        </w:rPr>
        <w:t>, izolat T-CG</w:t>
      </w:r>
      <w:r>
        <w:rPr>
          <w:rFonts w:ascii="Book Antiqua" w:hAnsi="Book Antiqua" w:cs="Times New Roman"/>
          <w:i/>
          <w:iCs/>
          <w:sz w:val="22"/>
          <w:szCs w:val="22"/>
          <w:lang w:val="en-US" w:eastAsia="sr-Latn-ME"/>
        </w:rPr>
        <w:t xml:space="preserve"> </w:t>
      </w:r>
      <w:r>
        <w:rPr>
          <w:rFonts w:ascii="Book Antiqua" w:hAnsi="Book Antiqua" w:cs="Times New Roman"/>
          <w:sz w:val="22"/>
          <w:szCs w:val="22"/>
          <w:lang w:val="en-US" w:eastAsia="sr-Latn-ME"/>
        </w:rPr>
        <w:t xml:space="preserve">A.  Vazdušna kolonija  nakon tri dana razvoja  na KDA. B.  Vazdušna kolonija nakon 5 dana razvoja na KDA. </w:t>
      </w:r>
    </w:p>
    <w:p w14:paraId="540B2AAC" w14:textId="77777777" w:rsidR="003801E8" w:rsidRDefault="00E44AAE">
      <w:pPr>
        <w:spacing w:line="240" w:lineRule="auto"/>
        <w:jc w:val="center"/>
        <w:rPr>
          <w:rFonts w:ascii="Book Antiqua" w:hAnsi="Book Antiqua"/>
          <w:sz w:val="24"/>
          <w:szCs w:val="24"/>
        </w:rPr>
      </w:pPr>
      <w:r>
        <w:rPr>
          <w:rFonts w:ascii="Book Antiqua" w:hAnsi="Book Antiqua"/>
          <w:noProof/>
          <w:sz w:val="24"/>
          <w:szCs w:val="24"/>
          <w:lang w:val="en-US"/>
        </w:rPr>
        <w:drawing>
          <wp:inline distT="0" distB="0" distL="0" distR="0" wp14:anchorId="07BC9FF3" wp14:editId="6A50D3CA">
            <wp:extent cx="5400040" cy="2004060"/>
            <wp:effectExtent l="0" t="0" r="0" b="0"/>
            <wp:docPr id="5338579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57981" name="Picture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0040" cy="2004060"/>
                    </a:xfrm>
                    <a:prstGeom prst="rect">
                      <a:avLst/>
                    </a:prstGeom>
                  </pic:spPr>
                </pic:pic>
              </a:graphicData>
            </a:graphic>
          </wp:inline>
        </w:drawing>
      </w:r>
    </w:p>
    <w:p w14:paraId="4B70F25C" w14:textId="77777777" w:rsidR="003801E8" w:rsidRDefault="00E44AAE">
      <w:pPr>
        <w:spacing w:line="360" w:lineRule="auto"/>
        <w:jc w:val="both"/>
        <w:rPr>
          <w:rFonts w:ascii="Book Antiqua" w:hAnsi="Book Antiqua"/>
          <w:i/>
          <w:iCs/>
          <w:sz w:val="22"/>
          <w:szCs w:val="22"/>
        </w:rPr>
      </w:pPr>
      <w:r>
        <w:rPr>
          <w:rFonts w:ascii="Book Antiqua" w:hAnsi="Book Antiqua"/>
          <w:b/>
          <w:bCs/>
          <w:sz w:val="22"/>
          <w:szCs w:val="22"/>
        </w:rPr>
        <w:t>Slika 26</w:t>
      </w:r>
      <w:r>
        <w:rPr>
          <w:rFonts w:ascii="Book Antiqua" w:hAnsi="Book Antiqua"/>
          <w:sz w:val="22"/>
          <w:szCs w:val="22"/>
        </w:rPr>
        <w:t xml:space="preserve">. </w:t>
      </w:r>
      <w:r>
        <w:rPr>
          <w:rFonts w:ascii="Book Antiqua" w:hAnsi="Book Antiqua"/>
          <w:i/>
          <w:iCs/>
          <w:sz w:val="22"/>
          <w:szCs w:val="22"/>
        </w:rPr>
        <w:t>T. citrinoviride</w:t>
      </w:r>
      <w:r>
        <w:rPr>
          <w:rFonts w:ascii="Book Antiqua" w:hAnsi="Book Antiqua"/>
          <w:sz w:val="22"/>
          <w:szCs w:val="22"/>
        </w:rPr>
        <w:t>, izolat T-CG A. Konidiofore razgranate pod pravim uglom (400x) B. Konidije (400x)</w:t>
      </w:r>
    </w:p>
    <w:p w14:paraId="470E8026" w14:textId="77777777" w:rsidR="003801E8" w:rsidRDefault="00E44AAE">
      <w:pPr>
        <w:spacing w:line="360" w:lineRule="auto"/>
        <w:jc w:val="both"/>
        <w:rPr>
          <w:rFonts w:ascii="Book Antiqua" w:hAnsi="Book Antiqua"/>
          <w:i/>
          <w:iCs/>
          <w:sz w:val="22"/>
          <w:szCs w:val="22"/>
        </w:rPr>
      </w:pPr>
      <w:r>
        <w:rPr>
          <w:rFonts w:ascii="Book Antiqua" w:hAnsi="Book Antiqua" w:cs="Times New Roman"/>
          <w:b/>
          <w:color w:val="000000" w:themeColor="text1"/>
          <w:kern w:val="2"/>
          <w:sz w:val="24"/>
          <w:szCs w:val="24"/>
          <w:lang w:val="en-US" w:eastAsia="sr-Latn-ME"/>
        </w:rPr>
        <w:lastRenderedPageBreak/>
        <w:t xml:space="preserve">5.8 </w:t>
      </w:r>
      <w:r>
        <w:rPr>
          <w:rFonts w:ascii="Book Antiqua" w:hAnsi="Book Antiqua" w:cs="Times New Roman"/>
          <w:b/>
          <w:iCs/>
          <w:color w:val="000000" w:themeColor="text1"/>
          <w:kern w:val="2"/>
          <w:sz w:val="24"/>
          <w:szCs w:val="24"/>
          <w:lang w:val="en-US" w:eastAsia="sr-Latn-ME"/>
        </w:rPr>
        <w:t xml:space="preserve">Test patogenosti </w:t>
      </w:r>
    </w:p>
    <w:p w14:paraId="12570BA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Tokom sedam mjeseci od momenta inokulacije, biljke vinove loze nijesu pokazivale folijarne simptome eska oboljenja. Međutim, nakon uzdužnog presjeka lastara, uočena je nekroza braon boje kod svih lastara inokulisanih fitopatogenom gljivom </w:t>
      </w:r>
      <w:r>
        <w:rPr>
          <w:rFonts w:ascii="Book Antiqua" w:hAnsi="Book Antiqua" w:cs="Times New Roman"/>
          <w:i/>
          <w:iCs/>
          <w:color w:val="000000" w:themeColor="text1"/>
          <w:sz w:val="24"/>
          <w:szCs w:val="24"/>
          <w:lang w:val="sr-Latn-RS"/>
        </w:rPr>
        <w:t xml:space="preserve">P. minimum </w:t>
      </w:r>
      <w:r>
        <w:rPr>
          <w:rFonts w:ascii="Book Antiqua" w:hAnsi="Book Antiqua" w:cs="Times New Roman"/>
          <w:color w:val="000000" w:themeColor="text1"/>
          <w:sz w:val="24"/>
          <w:szCs w:val="24"/>
          <w:lang w:val="sr-Latn-RS"/>
        </w:rPr>
        <w:t xml:space="preserve">(Slika 27a). Na uzdužnom presjeku lastara inokulisanih fitopatogenom gljivom </w:t>
      </w:r>
      <w:r>
        <w:rPr>
          <w:rFonts w:ascii="Book Antiqua" w:hAnsi="Book Antiqua" w:cs="Times New Roman"/>
          <w:i/>
          <w:iCs/>
          <w:color w:val="000000" w:themeColor="text1"/>
          <w:sz w:val="24"/>
          <w:szCs w:val="24"/>
          <w:lang w:val="sr-Latn-RS"/>
        </w:rPr>
        <w:t>P. chlamydospora</w:t>
      </w:r>
      <w:r>
        <w:rPr>
          <w:rFonts w:ascii="Book Antiqua" w:hAnsi="Book Antiqua" w:cs="Times New Roman"/>
          <w:color w:val="000000" w:themeColor="text1"/>
          <w:sz w:val="24"/>
          <w:szCs w:val="24"/>
          <w:lang w:val="sr-Latn-RS"/>
        </w:rPr>
        <w:t xml:space="preserve"> uočene su promjene u vidu tamno braon nekroza i crnih lezija na sprovodnim sudovima neposredno ispod kore lastara (Slika 23b). Kontrolni lastari inokulisani destilovanom vodom nijesu pokazivali simptome nekroze sprovodnih sudova. Sa rubnih zona nekroza reizolovane su fitopatogene gljive </w:t>
      </w:r>
      <w:r>
        <w:rPr>
          <w:rFonts w:ascii="Book Antiqua" w:hAnsi="Book Antiqua" w:cs="Times New Roman"/>
          <w:i/>
          <w:iCs/>
          <w:color w:val="000000" w:themeColor="text1"/>
          <w:sz w:val="24"/>
          <w:szCs w:val="24"/>
          <w:lang w:val="sr-Latn-RS"/>
        </w:rPr>
        <w:t>P. minimum</w:t>
      </w:r>
      <w:r>
        <w:rPr>
          <w:rFonts w:ascii="Book Antiqua" w:hAnsi="Book Antiqua" w:cs="Times New Roman"/>
          <w:color w:val="000000" w:themeColor="text1"/>
          <w:sz w:val="24"/>
          <w:szCs w:val="24"/>
          <w:lang w:val="sr-Latn-RS"/>
        </w:rPr>
        <w:t xml:space="preserve"> i </w:t>
      </w:r>
      <w:r>
        <w:rPr>
          <w:rFonts w:ascii="Book Antiqua" w:hAnsi="Book Antiqua" w:cs="Times New Roman"/>
          <w:i/>
          <w:iCs/>
          <w:color w:val="000000" w:themeColor="text1"/>
          <w:sz w:val="24"/>
          <w:szCs w:val="24"/>
          <w:lang w:val="sr-Latn-RS"/>
        </w:rPr>
        <w:t>P. chlamydospora</w:t>
      </w:r>
      <w:r>
        <w:rPr>
          <w:rFonts w:ascii="Book Antiqua" w:hAnsi="Book Antiqua" w:cs="Times New Roman"/>
          <w:color w:val="000000" w:themeColor="text1"/>
          <w:sz w:val="24"/>
          <w:szCs w:val="24"/>
          <w:lang w:val="sr-Latn-RS"/>
        </w:rPr>
        <w:t xml:space="preserve">. Postupkom reizolacije obuhvaćene su i kontrolne biljke, iz kojih nijesu reizolovani pomenuti patogeni. </w:t>
      </w:r>
    </w:p>
    <w:p w14:paraId="30668A9D" w14:textId="77777777" w:rsidR="003801E8" w:rsidRDefault="00E44AAE">
      <w:pPr>
        <w:tabs>
          <w:tab w:val="left" w:pos="3315"/>
        </w:tabs>
        <w:spacing w:line="240" w:lineRule="auto"/>
        <w:jc w:val="both"/>
        <w:rPr>
          <w:rFonts w:ascii="Book Antiqua" w:hAnsi="Book Antiqua" w:cs="Times New Roman"/>
          <w:color w:val="000000" w:themeColor="text1"/>
          <w:sz w:val="24"/>
          <w:szCs w:val="24"/>
          <w:lang w:val="sr-Latn-RS"/>
        </w:rPr>
      </w:pPr>
      <w:r>
        <w:rPr>
          <w:rFonts w:ascii="Book Antiqua" w:hAnsi="Book Antiqua" w:cs="Times New Roman"/>
          <w:noProof/>
          <w:color w:val="000000" w:themeColor="text1"/>
          <w:sz w:val="24"/>
          <w:szCs w:val="24"/>
          <w:lang w:val="en-US"/>
        </w:rPr>
        <w:drawing>
          <wp:inline distT="0" distB="0" distL="0" distR="0" wp14:anchorId="39D9D429" wp14:editId="74ACF252">
            <wp:extent cx="5400040" cy="1948180"/>
            <wp:effectExtent l="0" t="0" r="0" b="0"/>
            <wp:docPr id="12525737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573706" name="Picture 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040" cy="1948180"/>
                    </a:xfrm>
                    <a:prstGeom prst="rect">
                      <a:avLst/>
                    </a:prstGeom>
                  </pic:spPr>
                </pic:pic>
              </a:graphicData>
            </a:graphic>
          </wp:inline>
        </w:drawing>
      </w:r>
    </w:p>
    <w:p w14:paraId="68E0826C" w14:textId="77777777" w:rsidR="003801E8" w:rsidRDefault="00E44AAE">
      <w:pPr>
        <w:tabs>
          <w:tab w:val="left" w:pos="3315"/>
        </w:tabs>
        <w:spacing w:line="360" w:lineRule="auto"/>
        <w:jc w:val="both"/>
        <w:rPr>
          <w:rFonts w:ascii="Book Antiqua" w:hAnsi="Book Antiqua" w:cs="Times New Roman"/>
          <w:color w:val="000000" w:themeColor="text1"/>
          <w:sz w:val="22"/>
          <w:szCs w:val="22"/>
        </w:rPr>
      </w:pPr>
      <w:r>
        <w:rPr>
          <w:rFonts w:ascii="Book Antiqua" w:hAnsi="Book Antiqua" w:cs="Times New Roman"/>
          <w:b/>
          <w:bCs/>
          <w:color w:val="000000" w:themeColor="text1"/>
          <w:sz w:val="22"/>
          <w:szCs w:val="22"/>
        </w:rPr>
        <w:t>Slika 27</w:t>
      </w:r>
      <w:r>
        <w:rPr>
          <w:rFonts w:ascii="Book Antiqua" w:hAnsi="Book Antiqua" w:cs="Times New Roman"/>
          <w:color w:val="000000" w:themeColor="text1"/>
          <w:sz w:val="22"/>
          <w:szCs w:val="22"/>
        </w:rPr>
        <w:t xml:space="preserve">. A. Nekroza na lastarima inokulisanim patogenom </w:t>
      </w:r>
      <w:r>
        <w:rPr>
          <w:rFonts w:ascii="Book Antiqua" w:hAnsi="Book Antiqua" w:cs="Times New Roman"/>
          <w:i/>
          <w:iCs/>
          <w:color w:val="000000" w:themeColor="text1"/>
          <w:sz w:val="22"/>
          <w:szCs w:val="22"/>
        </w:rPr>
        <w:t>P. minimum</w:t>
      </w:r>
      <w:r>
        <w:rPr>
          <w:rFonts w:ascii="Book Antiqua" w:hAnsi="Book Antiqua" w:cs="Times New Roman"/>
          <w:color w:val="000000" w:themeColor="text1"/>
          <w:sz w:val="22"/>
          <w:szCs w:val="22"/>
        </w:rPr>
        <w:t xml:space="preserve"> (žute strelice) i kontrolni lastar (crvena strelica). B. Nekroza na lastarima inokulisanim patogenom </w:t>
      </w:r>
      <w:r>
        <w:rPr>
          <w:rFonts w:ascii="Book Antiqua" w:hAnsi="Book Antiqua" w:cs="Times New Roman"/>
          <w:i/>
          <w:iCs/>
          <w:color w:val="000000" w:themeColor="text1"/>
          <w:sz w:val="22"/>
          <w:szCs w:val="22"/>
        </w:rPr>
        <w:t>P. chlamydospora</w:t>
      </w:r>
      <w:r>
        <w:rPr>
          <w:rFonts w:ascii="Book Antiqua" w:hAnsi="Book Antiqua" w:cs="Times New Roman"/>
          <w:color w:val="000000" w:themeColor="text1"/>
          <w:sz w:val="22"/>
          <w:szCs w:val="22"/>
        </w:rPr>
        <w:t xml:space="preserve"> (žute strelice) i kontrolni lastar (crvena strelica)</w:t>
      </w:r>
    </w:p>
    <w:p w14:paraId="07F85DD4" w14:textId="77777777" w:rsidR="003801E8" w:rsidRDefault="003801E8">
      <w:pPr>
        <w:tabs>
          <w:tab w:val="left" w:pos="3315"/>
        </w:tabs>
        <w:spacing w:line="360" w:lineRule="auto"/>
        <w:jc w:val="both"/>
        <w:rPr>
          <w:rFonts w:ascii="Book Antiqua" w:hAnsi="Book Antiqua" w:cs="Times New Roman"/>
          <w:b/>
          <w:bCs/>
          <w:color w:val="000000" w:themeColor="text1"/>
          <w:sz w:val="24"/>
          <w:szCs w:val="24"/>
          <w:lang w:val="sr-Latn-RS"/>
        </w:rPr>
      </w:pPr>
    </w:p>
    <w:p w14:paraId="5E343367" w14:textId="77777777" w:rsidR="003801E8" w:rsidRDefault="00E44AAE">
      <w:pPr>
        <w:tabs>
          <w:tab w:val="left" w:pos="3315"/>
        </w:tabs>
        <w:spacing w:line="360" w:lineRule="auto"/>
        <w:jc w:val="both"/>
        <w:rPr>
          <w:rFonts w:ascii="Book Antiqua" w:hAnsi="Book Antiqua" w:cs="Times New Roman"/>
          <w:b/>
          <w:bCs/>
          <w:color w:val="000000" w:themeColor="text1"/>
          <w:sz w:val="24"/>
          <w:szCs w:val="24"/>
          <w:lang w:val="sr-Latn-RS"/>
        </w:rPr>
      </w:pPr>
      <w:r>
        <w:rPr>
          <w:rFonts w:ascii="Book Antiqua" w:hAnsi="Book Antiqua" w:cs="Times New Roman"/>
          <w:b/>
          <w:bCs/>
          <w:color w:val="000000" w:themeColor="text1"/>
          <w:sz w:val="24"/>
          <w:szCs w:val="24"/>
          <w:lang w:val="sr-Latn-RS"/>
        </w:rPr>
        <w:t xml:space="preserve">5.9 Direktan </w:t>
      </w:r>
      <w:r>
        <w:rPr>
          <w:rFonts w:ascii="Book Antiqua" w:hAnsi="Book Antiqua" w:cs="Times New Roman"/>
          <w:b/>
          <w:bCs/>
          <w:i/>
          <w:iCs/>
          <w:color w:val="000000" w:themeColor="text1"/>
          <w:sz w:val="24"/>
          <w:szCs w:val="24"/>
          <w:lang w:val="sr-Latn-RS"/>
        </w:rPr>
        <w:t>in vitro</w:t>
      </w:r>
      <w:r>
        <w:rPr>
          <w:rFonts w:ascii="Book Antiqua" w:hAnsi="Book Antiqua" w:cs="Times New Roman"/>
          <w:b/>
          <w:bCs/>
          <w:color w:val="000000" w:themeColor="text1"/>
          <w:sz w:val="24"/>
          <w:szCs w:val="24"/>
          <w:lang w:val="sr-Latn-RS"/>
        </w:rPr>
        <w:t xml:space="preserve"> test antagonističkog potencijala </w:t>
      </w:r>
      <w:r>
        <w:rPr>
          <w:rFonts w:ascii="Book Antiqua" w:hAnsi="Book Antiqua" w:cs="Times New Roman"/>
          <w:b/>
          <w:bCs/>
          <w:i/>
          <w:iCs/>
          <w:color w:val="000000" w:themeColor="text1"/>
          <w:sz w:val="24"/>
          <w:szCs w:val="24"/>
          <w:lang w:val="sr-Latn-RS"/>
        </w:rPr>
        <w:t>T. citrinoviride</w:t>
      </w:r>
      <w:r>
        <w:rPr>
          <w:rFonts w:ascii="Book Antiqua" w:hAnsi="Book Antiqua" w:cs="Times New Roman"/>
          <w:b/>
          <w:bCs/>
          <w:color w:val="000000" w:themeColor="text1"/>
          <w:sz w:val="24"/>
          <w:szCs w:val="24"/>
          <w:lang w:val="sr-Latn-RS"/>
        </w:rPr>
        <w:t xml:space="preserve"> T-CG i </w:t>
      </w:r>
      <w:r>
        <w:rPr>
          <w:rFonts w:ascii="Book Antiqua" w:hAnsi="Book Antiqua" w:cs="Times New Roman"/>
          <w:b/>
          <w:bCs/>
          <w:i/>
          <w:iCs/>
          <w:color w:val="000000" w:themeColor="text1"/>
          <w:sz w:val="24"/>
          <w:szCs w:val="24"/>
          <w:lang w:val="sr-Latn-RS"/>
        </w:rPr>
        <w:t>T</w:t>
      </w:r>
      <w:r>
        <w:rPr>
          <w:rFonts w:ascii="Book Antiqua" w:hAnsi="Book Antiqua" w:cs="Times New Roman"/>
          <w:b/>
          <w:bCs/>
          <w:color w:val="000000" w:themeColor="text1"/>
          <w:sz w:val="24"/>
          <w:szCs w:val="24"/>
          <w:lang w:val="sr-Latn-RS"/>
        </w:rPr>
        <w:t>.</w:t>
      </w:r>
      <w:r>
        <w:rPr>
          <w:rFonts w:ascii="Book Antiqua" w:hAnsi="Book Antiqua" w:cs="Times New Roman"/>
          <w:b/>
          <w:bCs/>
          <w:i/>
          <w:iCs/>
          <w:color w:val="000000" w:themeColor="text1"/>
          <w:sz w:val="24"/>
          <w:szCs w:val="24"/>
          <w:lang w:val="sr-Latn-RS"/>
        </w:rPr>
        <w:t xml:space="preserve"> atroviride</w:t>
      </w:r>
      <w:r>
        <w:rPr>
          <w:rFonts w:ascii="Book Antiqua" w:hAnsi="Book Antiqua" w:cs="Times New Roman"/>
          <w:b/>
          <w:bCs/>
          <w:color w:val="000000" w:themeColor="text1"/>
          <w:sz w:val="24"/>
          <w:szCs w:val="24"/>
          <w:lang w:val="sr-Latn-RS"/>
        </w:rPr>
        <w:t xml:space="preserve"> SC1 prema patogenima prouzrokovačima eska oboljenja</w:t>
      </w:r>
    </w:p>
    <w:p w14:paraId="13A4E8C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U direktnom </w:t>
      </w:r>
      <w:r>
        <w:rPr>
          <w:rFonts w:ascii="Book Antiqua" w:hAnsi="Book Antiqua" w:cs="Times New Roman"/>
          <w:i/>
          <w:iCs/>
          <w:color w:val="000000" w:themeColor="text1"/>
          <w:sz w:val="24"/>
          <w:szCs w:val="24"/>
          <w:lang w:val="sr-Latn-RS"/>
        </w:rPr>
        <w:t>in vitro</w:t>
      </w:r>
      <w:r>
        <w:rPr>
          <w:rFonts w:ascii="Book Antiqua" w:hAnsi="Book Antiqua" w:cs="Times New Roman"/>
          <w:color w:val="000000" w:themeColor="text1"/>
          <w:sz w:val="24"/>
          <w:szCs w:val="24"/>
          <w:lang w:val="sr-Latn-RS"/>
        </w:rPr>
        <w:t xml:space="preserve"> testu, nakon 72 h od postavljanja eksperimenta, </w:t>
      </w:r>
      <w:r>
        <w:rPr>
          <w:rFonts w:ascii="Book Antiqua" w:hAnsi="Book Antiqua" w:cs="Times New Roman"/>
          <w:i/>
          <w:iCs/>
          <w:color w:val="000000" w:themeColor="text1"/>
          <w:sz w:val="24"/>
          <w:szCs w:val="24"/>
          <w:lang w:val="sr-Latn-RS"/>
        </w:rPr>
        <w:t>T. citrinoviride</w:t>
      </w:r>
      <w:r>
        <w:rPr>
          <w:rFonts w:ascii="Book Antiqua" w:hAnsi="Book Antiqua" w:cs="Times New Roman"/>
          <w:color w:val="000000" w:themeColor="text1"/>
          <w:sz w:val="24"/>
          <w:szCs w:val="24"/>
          <w:lang w:val="sr-Latn-RS"/>
        </w:rPr>
        <w:t xml:space="preserve"> T-CG i </w:t>
      </w:r>
      <w:r>
        <w:rPr>
          <w:rFonts w:ascii="Book Antiqua" w:hAnsi="Book Antiqua" w:cs="Times New Roman"/>
          <w:i/>
          <w:iCs/>
          <w:color w:val="000000" w:themeColor="text1"/>
          <w:sz w:val="24"/>
          <w:szCs w:val="24"/>
          <w:lang w:val="sr-Latn-RS"/>
        </w:rPr>
        <w:t>T. atroviride</w:t>
      </w:r>
      <w:r>
        <w:rPr>
          <w:rFonts w:ascii="Book Antiqua" w:hAnsi="Book Antiqua" w:cs="Times New Roman"/>
          <w:color w:val="000000" w:themeColor="text1"/>
          <w:sz w:val="24"/>
          <w:szCs w:val="24"/>
          <w:lang w:val="sr-Latn-RS"/>
        </w:rPr>
        <w:t xml:space="preserve"> SC1 su inhibirale rast sva tri patogena prouzrokovača eska oboljenja (Slika 28). Najveći stepen inhibicije imala je </w:t>
      </w:r>
      <w:r>
        <w:rPr>
          <w:rFonts w:ascii="Book Antiqua" w:hAnsi="Book Antiqua" w:cs="Times New Roman"/>
          <w:i/>
          <w:iCs/>
          <w:color w:val="000000" w:themeColor="text1"/>
          <w:sz w:val="24"/>
          <w:szCs w:val="24"/>
          <w:lang w:val="sr-Latn-RS"/>
        </w:rPr>
        <w:t xml:space="preserve">T. </w:t>
      </w:r>
      <w:r>
        <w:rPr>
          <w:rFonts w:ascii="Book Antiqua" w:hAnsi="Book Antiqua" w:cs="Times New Roman"/>
          <w:i/>
          <w:iCs/>
          <w:color w:val="000000" w:themeColor="text1"/>
          <w:sz w:val="24"/>
          <w:szCs w:val="24"/>
          <w:lang w:val="sr-Latn-RS"/>
        </w:rPr>
        <w:lastRenderedPageBreak/>
        <w:t>atroviride</w:t>
      </w:r>
      <w:r>
        <w:rPr>
          <w:rFonts w:ascii="Book Antiqua" w:hAnsi="Book Antiqua" w:cs="Times New Roman"/>
          <w:color w:val="000000" w:themeColor="text1"/>
          <w:sz w:val="24"/>
          <w:szCs w:val="24"/>
          <w:lang w:val="sr-Latn-RS"/>
        </w:rPr>
        <w:t xml:space="preserve"> SC1 prema izolatu </w:t>
      </w:r>
      <w:r>
        <w:rPr>
          <w:rFonts w:ascii="Book Antiqua" w:hAnsi="Book Antiqua" w:cs="Times New Roman"/>
          <w:i/>
          <w:iCs/>
          <w:color w:val="000000" w:themeColor="text1"/>
          <w:sz w:val="24"/>
          <w:szCs w:val="24"/>
          <w:lang w:val="sr-Latn-RS"/>
        </w:rPr>
        <w:t xml:space="preserve">P. minimum </w:t>
      </w:r>
      <w:r>
        <w:rPr>
          <w:rFonts w:ascii="Book Antiqua" w:hAnsi="Book Antiqua" w:cs="Times New Roman"/>
          <w:color w:val="000000" w:themeColor="text1"/>
          <w:sz w:val="24"/>
          <w:szCs w:val="24"/>
          <w:lang w:val="sr-Latn-RS"/>
        </w:rPr>
        <w:t xml:space="preserve">MN002, a najmanji </w:t>
      </w:r>
      <w:r>
        <w:rPr>
          <w:rFonts w:ascii="Book Antiqua" w:hAnsi="Book Antiqua" w:cs="Times New Roman"/>
          <w:i/>
          <w:iCs/>
          <w:color w:val="000000" w:themeColor="text1"/>
          <w:sz w:val="24"/>
          <w:szCs w:val="24"/>
          <w:lang w:val="sr-Latn-RS"/>
        </w:rPr>
        <w:t>T. citrinoviride</w:t>
      </w:r>
      <w:r>
        <w:rPr>
          <w:rFonts w:ascii="Book Antiqua" w:hAnsi="Book Antiqua" w:cs="Times New Roman"/>
          <w:color w:val="000000" w:themeColor="text1"/>
          <w:sz w:val="24"/>
          <w:szCs w:val="24"/>
          <w:lang w:val="sr-Latn-RS"/>
        </w:rPr>
        <w:t xml:space="preserve"> mnvl23 prema </w:t>
      </w:r>
      <w:r>
        <w:rPr>
          <w:rFonts w:ascii="Book Antiqua" w:hAnsi="Book Antiqua" w:cs="Times New Roman"/>
          <w:i/>
          <w:iCs/>
          <w:color w:val="000000" w:themeColor="text1"/>
          <w:sz w:val="24"/>
          <w:szCs w:val="24"/>
          <w:lang w:val="sr-Latn-RS"/>
        </w:rPr>
        <w:t>F. mediterranea</w:t>
      </w:r>
      <w:r>
        <w:rPr>
          <w:rFonts w:ascii="Book Antiqua" w:hAnsi="Book Antiqua" w:cs="Times New Roman"/>
          <w:color w:val="000000" w:themeColor="text1"/>
          <w:sz w:val="24"/>
          <w:szCs w:val="24"/>
          <w:lang w:val="sr-Latn-RS"/>
        </w:rPr>
        <w:t xml:space="preserve"> izolatu MN008. Antagonistički kapacitet </w:t>
      </w:r>
      <w:r>
        <w:rPr>
          <w:rFonts w:ascii="Book Antiqua" w:hAnsi="Book Antiqua" w:cs="Times New Roman"/>
          <w:i/>
          <w:iCs/>
          <w:color w:val="000000" w:themeColor="text1"/>
          <w:sz w:val="24"/>
          <w:szCs w:val="24"/>
          <w:lang w:val="sr-Latn-RS"/>
        </w:rPr>
        <w:t>T. citrinoviride</w:t>
      </w:r>
      <w:r>
        <w:rPr>
          <w:rFonts w:ascii="Book Antiqua" w:hAnsi="Book Antiqua" w:cs="Times New Roman"/>
          <w:color w:val="000000" w:themeColor="text1"/>
          <w:sz w:val="24"/>
          <w:szCs w:val="24"/>
          <w:lang w:val="sr-Latn-RS"/>
        </w:rPr>
        <w:t xml:space="preserve"> T-CG i </w:t>
      </w:r>
      <w:r>
        <w:rPr>
          <w:rFonts w:ascii="Book Antiqua" w:hAnsi="Book Antiqua" w:cs="Times New Roman"/>
          <w:i/>
          <w:iCs/>
          <w:color w:val="000000" w:themeColor="text1"/>
          <w:sz w:val="24"/>
          <w:szCs w:val="24"/>
          <w:lang w:val="sr-Latn-RS"/>
        </w:rPr>
        <w:t>T. atroviride SC1</w:t>
      </w:r>
      <w:r>
        <w:rPr>
          <w:rFonts w:ascii="Book Antiqua" w:hAnsi="Book Antiqua" w:cs="Times New Roman"/>
          <w:color w:val="000000" w:themeColor="text1"/>
          <w:sz w:val="24"/>
          <w:szCs w:val="24"/>
          <w:lang w:val="sr-Latn-RS"/>
        </w:rPr>
        <w:t xml:space="preserve"> prema patogenima prouzrokovačima eska oboljenja, prikazan je u tabelama 20 i 21. Analiza varijanse i Bonferonijev test su pokazali statistički značajan antagonistički efekat </w:t>
      </w:r>
      <w:r>
        <w:rPr>
          <w:rFonts w:ascii="Book Antiqua" w:hAnsi="Book Antiqua" w:cs="Times New Roman"/>
          <w:i/>
          <w:iCs/>
          <w:color w:val="000000" w:themeColor="text1"/>
          <w:sz w:val="24"/>
          <w:szCs w:val="24"/>
          <w:lang w:val="sr-Latn-RS"/>
        </w:rPr>
        <w:t>T. citrinoviride</w:t>
      </w:r>
      <w:r>
        <w:rPr>
          <w:rFonts w:ascii="Book Antiqua" w:hAnsi="Book Antiqua" w:cs="Times New Roman"/>
          <w:color w:val="000000" w:themeColor="text1"/>
          <w:sz w:val="24"/>
          <w:szCs w:val="24"/>
          <w:lang w:val="sr-Latn-RS"/>
        </w:rPr>
        <w:t xml:space="preserve"> T-CG i </w:t>
      </w:r>
      <w:r>
        <w:rPr>
          <w:rFonts w:ascii="Book Antiqua" w:hAnsi="Book Antiqua" w:cs="Times New Roman"/>
          <w:i/>
          <w:iCs/>
          <w:color w:val="000000" w:themeColor="text1"/>
          <w:sz w:val="24"/>
          <w:szCs w:val="24"/>
          <w:lang w:val="sr-Latn-RS"/>
        </w:rPr>
        <w:t>T. atroviride</w:t>
      </w:r>
      <w:r>
        <w:rPr>
          <w:rFonts w:ascii="Book Antiqua" w:hAnsi="Book Antiqua" w:cs="Times New Roman"/>
          <w:color w:val="000000" w:themeColor="text1"/>
          <w:sz w:val="24"/>
          <w:szCs w:val="24"/>
          <w:lang w:val="sr-Latn-RS"/>
        </w:rPr>
        <w:t xml:space="preserve"> SC1, prema ispitivanim patogenima. Takođe, utvrđeno je da između antagonističkog efekta </w:t>
      </w:r>
      <w:r>
        <w:rPr>
          <w:rFonts w:ascii="Book Antiqua" w:hAnsi="Book Antiqua" w:cs="Times New Roman"/>
          <w:i/>
          <w:iCs/>
          <w:color w:val="000000" w:themeColor="text1"/>
          <w:sz w:val="24"/>
          <w:szCs w:val="24"/>
          <w:lang w:val="sr-Latn-RS"/>
        </w:rPr>
        <w:t>T. atroviride</w:t>
      </w:r>
      <w:r>
        <w:rPr>
          <w:rFonts w:ascii="Book Antiqua" w:hAnsi="Book Antiqua" w:cs="Times New Roman"/>
          <w:color w:val="000000" w:themeColor="text1"/>
          <w:sz w:val="24"/>
          <w:szCs w:val="24"/>
          <w:lang w:val="sr-Latn-RS"/>
        </w:rPr>
        <w:t xml:space="preserve"> SC1 i </w:t>
      </w:r>
      <w:r>
        <w:rPr>
          <w:rFonts w:ascii="Book Antiqua" w:hAnsi="Book Antiqua" w:cs="Times New Roman"/>
          <w:i/>
          <w:iCs/>
          <w:color w:val="000000" w:themeColor="text1"/>
          <w:sz w:val="24"/>
          <w:szCs w:val="24"/>
          <w:lang w:val="sr-Latn-RS"/>
        </w:rPr>
        <w:t>T. citrinoviride</w:t>
      </w:r>
      <w:r>
        <w:rPr>
          <w:rFonts w:ascii="Book Antiqua" w:hAnsi="Book Antiqua" w:cs="Times New Roman"/>
          <w:color w:val="000000" w:themeColor="text1"/>
          <w:sz w:val="24"/>
          <w:szCs w:val="24"/>
          <w:lang w:val="sr-Latn-RS"/>
        </w:rPr>
        <w:t xml:space="preserve"> T-CG prema patogenima prouzrokovačima eska oboljenja, nema statistički značajne razlike (</w:t>
      </w:r>
      <w:r>
        <w:rPr>
          <w:rFonts w:ascii="Book Antiqua" w:hAnsi="Book Antiqua" w:cs="Times New Roman"/>
          <w:i/>
          <w:iCs/>
          <w:color w:val="000000" w:themeColor="text1"/>
          <w:sz w:val="24"/>
          <w:szCs w:val="24"/>
          <w:lang w:val="sr-Latn-RS"/>
        </w:rPr>
        <w:t>p</w:t>
      </w:r>
      <w:r>
        <w:rPr>
          <w:rFonts w:ascii="Book Antiqua" w:hAnsi="Book Antiqua" w:cs="Times New Roman"/>
          <w:color w:val="000000" w:themeColor="text1"/>
          <w:sz w:val="24"/>
          <w:szCs w:val="24"/>
          <w:lang w:val="sr-Latn-RS"/>
        </w:rPr>
        <w:t xml:space="preserve">=0.82 – </w:t>
      </w:r>
      <w:r>
        <w:rPr>
          <w:rFonts w:ascii="Book Antiqua" w:hAnsi="Book Antiqua" w:cs="Times New Roman"/>
          <w:i/>
          <w:iCs/>
          <w:color w:val="000000" w:themeColor="text1"/>
          <w:sz w:val="24"/>
          <w:szCs w:val="24"/>
          <w:lang w:val="sr-Latn-RS"/>
        </w:rPr>
        <w:t>P. minimum</w:t>
      </w:r>
      <w:r>
        <w:rPr>
          <w:rFonts w:ascii="Book Antiqua" w:hAnsi="Book Antiqua" w:cs="Times New Roman"/>
          <w:color w:val="000000" w:themeColor="text1"/>
          <w:sz w:val="24"/>
          <w:szCs w:val="24"/>
          <w:lang w:val="sr-Latn-RS"/>
        </w:rPr>
        <w:t xml:space="preserve">; </w:t>
      </w:r>
      <w:r>
        <w:rPr>
          <w:rFonts w:ascii="Book Antiqua" w:hAnsi="Book Antiqua" w:cs="Times New Roman"/>
          <w:i/>
          <w:iCs/>
          <w:color w:val="000000" w:themeColor="text1"/>
          <w:sz w:val="24"/>
          <w:szCs w:val="24"/>
          <w:lang w:val="sr-Latn-RS"/>
        </w:rPr>
        <w:t>p</w:t>
      </w:r>
      <w:r>
        <w:rPr>
          <w:rFonts w:ascii="Book Antiqua" w:hAnsi="Book Antiqua" w:cs="Times New Roman"/>
          <w:color w:val="000000" w:themeColor="text1"/>
          <w:sz w:val="24"/>
          <w:szCs w:val="24"/>
          <w:lang w:val="sr-Latn-RS"/>
        </w:rPr>
        <w:t xml:space="preserve">=0.43 – </w:t>
      </w:r>
      <w:r>
        <w:rPr>
          <w:rFonts w:ascii="Book Antiqua" w:hAnsi="Book Antiqua" w:cs="Times New Roman"/>
          <w:i/>
          <w:iCs/>
          <w:color w:val="000000" w:themeColor="text1"/>
          <w:sz w:val="24"/>
          <w:szCs w:val="24"/>
          <w:lang w:val="sr-Latn-RS"/>
        </w:rPr>
        <w:t>P. chlamydospora</w:t>
      </w:r>
      <w:r>
        <w:rPr>
          <w:rFonts w:ascii="Book Antiqua" w:hAnsi="Book Antiqua" w:cs="Times New Roman"/>
          <w:color w:val="000000" w:themeColor="text1"/>
          <w:sz w:val="24"/>
          <w:szCs w:val="24"/>
          <w:lang w:val="sr-Latn-RS"/>
        </w:rPr>
        <w:t xml:space="preserve">; </w:t>
      </w:r>
      <w:r>
        <w:rPr>
          <w:rFonts w:ascii="Book Antiqua" w:hAnsi="Book Antiqua" w:cs="Times New Roman"/>
          <w:i/>
          <w:iCs/>
          <w:color w:val="000000" w:themeColor="text1"/>
          <w:sz w:val="24"/>
          <w:szCs w:val="24"/>
          <w:lang w:val="sr-Latn-RS"/>
        </w:rPr>
        <w:t>p</w:t>
      </w:r>
      <w:r>
        <w:rPr>
          <w:rFonts w:ascii="Book Antiqua" w:hAnsi="Book Antiqua" w:cs="Times New Roman"/>
          <w:color w:val="000000" w:themeColor="text1"/>
          <w:sz w:val="24"/>
          <w:szCs w:val="24"/>
          <w:lang w:val="sr-Latn-RS"/>
        </w:rPr>
        <w:t xml:space="preserve">=0.13 – </w:t>
      </w:r>
      <w:r>
        <w:rPr>
          <w:rFonts w:ascii="Book Antiqua" w:hAnsi="Book Antiqua" w:cs="Times New Roman"/>
          <w:i/>
          <w:iCs/>
          <w:color w:val="000000" w:themeColor="text1"/>
          <w:sz w:val="24"/>
          <w:szCs w:val="24"/>
          <w:lang w:val="sr-Latn-RS"/>
        </w:rPr>
        <w:t>F. mediterranea</w:t>
      </w:r>
      <w:r>
        <w:rPr>
          <w:rFonts w:ascii="Book Antiqua" w:hAnsi="Book Antiqua" w:cs="Times New Roman"/>
          <w:color w:val="000000" w:themeColor="text1"/>
          <w:sz w:val="24"/>
          <w:szCs w:val="24"/>
          <w:lang w:val="sr-Latn-RS"/>
        </w:rPr>
        <w:t>)</w:t>
      </w:r>
    </w:p>
    <w:p w14:paraId="38823B5C" w14:textId="77777777" w:rsidR="003801E8" w:rsidRDefault="00E44AAE">
      <w:pPr>
        <w:tabs>
          <w:tab w:val="left" w:pos="3315"/>
        </w:tabs>
        <w:spacing w:line="360" w:lineRule="auto"/>
        <w:jc w:val="both"/>
        <w:rPr>
          <w:rFonts w:ascii="Book Antiqua" w:hAnsi="Book Antiqua" w:cs="Times New Roman"/>
          <w:color w:val="000000" w:themeColor="text1"/>
          <w:sz w:val="22"/>
          <w:szCs w:val="22"/>
          <w:lang w:val="sr-Latn-RS"/>
        </w:rPr>
      </w:pPr>
      <w:r>
        <w:rPr>
          <w:rFonts w:ascii="Book Antiqua" w:hAnsi="Book Antiqua" w:cs="Times New Roman"/>
          <w:b/>
          <w:bCs/>
          <w:color w:val="000000" w:themeColor="text1"/>
          <w:sz w:val="22"/>
          <w:szCs w:val="22"/>
          <w:lang w:val="sr-Latn-RS"/>
        </w:rPr>
        <w:t>Tabela 20</w:t>
      </w:r>
      <w:r>
        <w:rPr>
          <w:rFonts w:ascii="Book Antiqua" w:hAnsi="Book Antiqua" w:cs="Times New Roman"/>
          <w:color w:val="000000" w:themeColor="text1"/>
          <w:sz w:val="22"/>
          <w:szCs w:val="22"/>
          <w:lang w:val="sr-Latn-RS"/>
        </w:rPr>
        <w:t xml:space="preserve">. Rezultati direktnog </w:t>
      </w:r>
      <w:r>
        <w:rPr>
          <w:rFonts w:ascii="Book Antiqua" w:hAnsi="Book Antiqua" w:cs="Times New Roman"/>
          <w:i/>
          <w:iCs/>
          <w:color w:val="000000" w:themeColor="text1"/>
          <w:sz w:val="22"/>
          <w:szCs w:val="22"/>
          <w:lang w:val="sr-Latn-RS"/>
        </w:rPr>
        <w:t>in vitro</w:t>
      </w:r>
      <w:r>
        <w:rPr>
          <w:rFonts w:ascii="Book Antiqua" w:hAnsi="Book Antiqua" w:cs="Times New Roman"/>
          <w:color w:val="000000" w:themeColor="text1"/>
          <w:sz w:val="22"/>
          <w:szCs w:val="22"/>
          <w:lang w:val="sr-Latn-RS"/>
        </w:rPr>
        <w:t xml:space="preserve"> testa </w:t>
      </w:r>
      <w:r>
        <w:rPr>
          <w:rFonts w:ascii="Book Antiqua" w:hAnsi="Book Antiqua" w:cs="Times New Roman"/>
          <w:i/>
          <w:iCs/>
          <w:color w:val="000000" w:themeColor="text1"/>
          <w:sz w:val="22"/>
          <w:szCs w:val="22"/>
          <w:lang w:val="sr-Latn-RS"/>
        </w:rPr>
        <w:t>T. citrinoviride</w:t>
      </w:r>
      <w:r>
        <w:rPr>
          <w:rFonts w:ascii="Book Antiqua" w:hAnsi="Book Antiqua" w:cs="Times New Roman"/>
          <w:color w:val="000000" w:themeColor="text1"/>
          <w:sz w:val="22"/>
          <w:szCs w:val="22"/>
          <w:lang w:val="sr-Latn-RS"/>
        </w:rPr>
        <w:t xml:space="preserve"> T-CG i </w:t>
      </w:r>
      <w:r>
        <w:rPr>
          <w:rFonts w:ascii="Book Antiqua" w:hAnsi="Book Antiqua" w:cs="Times New Roman"/>
          <w:i/>
          <w:iCs/>
          <w:color w:val="000000" w:themeColor="text1"/>
          <w:sz w:val="22"/>
          <w:szCs w:val="22"/>
          <w:lang w:val="sr-Latn-RS"/>
        </w:rPr>
        <w:t>T. atroviride</w:t>
      </w:r>
      <w:r>
        <w:rPr>
          <w:rFonts w:ascii="Book Antiqua" w:hAnsi="Book Antiqua" w:cs="Times New Roman"/>
          <w:color w:val="000000" w:themeColor="text1"/>
          <w:sz w:val="22"/>
          <w:szCs w:val="22"/>
          <w:lang w:val="sr-Latn-RS"/>
        </w:rPr>
        <w:t xml:space="preserve"> SC1 prema patogenima prouzrokovačima eska oboljenja </w:t>
      </w:r>
    </w:p>
    <w:tbl>
      <w:tblPr>
        <w:tblStyle w:val="TableGrid"/>
        <w:tblW w:w="0" w:type="auto"/>
        <w:tblLayout w:type="fixed"/>
        <w:tblLook w:val="04A0" w:firstRow="1" w:lastRow="0" w:firstColumn="1" w:lastColumn="0" w:noHBand="0" w:noVBand="1"/>
      </w:tblPr>
      <w:tblGrid>
        <w:gridCol w:w="851"/>
        <w:gridCol w:w="142"/>
        <w:gridCol w:w="708"/>
        <w:gridCol w:w="851"/>
        <w:gridCol w:w="840"/>
        <w:gridCol w:w="794"/>
        <w:gridCol w:w="917"/>
        <w:gridCol w:w="709"/>
        <w:gridCol w:w="787"/>
        <w:gridCol w:w="988"/>
        <w:gridCol w:w="917"/>
      </w:tblGrid>
      <w:tr w:rsidR="003801E8" w14:paraId="64D7A76D" w14:textId="77777777">
        <w:tc>
          <w:tcPr>
            <w:tcW w:w="993" w:type="dxa"/>
            <w:gridSpan w:val="2"/>
            <w:tcBorders>
              <w:left w:val="nil"/>
              <w:right w:val="nil"/>
            </w:tcBorders>
          </w:tcPr>
          <w:p w14:paraId="772C0CF0" w14:textId="77777777" w:rsidR="003801E8" w:rsidRDefault="003801E8">
            <w:pPr>
              <w:tabs>
                <w:tab w:val="left" w:pos="3315"/>
              </w:tabs>
              <w:spacing w:after="0" w:line="360" w:lineRule="auto"/>
              <w:jc w:val="both"/>
              <w:rPr>
                <w:rFonts w:ascii="Book Antiqua" w:hAnsi="Book Antiqua" w:cs="Times New Roman"/>
                <w:b/>
                <w:bCs/>
                <w:color w:val="000000" w:themeColor="text1"/>
                <w:sz w:val="18"/>
                <w:szCs w:val="18"/>
                <w:lang w:val="en-US"/>
              </w:rPr>
            </w:pPr>
          </w:p>
          <w:p w14:paraId="6FF94F31" w14:textId="77777777" w:rsidR="003801E8" w:rsidRDefault="00E44AAE">
            <w:pPr>
              <w:tabs>
                <w:tab w:val="left" w:pos="3315"/>
              </w:tabs>
              <w:spacing w:after="0" w:line="360" w:lineRule="auto"/>
              <w:jc w:val="both"/>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 xml:space="preserve">Oznaka </w:t>
            </w:r>
          </w:p>
        </w:tc>
        <w:tc>
          <w:tcPr>
            <w:tcW w:w="708" w:type="dxa"/>
            <w:tcBorders>
              <w:left w:val="nil"/>
              <w:right w:val="nil"/>
            </w:tcBorders>
          </w:tcPr>
          <w:p w14:paraId="4A5FFC51"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i/>
                <w:iCs/>
                <w:color w:val="000000" w:themeColor="text1"/>
                <w:sz w:val="18"/>
                <w:szCs w:val="18"/>
                <w:lang w:val="en-US"/>
              </w:rPr>
              <w:t>T. cit</w:t>
            </w:r>
            <w:r>
              <w:rPr>
                <w:rFonts w:ascii="Book Antiqua" w:hAnsi="Book Antiqua" w:cs="Times New Roman"/>
                <w:b/>
                <w:bCs/>
                <w:color w:val="000000" w:themeColor="text1"/>
                <w:sz w:val="18"/>
                <w:szCs w:val="18"/>
                <w:lang w:val="en-US"/>
              </w:rPr>
              <w:t xml:space="preserve"> x </w:t>
            </w:r>
            <w:r>
              <w:rPr>
                <w:rFonts w:ascii="Book Antiqua" w:hAnsi="Book Antiqua" w:cs="Times New Roman"/>
                <w:b/>
                <w:bCs/>
                <w:i/>
                <w:iCs/>
                <w:color w:val="000000" w:themeColor="text1"/>
                <w:sz w:val="18"/>
                <w:szCs w:val="18"/>
                <w:lang w:val="en-US"/>
              </w:rPr>
              <w:t>P. min (mm)</w:t>
            </w:r>
          </w:p>
        </w:tc>
        <w:tc>
          <w:tcPr>
            <w:tcW w:w="851" w:type="dxa"/>
            <w:tcBorders>
              <w:left w:val="nil"/>
              <w:right w:val="nil"/>
            </w:tcBorders>
          </w:tcPr>
          <w:p w14:paraId="5F5F9075"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i/>
                <w:iCs/>
                <w:color w:val="000000" w:themeColor="text1"/>
                <w:sz w:val="18"/>
                <w:szCs w:val="18"/>
                <w:lang w:val="en-US"/>
              </w:rPr>
              <w:t>T. atr</w:t>
            </w:r>
            <w:r>
              <w:rPr>
                <w:rFonts w:ascii="Book Antiqua" w:hAnsi="Book Antiqua" w:cs="Times New Roman"/>
                <w:b/>
                <w:bCs/>
                <w:color w:val="000000" w:themeColor="text1"/>
                <w:sz w:val="18"/>
                <w:szCs w:val="18"/>
                <w:lang w:val="en-US"/>
              </w:rPr>
              <w:t xml:space="preserve"> SC1 x </w:t>
            </w:r>
            <w:r>
              <w:rPr>
                <w:rFonts w:ascii="Book Antiqua" w:hAnsi="Book Antiqua" w:cs="Times New Roman"/>
                <w:b/>
                <w:bCs/>
                <w:i/>
                <w:iCs/>
                <w:color w:val="000000" w:themeColor="text1"/>
                <w:sz w:val="18"/>
                <w:szCs w:val="18"/>
                <w:lang w:val="en-US"/>
              </w:rPr>
              <w:t>P. min (mm)</w:t>
            </w:r>
          </w:p>
        </w:tc>
        <w:tc>
          <w:tcPr>
            <w:tcW w:w="840" w:type="dxa"/>
            <w:tcBorders>
              <w:left w:val="nil"/>
              <w:right w:val="nil"/>
            </w:tcBorders>
          </w:tcPr>
          <w:p w14:paraId="7035BAF5"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i/>
                <w:iCs/>
                <w:color w:val="000000" w:themeColor="text1"/>
                <w:sz w:val="18"/>
                <w:szCs w:val="18"/>
                <w:lang w:val="en-US"/>
              </w:rPr>
              <w:t>P. min</w:t>
            </w:r>
            <w:r>
              <w:rPr>
                <w:rFonts w:ascii="Book Antiqua" w:hAnsi="Book Antiqua" w:cs="Times New Roman"/>
                <w:b/>
                <w:bCs/>
                <w:color w:val="000000" w:themeColor="text1"/>
                <w:sz w:val="18"/>
                <w:szCs w:val="18"/>
                <w:lang w:val="en-US"/>
              </w:rPr>
              <w:t xml:space="preserve"> K (mm)</w:t>
            </w:r>
          </w:p>
        </w:tc>
        <w:tc>
          <w:tcPr>
            <w:tcW w:w="794" w:type="dxa"/>
            <w:tcBorders>
              <w:left w:val="nil"/>
              <w:right w:val="nil"/>
            </w:tcBorders>
          </w:tcPr>
          <w:p w14:paraId="58523CC4"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i/>
                <w:iCs/>
                <w:color w:val="000000" w:themeColor="text1"/>
                <w:sz w:val="18"/>
                <w:szCs w:val="18"/>
                <w:lang w:val="en-US"/>
              </w:rPr>
              <w:t>T. cit</w:t>
            </w:r>
            <w:r>
              <w:rPr>
                <w:rFonts w:ascii="Book Antiqua" w:hAnsi="Book Antiqua" w:cs="Times New Roman"/>
                <w:b/>
                <w:bCs/>
                <w:color w:val="000000" w:themeColor="text1"/>
                <w:sz w:val="18"/>
                <w:szCs w:val="18"/>
                <w:lang w:val="en-US"/>
              </w:rPr>
              <w:t xml:space="preserve"> x </w:t>
            </w:r>
            <w:r>
              <w:rPr>
                <w:rFonts w:ascii="Book Antiqua" w:hAnsi="Book Antiqua" w:cs="Times New Roman"/>
                <w:b/>
                <w:bCs/>
                <w:i/>
                <w:iCs/>
                <w:color w:val="000000" w:themeColor="text1"/>
                <w:sz w:val="18"/>
                <w:szCs w:val="18"/>
                <w:lang w:val="en-US"/>
              </w:rPr>
              <w:t>P. chl (mm)</w:t>
            </w:r>
          </w:p>
        </w:tc>
        <w:tc>
          <w:tcPr>
            <w:tcW w:w="917" w:type="dxa"/>
            <w:tcBorders>
              <w:left w:val="nil"/>
              <w:right w:val="nil"/>
            </w:tcBorders>
          </w:tcPr>
          <w:p w14:paraId="65F21D77"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i/>
                <w:iCs/>
                <w:color w:val="000000" w:themeColor="text1"/>
                <w:sz w:val="18"/>
                <w:szCs w:val="18"/>
                <w:lang w:val="en-US"/>
              </w:rPr>
              <w:t>T. atr</w:t>
            </w:r>
            <w:r>
              <w:rPr>
                <w:rFonts w:ascii="Book Antiqua" w:hAnsi="Book Antiqua" w:cs="Times New Roman"/>
                <w:b/>
                <w:bCs/>
                <w:color w:val="000000" w:themeColor="text1"/>
                <w:sz w:val="18"/>
                <w:szCs w:val="18"/>
                <w:lang w:val="en-US"/>
              </w:rPr>
              <w:t xml:space="preserve"> SC1 x </w:t>
            </w:r>
            <w:r>
              <w:rPr>
                <w:rFonts w:ascii="Book Antiqua" w:hAnsi="Book Antiqua" w:cs="Times New Roman"/>
                <w:b/>
                <w:bCs/>
                <w:i/>
                <w:iCs/>
                <w:color w:val="000000" w:themeColor="text1"/>
                <w:sz w:val="18"/>
                <w:szCs w:val="18"/>
                <w:lang w:val="en-US"/>
              </w:rPr>
              <w:t>P. chl (mm)</w:t>
            </w:r>
          </w:p>
        </w:tc>
        <w:tc>
          <w:tcPr>
            <w:tcW w:w="709" w:type="dxa"/>
            <w:tcBorders>
              <w:left w:val="nil"/>
              <w:right w:val="nil"/>
            </w:tcBorders>
          </w:tcPr>
          <w:p w14:paraId="14615E83"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i/>
                <w:iCs/>
                <w:color w:val="000000" w:themeColor="text1"/>
                <w:sz w:val="18"/>
                <w:szCs w:val="18"/>
                <w:lang w:val="en-US"/>
              </w:rPr>
              <w:t>P.chl</w:t>
            </w:r>
            <w:r>
              <w:rPr>
                <w:rFonts w:ascii="Book Antiqua" w:hAnsi="Book Antiqua" w:cs="Times New Roman"/>
                <w:b/>
                <w:bCs/>
                <w:color w:val="000000" w:themeColor="text1"/>
                <w:sz w:val="18"/>
                <w:szCs w:val="18"/>
                <w:lang w:val="en-US"/>
              </w:rPr>
              <w:t xml:space="preserve">  K (mm)</w:t>
            </w:r>
          </w:p>
        </w:tc>
        <w:tc>
          <w:tcPr>
            <w:tcW w:w="787" w:type="dxa"/>
            <w:tcBorders>
              <w:left w:val="nil"/>
              <w:right w:val="nil"/>
            </w:tcBorders>
          </w:tcPr>
          <w:p w14:paraId="767379DD"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i/>
                <w:iCs/>
                <w:color w:val="000000" w:themeColor="text1"/>
                <w:sz w:val="18"/>
                <w:szCs w:val="18"/>
                <w:lang w:val="en-US"/>
              </w:rPr>
              <w:t>T. cit</w:t>
            </w:r>
            <w:r>
              <w:rPr>
                <w:rFonts w:ascii="Book Antiqua" w:hAnsi="Book Antiqua" w:cs="Times New Roman"/>
                <w:b/>
                <w:bCs/>
                <w:color w:val="000000" w:themeColor="text1"/>
                <w:sz w:val="18"/>
                <w:szCs w:val="18"/>
                <w:lang w:val="en-US"/>
              </w:rPr>
              <w:t xml:space="preserve"> x </w:t>
            </w:r>
            <w:r>
              <w:rPr>
                <w:rFonts w:ascii="Book Antiqua" w:hAnsi="Book Antiqua" w:cs="Times New Roman"/>
                <w:b/>
                <w:bCs/>
                <w:i/>
                <w:iCs/>
                <w:color w:val="000000" w:themeColor="text1"/>
                <w:sz w:val="18"/>
                <w:szCs w:val="18"/>
                <w:lang w:val="en-US"/>
              </w:rPr>
              <w:t>F. med (mm)</w:t>
            </w:r>
          </w:p>
        </w:tc>
        <w:tc>
          <w:tcPr>
            <w:tcW w:w="988" w:type="dxa"/>
            <w:tcBorders>
              <w:left w:val="nil"/>
              <w:right w:val="nil"/>
            </w:tcBorders>
          </w:tcPr>
          <w:p w14:paraId="47170EEB"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i/>
                <w:iCs/>
                <w:color w:val="000000" w:themeColor="text1"/>
                <w:sz w:val="18"/>
                <w:szCs w:val="18"/>
                <w:lang w:val="en-US"/>
              </w:rPr>
              <w:t>T. atr</w:t>
            </w:r>
            <w:r>
              <w:rPr>
                <w:rFonts w:ascii="Book Antiqua" w:hAnsi="Book Antiqua" w:cs="Times New Roman"/>
                <w:b/>
                <w:bCs/>
                <w:color w:val="000000" w:themeColor="text1"/>
                <w:sz w:val="18"/>
                <w:szCs w:val="18"/>
                <w:lang w:val="en-US"/>
              </w:rPr>
              <w:t xml:space="preserve"> SC1 x </w:t>
            </w:r>
            <w:r>
              <w:rPr>
                <w:rFonts w:ascii="Book Antiqua" w:hAnsi="Book Antiqua" w:cs="Times New Roman"/>
                <w:b/>
                <w:bCs/>
                <w:i/>
                <w:iCs/>
                <w:color w:val="000000" w:themeColor="text1"/>
                <w:sz w:val="18"/>
                <w:szCs w:val="18"/>
                <w:lang w:val="en-US"/>
              </w:rPr>
              <w:t>F. med (mm)</w:t>
            </w:r>
          </w:p>
        </w:tc>
        <w:tc>
          <w:tcPr>
            <w:tcW w:w="917" w:type="dxa"/>
            <w:tcBorders>
              <w:left w:val="nil"/>
              <w:right w:val="nil"/>
            </w:tcBorders>
          </w:tcPr>
          <w:p w14:paraId="5AA41C1F"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i/>
                <w:iCs/>
                <w:color w:val="000000" w:themeColor="text1"/>
                <w:sz w:val="18"/>
                <w:szCs w:val="18"/>
                <w:lang w:val="en-US"/>
              </w:rPr>
              <w:t>F. med</w:t>
            </w:r>
            <w:r>
              <w:rPr>
                <w:rFonts w:ascii="Book Antiqua" w:hAnsi="Book Antiqua" w:cs="Times New Roman"/>
                <w:b/>
                <w:bCs/>
                <w:color w:val="000000" w:themeColor="text1"/>
                <w:sz w:val="18"/>
                <w:szCs w:val="18"/>
                <w:lang w:val="en-US"/>
              </w:rPr>
              <w:t xml:space="preserve"> K (mm)</w:t>
            </w:r>
          </w:p>
        </w:tc>
      </w:tr>
      <w:tr w:rsidR="003801E8" w14:paraId="27530B90" w14:textId="77777777">
        <w:tc>
          <w:tcPr>
            <w:tcW w:w="851" w:type="dxa"/>
            <w:tcBorders>
              <w:left w:val="nil"/>
              <w:right w:val="nil"/>
            </w:tcBorders>
          </w:tcPr>
          <w:p w14:paraId="403EFC74"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P1</w:t>
            </w:r>
          </w:p>
        </w:tc>
        <w:tc>
          <w:tcPr>
            <w:tcW w:w="850" w:type="dxa"/>
            <w:gridSpan w:val="2"/>
            <w:tcBorders>
              <w:left w:val="nil"/>
              <w:right w:val="nil"/>
            </w:tcBorders>
          </w:tcPr>
          <w:p w14:paraId="4B67D1A5"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6.5</w:t>
            </w:r>
          </w:p>
        </w:tc>
        <w:tc>
          <w:tcPr>
            <w:tcW w:w="851" w:type="dxa"/>
            <w:tcBorders>
              <w:left w:val="nil"/>
              <w:right w:val="nil"/>
            </w:tcBorders>
          </w:tcPr>
          <w:p w14:paraId="68E2892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6.5</w:t>
            </w:r>
          </w:p>
        </w:tc>
        <w:tc>
          <w:tcPr>
            <w:tcW w:w="840" w:type="dxa"/>
            <w:tcBorders>
              <w:left w:val="nil"/>
              <w:right w:val="nil"/>
            </w:tcBorders>
          </w:tcPr>
          <w:p w14:paraId="55B53BD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16</w:t>
            </w:r>
          </w:p>
        </w:tc>
        <w:tc>
          <w:tcPr>
            <w:tcW w:w="794" w:type="dxa"/>
            <w:tcBorders>
              <w:left w:val="nil"/>
              <w:right w:val="nil"/>
            </w:tcBorders>
          </w:tcPr>
          <w:p w14:paraId="24C5A5A9"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w:t>
            </w:r>
          </w:p>
        </w:tc>
        <w:tc>
          <w:tcPr>
            <w:tcW w:w="917" w:type="dxa"/>
            <w:tcBorders>
              <w:left w:val="nil"/>
              <w:right w:val="nil"/>
            </w:tcBorders>
          </w:tcPr>
          <w:p w14:paraId="4D711637"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w:t>
            </w:r>
          </w:p>
        </w:tc>
        <w:tc>
          <w:tcPr>
            <w:tcW w:w="709" w:type="dxa"/>
            <w:tcBorders>
              <w:left w:val="nil"/>
              <w:right w:val="nil"/>
            </w:tcBorders>
          </w:tcPr>
          <w:p w14:paraId="066E234F"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15</w:t>
            </w:r>
          </w:p>
        </w:tc>
        <w:tc>
          <w:tcPr>
            <w:tcW w:w="787" w:type="dxa"/>
            <w:tcBorders>
              <w:left w:val="nil"/>
              <w:right w:val="nil"/>
            </w:tcBorders>
          </w:tcPr>
          <w:p w14:paraId="4A4D53AF"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10</w:t>
            </w:r>
          </w:p>
        </w:tc>
        <w:tc>
          <w:tcPr>
            <w:tcW w:w="988" w:type="dxa"/>
            <w:tcBorders>
              <w:left w:val="nil"/>
              <w:right w:val="nil"/>
            </w:tcBorders>
          </w:tcPr>
          <w:p w14:paraId="13902D14"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11</w:t>
            </w:r>
          </w:p>
        </w:tc>
        <w:tc>
          <w:tcPr>
            <w:tcW w:w="917" w:type="dxa"/>
            <w:tcBorders>
              <w:left w:val="nil"/>
              <w:right w:val="nil"/>
            </w:tcBorders>
          </w:tcPr>
          <w:p w14:paraId="1D1E1D34"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29</w:t>
            </w:r>
          </w:p>
        </w:tc>
      </w:tr>
      <w:tr w:rsidR="003801E8" w14:paraId="0ECA0DC6" w14:textId="77777777">
        <w:tc>
          <w:tcPr>
            <w:tcW w:w="851" w:type="dxa"/>
            <w:tcBorders>
              <w:left w:val="nil"/>
              <w:right w:val="nil"/>
            </w:tcBorders>
          </w:tcPr>
          <w:p w14:paraId="37EF6B94"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P1</w:t>
            </w:r>
          </w:p>
        </w:tc>
        <w:tc>
          <w:tcPr>
            <w:tcW w:w="850" w:type="dxa"/>
            <w:gridSpan w:val="2"/>
            <w:tcBorders>
              <w:left w:val="nil"/>
              <w:right w:val="nil"/>
            </w:tcBorders>
          </w:tcPr>
          <w:p w14:paraId="76FEE58D"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851" w:type="dxa"/>
            <w:tcBorders>
              <w:left w:val="nil"/>
              <w:right w:val="nil"/>
            </w:tcBorders>
          </w:tcPr>
          <w:p w14:paraId="2BB95BCB"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840" w:type="dxa"/>
            <w:tcBorders>
              <w:left w:val="nil"/>
              <w:right w:val="nil"/>
            </w:tcBorders>
          </w:tcPr>
          <w:p w14:paraId="0103411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18</w:t>
            </w:r>
          </w:p>
        </w:tc>
        <w:tc>
          <w:tcPr>
            <w:tcW w:w="794" w:type="dxa"/>
            <w:tcBorders>
              <w:left w:val="nil"/>
              <w:right w:val="nil"/>
            </w:tcBorders>
          </w:tcPr>
          <w:p w14:paraId="74E571C9"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917" w:type="dxa"/>
            <w:tcBorders>
              <w:left w:val="nil"/>
              <w:right w:val="nil"/>
            </w:tcBorders>
          </w:tcPr>
          <w:p w14:paraId="214B2914"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709" w:type="dxa"/>
            <w:tcBorders>
              <w:left w:val="nil"/>
              <w:right w:val="nil"/>
            </w:tcBorders>
          </w:tcPr>
          <w:p w14:paraId="5B73A96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15</w:t>
            </w:r>
          </w:p>
        </w:tc>
        <w:tc>
          <w:tcPr>
            <w:tcW w:w="787" w:type="dxa"/>
            <w:tcBorders>
              <w:left w:val="nil"/>
              <w:right w:val="nil"/>
            </w:tcBorders>
          </w:tcPr>
          <w:p w14:paraId="7F37872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11</w:t>
            </w:r>
          </w:p>
        </w:tc>
        <w:tc>
          <w:tcPr>
            <w:tcW w:w="988" w:type="dxa"/>
            <w:tcBorders>
              <w:left w:val="nil"/>
              <w:right w:val="nil"/>
            </w:tcBorders>
          </w:tcPr>
          <w:p w14:paraId="1049954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8</w:t>
            </w:r>
          </w:p>
        </w:tc>
        <w:tc>
          <w:tcPr>
            <w:tcW w:w="917" w:type="dxa"/>
            <w:tcBorders>
              <w:left w:val="nil"/>
              <w:right w:val="nil"/>
            </w:tcBorders>
          </w:tcPr>
          <w:p w14:paraId="71EF923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31</w:t>
            </w:r>
          </w:p>
        </w:tc>
      </w:tr>
      <w:tr w:rsidR="003801E8" w14:paraId="0277E6DC" w14:textId="77777777">
        <w:tc>
          <w:tcPr>
            <w:tcW w:w="851" w:type="dxa"/>
            <w:tcBorders>
              <w:left w:val="nil"/>
              <w:right w:val="nil"/>
            </w:tcBorders>
          </w:tcPr>
          <w:p w14:paraId="787F0FB6"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P1</w:t>
            </w:r>
          </w:p>
        </w:tc>
        <w:tc>
          <w:tcPr>
            <w:tcW w:w="850" w:type="dxa"/>
            <w:gridSpan w:val="2"/>
            <w:tcBorders>
              <w:left w:val="nil"/>
              <w:right w:val="nil"/>
            </w:tcBorders>
          </w:tcPr>
          <w:p w14:paraId="3D8AAE75"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851" w:type="dxa"/>
            <w:tcBorders>
              <w:left w:val="nil"/>
              <w:right w:val="nil"/>
            </w:tcBorders>
          </w:tcPr>
          <w:p w14:paraId="0C53835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w:t>
            </w:r>
          </w:p>
        </w:tc>
        <w:tc>
          <w:tcPr>
            <w:tcW w:w="840" w:type="dxa"/>
            <w:tcBorders>
              <w:left w:val="nil"/>
              <w:right w:val="nil"/>
            </w:tcBorders>
          </w:tcPr>
          <w:p w14:paraId="7AE35DD9"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17</w:t>
            </w:r>
          </w:p>
        </w:tc>
        <w:tc>
          <w:tcPr>
            <w:tcW w:w="794" w:type="dxa"/>
            <w:tcBorders>
              <w:left w:val="nil"/>
              <w:right w:val="nil"/>
            </w:tcBorders>
          </w:tcPr>
          <w:p w14:paraId="7F945094"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917" w:type="dxa"/>
            <w:tcBorders>
              <w:left w:val="nil"/>
              <w:right w:val="nil"/>
            </w:tcBorders>
          </w:tcPr>
          <w:p w14:paraId="77E43C9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w:t>
            </w:r>
          </w:p>
        </w:tc>
        <w:tc>
          <w:tcPr>
            <w:tcW w:w="709" w:type="dxa"/>
            <w:tcBorders>
              <w:left w:val="nil"/>
              <w:right w:val="nil"/>
            </w:tcBorders>
          </w:tcPr>
          <w:p w14:paraId="09F6672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16</w:t>
            </w:r>
          </w:p>
        </w:tc>
        <w:tc>
          <w:tcPr>
            <w:tcW w:w="787" w:type="dxa"/>
            <w:tcBorders>
              <w:left w:val="nil"/>
              <w:right w:val="nil"/>
            </w:tcBorders>
          </w:tcPr>
          <w:p w14:paraId="4CE0BA8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11</w:t>
            </w:r>
          </w:p>
        </w:tc>
        <w:tc>
          <w:tcPr>
            <w:tcW w:w="988" w:type="dxa"/>
            <w:tcBorders>
              <w:left w:val="nil"/>
              <w:right w:val="nil"/>
            </w:tcBorders>
          </w:tcPr>
          <w:p w14:paraId="645FD78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9</w:t>
            </w:r>
          </w:p>
        </w:tc>
        <w:tc>
          <w:tcPr>
            <w:tcW w:w="917" w:type="dxa"/>
            <w:tcBorders>
              <w:left w:val="nil"/>
              <w:right w:val="nil"/>
            </w:tcBorders>
          </w:tcPr>
          <w:p w14:paraId="4BDD439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30</w:t>
            </w:r>
          </w:p>
        </w:tc>
      </w:tr>
      <w:tr w:rsidR="003801E8" w14:paraId="0C635BF6" w14:textId="77777777">
        <w:tc>
          <w:tcPr>
            <w:tcW w:w="851" w:type="dxa"/>
            <w:tcBorders>
              <w:left w:val="nil"/>
              <w:right w:val="nil"/>
            </w:tcBorders>
          </w:tcPr>
          <w:p w14:paraId="4CE02CF6"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P1</w:t>
            </w:r>
          </w:p>
        </w:tc>
        <w:tc>
          <w:tcPr>
            <w:tcW w:w="850" w:type="dxa"/>
            <w:gridSpan w:val="2"/>
            <w:tcBorders>
              <w:left w:val="nil"/>
              <w:right w:val="nil"/>
            </w:tcBorders>
          </w:tcPr>
          <w:p w14:paraId="4F29A532"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851" w:type="dxa"/>
            <w:tcBorders>
              <w:left w:val="nil"/>
              <w:right w:val="nil"/>
            </w:tcBorders>
          </w:tcPr>
          <w:p w14:paraId="0BB3591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w:t>
            </w:r>
          </w:p>
        </w:tc>
        <w:tc>
          <w:tcPr>
            <w:tcW w:w="840" w:type="dxa"/>
            <w:tcBorders>
              <w:left w:val="nil"/>
              <w:right w:val="nil"/>
            </w:tcBorders>
          </w:tcPr>
          <w:p w14:paraId="7A6E813A"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18</w:t>
            </w:r>
          </w:p>
        </w:tc>
        <w:tc>
          <w:tcPr>
            <w:tcW w:w="794" w:type="dxa"/>
            <w:tcBorders>
              <w:left w:val="nil"/>
              <w:right w:val="nil"/>
            </w:tcBorders>
          </w:tcPr>
          <w:p w14:paraId="7C608A26"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917" w:type="dxa"/>
            <w:tcBorders>
              <w:left w:val="nil"/>
              <w:right w:val="nil"/>
            </w:tcBorders>
          </w:tcPr>
          <w:p w14:paraId="1EA0CC3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w:t>
            </w:r>
          </w:p>
        </w:tc>
        <w:tc>
          <w:tcPr>
            <w:tcW w:w="709" w:type="dxa"/>
            <w:tcBorders>
              <w:left w:val="nil"/>
              <w:right w:val="nil"/>
            </w:tcBorders>
          </w:tcPr>
          <w:p w14:paraId="19C72FED"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15</w:t>
            </w:r>
          </w:p>
        </w:tc>
        <w:tc>
          <w:tcPr>
            <w:tcW w:w="787" w:type="dxa"/>
            <w:tcBorders>
              <w:left w:val="nil"/>
              <w:right w:val="nil"/>
            </w:tcBorders>
          </w:tcPr>
          <w:p w14:paraId="098657B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9</w:t>
            </w:r>
          </w:p>
        </w:tc>
        <w:tc>
          <w:tcPr>
            <w:tcW w:w="988" w:type="dxa"/>
            <w:tcBorders>
              <w:left w:val="nil"/>
              <w:right w:val="nil"/>
            </w:tcBorders>
          </w:tcPr>
          <w:p w14:paraId="01DEC472"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9</w:t>
            </w:r>
          </w:p>
        </w:tc>
        <w:tc>
          <w:tcPr>
            <w:tcW w:w="917" w:type="dxa"/>
            <w:tcBorders>
              <w:left w:val="nil"/>
              <w:right w:val="nil"/>
            </w:tcBorders>
          </w:tcPr>
          <w:p w14:paraId="5A23042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32</w:t>
            </w:r>
          </w:p>
        </w:tc>
      </w:tr>
      <w:tr w:rsidR="003801E8" w14:paraId="548B4944" w14:textId="77777777">
        <w:tc>
          <w:tcPr>
            <w:tcW w:w="851" w:type="dxa"/>
            <w:tcBorders>
              <w:left w:val="nil"/>
              <w:right w:val="nil"/>
            </w:tcBorders>
          </w:tcPr>
          <w:p w14:paraId="5ACBA649"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P2</w:t>
            </w:r>
          </w:p>
        </w:tc>
        <w:tc>
          <w:tcPr>
            <w:tcW w:w="850" w:type="dxa"/>
            <w:gridSpan w:val="2"/>
            <w:tcBorders>
              <w:left w:val="nil"/>
              <w:right w:val="nil"/>
            </w:tcBorders>
          </w:tcPr>
          <w:p w14:paraId="51B72805"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851" w:type="dxa"/>
            <w:tcBorders>
              <w:left w:val="nil"/>
              <w:right w:val="nil"/>
            </w:tcBorders>
          </w:tcPr>
          <w:p w14:paraId="7A871810"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840" w:type="dxa"/>
            <w:tcBorders>
              <w:left w:val="nil"/>
              <w:right w:val="nil"/>
            </w:tcBorders>
          </w:tcPr>
          <w:p w14:paraId="2BB30C42"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18</w:t>
            </w:r>
          </w:p>
        </w:tc>
        <w:tc>
          <w:tcPr>
            <w:tcW w:w="794" w:type="dxa"/>
            <w:tcBorders>
              <w:left w:val="nil"/>
              <w:right w:val="nil"/>
            </w:tcBorders>
          </w:tcPr>
          <w:p w14:paraId="0EEA0FE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917" w:type="dxa"/>
            <w:tcBorders>
              <w:left w:val="nil"/>
              <w:right w:val="nil"/>
            </w:tcBorders>
          </w:tcPr>
          <w:p w14:paraId="4471C9AB"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709" w:type="dxa"/>
            <w:tcBorders>
              <w:left w:val="nil"/>
              <w:right w:val="nil"/>
            </w:tcBorders>
          </w:tcPr>
          <w:p w14:paraId="5C528567"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15</w:t>
            </w:r>
          </w:p>
        </w:tc>
        <w:tc>
          <w:tcPr>
            <w:tcW w:w="787" w:type="dxa"/>
            <w:tcBorders>
              <w:left w:val="nil"/>
              <w:right w:val="nil"/>
            </w:tcBorders>
          </w:tcPr>
          <w:p w14:paraId="64D4A9EA"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10</w:t>
            </w:r>
          </w:p>
        </w:tc>
        <w:tc>
          <w:tcPr>
            <w:tcW w:w="988" w:type="dxa"/>
            <w:tcBorders>
              <w:left w:val="nil"/>
              <w:right w:val="nil"/>
            </w:tcBorders>
          </w:tcPr>
          <w:p w14:paraId="4D876C9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10</w:t>
            </w:r>
          </w:p>
        </w:tc>
        <w:tc>
          <w:tcPr>
            <w:tcW w:w="917" w:type="dxa"/>
            <w:tcBorders>
              <w:left w:val="nil"/>
              <w:right w:val="nil"/>
            </w:tcBorders>
          </w:tcPr>
          <w:p w14:paraId="5F5ED7D7"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33</w:t>
            </w:r>
          </w:p>
        </w:tc>
      </w:tr>
      <w:tr w:rsidR="003801E8" w14:paraId="365E7091" w14:textId="77777777">
        <w:tc>
          <w:tcPr>
            <w:tcW w:w="851" w:type="dxa"/>
            <w:tcBorders>
              <w:left w:val="nil"/>
              <w:right w:val="nil"/>
            </w:tcBorders>
          </w:tcPr>
          <w:p w14:paraId="7E86A0B2"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P2</w:t>
            </w:r>
          </w:p>
        </w:tc>
        <w:tc>
          <w:tcPr>
            <w:tcW w:w="850" w:type="dxa"/>
            <w:gridSpan w:val="2"/>
            <w:tcBorders>
              <w:left w:val="nil"/>
              <w:right w:val="nil"/>
            </w:tcBorders>
          </w:tcPr>
          <w:p w14:paraId="0DCFDB8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851" w:type="dxa"/>
            <w:tcBorders>
              <w:left w:val="nil"/>
              <w:right w:val="nil"/>
            </w:tcBorders>
          </w:tcPr>
          <w:p w14:paraId="7A26990B"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840" w:type="dxa"/>
            <w:tcBorders>
              <w:left w:val="nil"/>
              <w:right w:val="nil"/>
            </w:tcBorders>
          </w:tcPr>
          <w:p w14:paraId="35CA3F9F"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18</w:t>
            </w:r>
          </w:p>
        </w:tc>
        <w:tc>
          <w:tcPr>
            <w:tcW w:w="794" w:type="dxa"/>
            <w:tcBorders>
              <w:left w:val="nil"/>
              <w:right w:val="nil"/>
            </w:tcBorders>
          </w:tcPr>
          <w:p w14:paraId="2AF77DB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917" w:type="dxa"/>
            <w:tcBorders>
              <w:left w:val="nil"/>
              <w:right w:val="nil"/>
            </w:tcBorders>
          </w:tcPr>
          <w:p w14:paraId="739ED634"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709" w:type="dxa"/>
            <w:tcBorders>
              <w:left w:val="nil"/>
              <w:right w:val="nil"/>
            </w:tcBorders>
          </w:tcPr>
          <w:p w14:paraId="2F8C8B5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15</w:t>
            </w:r>
          </w:p>
        </w:tc>
        <w:tc>
          <w:tcPr>
            <w:tcW w:w="787" w:type="dxa"/>
            <w:tcBorders>
              <w:left w:val="nil"/>
              <w:right w:val="nil"/>
            </w:tcBorders>
          </w:tcPr>
          <w:p w14:paraId="3DCA6B96"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10</w:t>
            </w:r>
          </w:p>
        </w:tc>
        <w:tc>
          <w:tcPr>
            <w:tcW w:w="988" w:type="dxa"/>
            <w:tcBorders>
              <w:left w:val="nil"/>
              <w:right w:val="nil"/>
            </w:tcBorders>
          </w:tcPr>
          <w:p w14:paraId="198E3150"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10</w:t>
            </w:r>
          </w:p>
        </w:tc>
        <w:tc>
          <w:tcPr>
            <w:tcW w:w="917" w:type="dxa"/>
            <w:tcBorders>
              <w:left w:val="nil"/>
              <w:right w:val="nil"/>
            </w:tcBorders>
          </w:tcPr>
          <w:p w14:paraId="7F06790A"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32</w:t>
            </w:r>
          </w:p>
        </w:tc>
      </w:tr>
      <w:tr w:rsidR="003801E8" w14:paraId="185D8F36" w14:textId="77777777">
        <w:tc>
          <w:tcPr>
            <w:tcW w:w="851" w:type="dxa"/>
            <w:tcBorders>
              <w:left w:val="nil"/>
              <w:right w:val="nil"/>
            </w:tcBorders>
          </w:tcPr>
          <w:p w14:paraId="60112EEF"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P2</w:t>
            </w:r>
          </w:p>
        </w:tc>
        <w:tc>
          <w:tcPr>
            <w:tcW w:w="850" w:type="dxa"/>
            <w:gridSpan w:val="2"/>
            <w:tcBorders>
              <w:left w:val="nil"/>
              <w:right w:val="nil"/>
            </w:tcBorders>
          </w:tcPr>
          <w:p w14:paraId="0E4272E0"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w:t>
            </w:r>
          </w:p>
        </w:tc>
        <w:tc>
          <w:tcPr>
            <w:tcW w:w="851" w:type="dxa"/>
            <w:tcBorders>
              <w:left w:val="nil"/>
              <w:right w:val="nil"/>
            </w:tcBorders>
          </w:tcPr>
          <w:p w14:paraId="263DAC0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840" w:type="dxa"/>
            <w:tcBorders>
              <w:left w:val="nil"/>
              <w:right w:val="nil"/>
            </w:tcBorders>
          </w:tcPr>
          <w:p w14:paraId="26FC77C9"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17</w:t>
            </w:r>
          </w:p>
        </w:tc>
        <w:tc>
          <w:tcPr>
            <w:tcW w:w="794" w:type="dxa"/>
            <w:tcBorders>
              <w:left w:val="nil"/>
              <w:right w:val="nil"/>
            </w:tcBorders>
          </w:tcPr>
          <w:p w14:paraId="3E8C103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917" w:type="dxa"/>
            <w:tcBorders>
              <w:left w:val="nil"/>
              <w:right w:val="nil"/>
            </w:tcBorders>
          </w:tcPr>
          <w:p w14:paraId="1E560E2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709" w:type="dxa"/>
            <w:tcBorders>
              <w:left w:val="nil"/>
              <w:right w:val="nil"/>
            </w:tcBorders>
          </w:tcPr>
          <w:p w14:paraId="6669CCA7"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15</w:t>
            </w:r>
          </w:p>
        </w:tc>
        <w:tc>
          <w:tcPr>
            <w:tcW w:w="787" w:type="dxa"/>
            <w:tcBorders>
              <w:left w:val="nil"/>
              <w:right w:val="nil"/>
            </w:tcBorders>
          </w:tcPr>
          <w:p w14:paraId="03DCFE62"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10</w:t>
            </w:r>
          </w:p>
        </w:tc>
        <w:tc>
          <w:tcPr>
            <w:tcW w:w="988" w:type="dxa"/>
            <w:tcBorders>
              <w:left w:val="nil"/>
              <w:right w:val="nil"/>
            </w:tcBorders>
          </w:tcPr>
          <w:p w14:paraId="5017B5AA"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9</w:t>
            </w:r>
          </w:p>
        </w:tc>
        <w:tc>
          <w:tcPr>
            <w:tcW w:w="917" w:type="dxa"/>
            <w:tcBorders>
              <w:left w:val="nil"/>
              <w:right w:val="nil"/>
            </w:tcBorders>
          </w:tcPr>
          <w:p w14:paraId="38A12036"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31</w:t>
            </w:r>
          </w:p>
        </w:tc>
      </w:tr>
      <w:tr w:rsidR="003801E8" w14:paraId="017DF47C" w14:textId="77777777">
        <w:tc>
          <w:tcPr>
            <w:tcW w:w="851" w:type="dxa"/>
            <w:tcBorders>
              <w:left w:val="nil"/>
              <w:right w:val="nil"/>
            </w:tcBorders>
          </w:tcPr>
          <w:p w14:paraId="584BCB0E"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P2</w:t>
            </w:r>
          </w:p>
        </w:tc>
        <w:tc>
          <w:tcPr>
            <w:tcW w:w="850" w:type="dxa"/>
            <w:gridSpan w:val="2"/>
            <w:tcBorders>
              <w:left w:val="nil"/>
              <w:right w:val="nil"/>
            </w:tcBorders>
          </w:tcPr>
          <w:p w14:paraId="6EB9BA04"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851" w:type="dxa"/>
            <w:tcBorders>
              <w:left w:val="nil"/>
              <w:right w:val="nil"/>
            </w:tcBorders>
          </w:tcPr>
          <w:p w14:paraId="662214CD"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6.5</w:t>
            </w:r>
          </w:p>
        </w:tc>
        <w:tc>
          <w:tcPr>
            <w:tcW w:w="840" w:type="dxa"/>
            <w:tcBorders>
              <w:left w:val="nil"/>
              <w:right w:val="nil"/>
            </w:tcBorders>
          </w:tcPr>
          <w:p w14:paraId="4484E54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18</w:t>
            </w:r>
          </w:p>
        </w:tc>
        <w:tc>
          <w:tcPr>
            <w:tcW w:w="794" w:type="dxa"/>
            <w:tcBorders>
              <w:left w:val="nil"/>
              <w:right w:val="nil"/>
            </w:tcBorders>
          </w:tcPr>
          <w:p w14:paraId="395D72DF"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917" w:type="dxa"/>
            <w:tcBorders>
              <w:left w:val="nil"/>
              <w:right w:val="nil"/>
            </w:tcBorders>
          </w:tcPr>
          <w:p w14:paraId="510C9BD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709" w:type="dxa"/>
            <w:tcBorders>
              <w:left w:val="nil"/>
              <w:right w:val="nil"/>
            </w:tcBorders>
          </w:tcPr>
          <w:p w14:paraId="6BC293B7"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16</w:t>
            </w:r>
          </w:p>
        </w:tc>
        <w:tc>
          <w:tcPr>
            <w:tcW w:w="787" w:type="dxa"/>
            <w:tcBorders>
              <w:left w:val="nil"/>
              <w:right w:val="nil"/>
            </w:tcBorders>
          </w:tcPr>
          <w:p w14:paraId="22A9B7D0"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11</w:t>
            </w:r>
          </w:p>
        </w:tc>
        <w:tc>
          <w:tcPr>
            <w:tcW w:w="988" w:type="dxa"/>
            <w:tcBorders>
              <w:left w:val="nil"/>
              <w:right w:val="nil"/>
            </w:tcBorders>
          </w:tcPr>
          <w:p w14:paraId="63FD626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9</w:t>
            </w:r>
          </w:p>
        </w:tc>
        <w:tc>
          <w:tcPr>
            <w:tcW w:w="917" w:type="dxa"/>
            <w:tcBorders>
              <w:left w:val="nil"/>
              <w:right w:val="nil"/>
            </w:tcBorders>
          </w:tcPr>
          <w:p w14:paraId="0AB5F4D3"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32</w:t>
            </w:r>
          </w:p>
        </w:tc>
      </w:tr>
      <w:tr w:rsidR="003801E8" w14:paraId="0DFEA336" w14:textId="77777777">
        <w:tc>
          <w:tcPr>
            <w:tcW w:w="851" w:type="dxa"/>
            <w:tcBorders>
              <w:left w:val="nil"/>
              <w:right w:val="nil"/>
            </w:tcBorders>
          </w:tcPr>
          <w:p w14:paraId="5818E481"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P3</w:t>
            </w:r>
          </w:p>
        </w:tc>
        <w:tc>
          <w:tcPr>
            <w:tcW w:w="850" w:type="dxa"/>
            <w:gridSpan w:val="2"/>
            <w:tcBorders>
              <w:left w:val="nil"/>
              <w:right w:val="nil"/>
            </w:tcBorders>
          </w:tcPr>
          <w:p w14:paraId="4E03103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851" w:type="dxa"/>
            <w:tcBorders>
              <w:left w:val="nil"/>
              <w:right w:val="nil"/>
            </w:tcBorders>
          </w:tcPr>
          <w:p w14:paraId="6690F93F"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840" w:type="dxa"/>
            <w:tcBorders>
              <w:left w:val="nil"/>
              <w:right w:val="nil"/>
            </w:tcBorders>
          </w:tcPr>
          <w:p w14:paraId="62B6D0B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16</w:t>
            </w:r>
          </w:p>
        </w:tc>
        <w:tc>
          <w:tcPr>
            <w:tcW w:w="794" w:type="dxa"/>
            <w:tcBorders>
              <w:left w:val="nil"/>
              <w:right w:val="nil"/>
            </w:tcBorders>
          </w:tcPr>
          <w:p w14:paraId="1A7296E3"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917" w:type="dxa"/>
            <w:tcBorders>
              <w:left w:val="nil"/>
              <w:right w:val="nil"/>
            </w:tcBorders>
          </w:tcPr>
          <w:p w14:paraId="39134D1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w:t>
            </w:r>
          </w:p>
        </w:tc>
        <w:tc>
          <w:tcPr>
            <w:tcW w:w="709" w:type="dxa"/>
            <w:tcBorders>
              <w:left w:val="nil"/>
              <w:right w:val="nil"/>
            </w:tcBorders>
          </w:tcPr>
          <w:p w14:paraId="34816843"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15</w:t>
            </w:r>
          </w:p>
        </w:tc>
        <w:tc>
          <w:tcPr>
            <w:tcW w:w="787" w:type="dxa"/>
            <w:tcBorders>
              <w:left w:val="nil"/>
              <w:right w:val="nil"/>
            </w:tcBorders>
          </w:tcPr>
          <w:p w14:paraId="6389A44F"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11</w:t>
            </w:r>
          </w:p>
        </w:tc>
        <w:tc>
          <w:tcPr>
            <w:tcW w:w="988" w:type="dxa"/>
            <w:tcBorders>
              <w:left w:val="nil"/>
              <w:right w:val="nil"/>
            </w:tcBorders>
          </w:tcPr>
          <w:p w14:paraId="32715FF7"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9</w:t>
            </w:r>
          </w:p>
        </w:tc>
        <w:tc>
          <w:tcPr>
            <w:tcW w:w="917" w:type="dxa"/>
            <w:tcBorders>
              <w:left w:val="nil"/>
              <w:right w:val="nil"/>
            </w:tcBorders>
          </w:tcPr>
          <w:p w14:paraId="427B4479"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32</w:t>
            </w:r>
          </w:p>
        </w:tc>
      </w:tr>
      <w:tr w:rsidR="003801E8" w14:paraId="2C272856" w14:textId="77777777">
        <w:tc>
          <w:tcPr>
            <w:tcW w:w="851" w:type="dxa"/>
            <w:tcBorders>
              <w:left w:val="nil"/>
              <w:right w:val="nil"/>
            </w:tcBorders>
          </w:tcPr>
          <w:p w14:paraId="7CC80C81"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P3</w:t>
            </w:r>
          </w:p>
        </w:tc>
        <w:tc>
          <w:tcPr>
            <w:tcW w:w="850" w:type="dxa"/>
            <w:gridSpan w:val="2"/>
            <w:tcBorders>
              <w:left w:val="nil"/>
              <w:right w:val="nil"/>
            </w:tcBorders>
          </w:tcPr>
          <w:p w14:paraId="2194B26B"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851" w:type="dxa"/>
            <w:tcBorders>
              <w:left w:val="nil"/>
              <w:right w:val="nil"/>
            </w:tcBorders>
          </w:tcPr>
          <w:p w14:paraId="608D689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840" w:type="dxa"/>
            <w:tcBorders>
              <w:left w:val="nil"/>
              <w:right w:val="nil"/>
            </w:tcBorders>
          </w:tcPr>
          <w:p w14:paraId="2BF27220"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18</w:t>
            </w:r>
          </w:p>
        </w:tc>
        <w:tc>
          <w:tcPr>
            <w:tcW w:w="794" w:type="dxa"/>
            <w:tcBorders>
              <w:left w:val="nil"/>
              <w:right w:val="nil"/>
            </w:tcBorders>
          </w:tcPr>
          <w:p w14:paraId="0F11067A"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917" w:type="dxa"/>
            <w:tcBorders>
              <w:left w:val="nil"/>
              <w:right w:val="nil"/>
            </w:tcBorders>
          </w:tcPr>
          <w:p w14:paraId="1B32296D"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w:t>
            </w:r>
          </w:p>
        </w:tc>
        <w:tc>
          <w:tcPr>
            <w:tcW w:w="709" w:type="dxa"/>
            <w:tcBorders>
              <w:left w:val="nil"/>
              <w:right w:val="nil"/>
            </w:tcBorders>
          </w:tcPr>
          <w:p w14:paraId="6E6BE96D"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15</w:t>
            </w:r>
          </w:p>
        </w:tc>
        <w:tc>
          <w:tcPr>
            <w:tcW w:w="787" w:type="dxa"/>
            <w:tcBorders>
              <w:left w:val="nil"/>
              <w:right w:val="nil"/>
            </w:tcBorders>
          </w:tcPr>
          <w:p w14:paraId="3CE6E89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10</w:t>
            </w:r>
          </w:p>
        </w:tc>
        <w:tc>
          <w:tcPr>
            <w:tcW w:w="988" w:type="dxa"/>
            <w:tcBorders>
              <w:left w:val="nil"/>
              <w:right w:val="nil"/>
            </w:tcBorders>
          </w:tcPr>
          <w:p w14:paraId="0175DB93"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9.5</w:t>
            </w:r>
          </w:p>
        </w:tc>
        <w:tc>
          <w:tcPr>
            <w:tcW w:w="917" w:type="dxa"/>
            <w:tcBorders>
              <w:left w:val="nil"/>
              <w:right w:val="nil"/>
            </w:tcBorders>
          </w:tcPr>
          <w:p w14:paraId="21754D67"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33</w:t>
            </w:r>
          </w:p>
        </w:tc>
      </w:tr>
      <w:tr w:rsidR="003801E8" w14:paraId="5730FC41" w14:textId="77777777">
        <w:tc>
          <w:tcPr>
            <w:tcW w:w="851" w:type="dxa"/>
            <w:tcBorders>
              <w:left w:val="nil"/>
              <w:right w:val="nil"/>
            </w:tcBorders>
          </w:tcPr>
          <w:p w14:paraId="754327E5"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P3</w:t>
            </w:r>
          </w:p>
        </w:tc>
        <w:tc>
          <w:tcPr>
            <w:tcW w:w="850" w:type="dxa"/>
            <w:gridSpan w:val="2"/>
            <w:tcBorders>
              <w:left w:val="nil"/>
              <w:right w:val="nil"/>
            </w:tcBorders>
          </w:tcPr>
          <w:p w14:paraId="2C5E6AAD"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851" w:type="dxa"/>
            <w:tcBorders>
              <w:left w:val="nil"/>
              <w:right w:val="nil"/>
            </w:tcBorders>
          </w:tcPr>
          <w:p w14:paraId="3D2F2F10"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840" w:type="dxa"/>
            <w:tcBorders>
              <w:left w:val="nil"/>
              <w:right w:val="nil"/>
            </w:tcBorders>
          </w:tcPr>
          <w:p w14:paraId="562D45D6"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18</w:t>
            </w:r>
          </w:p>
        </w:tc>
        <w:tc>
          <w:tcPr>
            <w:tcW w:w="794" w:type="dxa"/>
            <w:tcBorders>
              <w:left w:val="nil"/>
              <w:right w:val="nil"/>
            </w:tcBorders>
          </w:tcPr>
          <w:p w14:paraId="21DD1875"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917" w:type="dxa"/>
            <w:tcBorders>
              <w:left w:val="nil"/>
              <w:right w:val="nil"/>
            </w:tcBorders>
          </w:tcPr>
          <w:p w14:paraId="3A0001B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709" w:type="dxa"/>
            <w:tcBorders>
              <w:left w:val="nil"/>
              <w:right w:val="nil"/>
            </w:tcBorders>
          </w:tcPr>
          <w:p w14:paraId="2D4DBE3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16</w:t>
            </w:r>
          </w:p>
        </w:tc>
        <w:tc>
          <w:tcPr>
            <w:tcW w:w="787" w:type="dxa"/>
            <w:tcBorders>
              <w:left w:val="nil"/>
              <w:right w:val="nil"/>
            </w:tcBorders>
          </w:tcPr>
          <w:p w14:paraId="1A861DF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9</w:t>
            </w:r>
          </w:p>
        </w:tc>
        <w:tc>
          <w:tcPr>
            <w:tcW w:w="988" w:type="dxa"/>
            <w:tcBorders>
              <w:left w:val="nil"/>
              <w:right w:val="nil"/>
            </w:tcBorders>
          </w:tcPr>
          <w:p w14:paraId="26376C9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11</w:t>
            </w:r>
          </w:p>
        </w:tc>
        <w:tc>
          <w:tcPr>
            <w:tcW w:w="917" w:type="dxa"/>
            <w:tcBorders>
              <w:left w:val="nil"/>
              <w:right w:val="nil"/>
            </w:tcBorders>
          </w:tcPr>
          <w:p w14:paraId="374E7025"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32</w:t>
            </w:r>
          </w:p>
        </w:tc>
      </w:tr>
      <w:tr w:rsidR="003801E8" w14:paraId="600A6691" w14:textId="77777777">
        <w:tc>
          <w:tcPr>
            <w:tcW w:w="851" w:type="dxa"/>
            <w:tcBorders>
              <w:left w:val="nil"/>
              <w:right w:val="nil"/>
            </w:tcBorders>
          </w:tcPr>
          <w:p w14:paraId="0D4A2807"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P3</w:t>
            </w:r>
          </w:p>
        </w:tc>
        <w:tc>
          <w:tcPr>
            <w:tcW w:w="850" w:type="dxa"/>
            <w:gridSpan w:val="2"/>
            <w:tcBorders>
              <w:left w:val="nil"/>
              <w:right w:val="nil"/>
            </w:tcBorders>
          </w:tcPr>
          <w:p w14:paraId="70EE42E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w:t>
            </w:r>
          </w:p>
        </w:tc>
        <w:tc>
          <w:tcPr>
            <w:tcW w:w="851" w:type="dxa"/>
            <w:tcBorders>
              <w:left w:val="nil"/>
              <w:right w:val="nil"/>
            </w:tcBorders>
          </w:tcPr>
          <w:p w14:paraId="7F8A4247"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6,5</w:t>
            </w:r>
          </w:p>
        </w:tc>
        <w:tc>
          <w:tcPr>
            <w:tcW w:w="840" w:type="dxa"/>
            <w:tcBorders>
              <w:left w:val="nil"/>
              <w:right w:val="nil"/>
            </w:tcBorders>
          </w:tcPr>
          <w:p w14:paraId="761DA962"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18</w:t>
            </w:r>
          </w:p>
        </w:tc>
        <w:tc>
          <w:tcPr>
            <w:tcW w:w="794" w:type="dxa"/>
            <w:tcBorders>
              <w:left w:val="nil"/>
              <w:right w:val="nil"/>
            </w:tcBorders>
          </w:tcPr>
          <w:p w14:paraId="6AF7FDB9"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w:t>
            </w:r>
          </w:p>
        </w:tc>
        <w:tc>
          <w:tcPr>
            <w:tcW w:w="917" w:type="dxa"/>
            <w:tcBorders>
              <w:left w:val="nil"/>
              <w:right w:val="nil"/>
            </w:tcBorders>
          </w:tcPr>
          <w:p w14:paraId="46CD9C6A"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5,5</w:t>
            </w:r>
          </w:p>
        </w:tc>
        <w:tc>
          <w:tcPr>
            <w:tcW w:w="709" w:type="dxa"/>
            <w:tcBorders>
              <w:left w:val="nil"/>
              <w:right w:val="nil"/>
            </w:tcBorders>
          </w:tcPr>
          <w:p w14:paraId="58F6723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16</w:t>
            </w:r>
          </w:p>
        </w:tc>
        <w:tc>
          <w:tcPr>
            <w:tcW w:w="787" w:type="dxa"/>
            <w:tcBorders>
              <w:left w:val="nil"/>
              <w:right w:val="nil"/>
            </w:tcBorders>
          </w:tcPr>
          <w:p w14:paraId="01895EF0"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9</w:t>
            </w:r>
          </w:p>
        </w:tc>
        <w:tc>
          <w:tcPr>
            <w:tcW w:w="988" w:type="dxa"/>
            <w:tcBorders>
              <w:left w:val="nil"/>
              <w:right w:val="nil"/>
            </w:tcBorders>
          </w:tcPr>
          <w:p w14:paraId="0E0BC953"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10</w:t>
            </w:r>
          </w:p>
        </w:tc>
        <w:tc>
          <w:tcPr>
            <w:tcW w:w="917" w:type="dxa"/>
            <w:tcBorders>
              <w:left w:val="nil"/>
              <w:right w:val="nil"/>
            </w:tcBorders>
          </w:tcPr>
          <w:p w14:paraId="7537281A"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31</w:t>
            </w:r>
          </w:p>
        </w:tc>
      </w:tr>
      <w:tr w:rsidR="003801E8" w14:paraId="21F62E1C" w14:textId="77777777">
        <w:trPr>
          <w:trHeight w:val="304"/>
        </w:trPr>
        <w:tc>
          <w:tcPr>
            <w:tcW w:w="851" w:type="dxa"/>
            <w:tcBorders>
              <w:left w:val="nil"/>
              <w:right w:val="nil"/>
            </w:tcBorders>
          </w:tcPr>
          <w:p w14:paraId="0A0DA750"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Prosjek</w:t>
            </w:r>
          </w:p>
        </w:tc>
        <w:tc>
          <w:tcPr>
            <w:tcW w:w="850" w:type="dxa"/>
            <w:gridSpan w:val="2"/>
            <w:tcBorders>
              <w:left w:val="nil"/>
              <w:right w:val="nil"/>
            </w:tcBorders>
          </w:tcPr>
          <w:p w14:paraId="48D86B59"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5.83</w:t>
            </w:r>
          </w:p>
        </w:tc>
        <w:tc>
          <w:tcPr>
            <w:tcW w:w="851" w:type="dxa"/>
            <w:tcBorders>
              <w:left w:val="nil"/>
              <w:right w:val="nil"/>
            </w:tcBorders>
          </w:tcPr>
          <w:p w14:paraId="319B1385"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5.87</w:t>
            </w:r>
          </w:p>
        </w:tc>
        <w:tc>
          <w:tcPr>
            <w:tcW w:w="840" w:type="dxa"/>
            <w:tcBorders>
              <w:left w:val="nil"/>
              <w:right w:val="nil"/>
            </w:tcBorders>
          </w:tcPr>
          <w:p w14:paraId="25489528"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17.5</w:t>
            </w:r>
          </w:p>
        </w:tc>
        <w:tc>
          <w:tcPr>
            <w:tcW w:w="794" w:type="dxa"/>
            <w:tcBorders>
              <w:left w:val="nil"/>
              <w:right w:val="nil"/>
            </w:tcBorders>
          </w:tcPr>
          <w:p w14:paraId="6C8EF014"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5.58</w:t>
            </w:r>
          </w:p>
        </w:tc>
        <w:tc>
          <w:tcPr>
            <w:tcW w:w="917" w:type="dxa"/>
            <w:tcBorders>
              <w:left w:val="nil"/>
              <w:right w:val="nil"/>
            </w:tcBorders>
          </w:tcPr>
          <w:p w14:paraId="429D1338"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5.41</w:t>
            </w:r>
          </w:p>
        </w:tc>
        <w:tc>
          <w:tcPr>
            <w:tcW w:w="709" w:type="dxa"/>
            <w:tcBorders>
              <w:left w:val="nil"/>
              <w:right w:val="nil"/>
            </w:tcBorders>
          </w:tcPr>
          <w:p w14:paraId="1EF7312C"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15.33</w:t>
            </w:r>
          </w:p>
        </w:tc>
        <w:tc>
          <w:tcPr>
            <w:tcW w:w="787" w:type="dxa"/>
            <w:tcBorders>
              <w:left w:val="nil"/>
              <w:right w:val="nil"/>
            </w:tcBorders>
          </w:tcPr>
          <w:p w14:paraId="0C26390F"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10.08</w:t>
            </w:r>
          </w:p>
        </w:tc>
        <w:tc>
          <w:tcPr>
            <w:tcW w:w="988" w:type="dxa"/>
            <w:tcBorders>
              <w:left w:val="nil"/>
              <w:right w:val="nil"/>
            </w:tcBorders>
          </w:tcPr>
          <w:p w14:paraId="3167A049"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9.54</w:t>
            </w:r>
          </w:p>
        </w:tc>
        <w:tc>
          <w:tcPr>
            <w:tcW w:w="917" w:type="dxa"/>
            <w:tcBorders>
              <w:left w:val="nil"/>
              <w:right w:val="nil"/>
            </w:tcBorders>
          </w:tcPr>
          <w:p w14:paraId="6F7CCDF5"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31.5</w:t>
            </w:r>
          </w:p>
        </w:tc>
      </w:tr>
      <w:tr w:rsidR="003801E8" w14:paraId="5154ED94" w14:textId="77777777">
        <w:trPr>
          <w:trHeight w:val="304"/>
        </w:trPr>
        <w:tc>
          <w:tcPr>
            <w:tcW w:w="851" w:type="dxa"/>
            <w:tcBorders>
              <w:left w:val="nil"/>
              <w:right w:val="nil"/>
            </w:tcBorders>
          </w:tcPr>
          <w:p w14:paraId="7C53B69E"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BT</w:t>
            </w:r>
          </w:p>
        </w:tc>
        <w:tc>
          <w:tcPr>
            <w:tcW w:w="850" w:type="dxa"/>
            <w:gridSpan w:val="2"/>
            <w:tcBorders>
              <w:left w:val="nil"/>
              <w:right w:val="nil"/>
            </w:tcBorders>
          </w:tcPr>
          <w:p w14:paraId="3291D26C" w14:textId="77777777" w:rsidR="003801E8" w:rsidRDefault="00E44AAE">
            <w:pPr>
              <w:tabs>
                <w:tab w:val="left" w:pos="3315"/>
              </w:tabs>
              <w:spacing w:after="0" w:line="360" w:lineRule="auto"/>
              <w:rPr>
                <w:rFonts w:ascii="Book Antiqua" w:hAnsi="Book Antiqua" w:cs="Times New Roman"/>
                <w:b/>
                <w:bCs/>
                <w:color w:val="000000" w:themeColor="text1"/>
                <w:sz w:val="15"/>
                <w:szCs w:val="15"/>
                <w:lang w:val="en-US"/>
              </w:rPr>
            </w:pPr>
            <w:r>
              <w:rPr>
                <w:rFonts w:ascii="Book Antiqua" w:hAnsi="Book Antiqua" w:cs="Times New Roman"/>
                <w:b/>
                <w:bCs/>
                <w:i/>
                <w:iCs/>
                <w:color w:val="000000" w:themeColor="text1"/>
                <w:sz w:val="15"/>
                <w:szCs w:val="15"/>
              </w:rPr>
              <w:t>2.89298E-23</w:t>
            </w:r>
          </w:p>
        </w:tc>
        <w:tc>
          <w:tcPr>
            <w:tcW w:w="851" w:type="dxa"/>
            <w:tcBorders>
              <w:left w:val="nil"/>
              <w:right w:val="nil"/>
            </w:tcBorders>
          </w:tcPr>
          <w:p w14:paraId="1F423900" w14:textId="77777777" w:rsidR="003801E8" w:rsidRDefault="00E44AAE">
            <w:pPr>
              <w:spacing w:after="0" w:line="240" w:lineRule="auto"/>
              <w:rPr>
                <w:rFonts w:ascii="Book Antiqua" w:hAnsi="Book Antiqua" w:cs="Calibri"/>
                <w:color w:val="000000"/>
                <w:sz w:val="15"/>
                <w:szCs w:val="15"/>
                <w:lang w:val="en-US"/>
              </w:rPr>
            </w:pPr>
            <w:r>
              <w:rPr>
                <w:rFonts w:ascii="Book Antiqua" w:hAnsi="Book Antiqua" w:cs="Calibri"/>
                <w:color w:val="000000"/>
                <w:sz w:val="15"/>
                <w:szCs w:val="15"/>
                <w:lang w:val="en-US"/>
              </w:rPr>
              <w:t>1.58776E-22</w:t>
            </w:r>
          </w:p>
          <w:p w14:paraId="4A917E94" w14:textId="77777777" w:rsidR="003801E8" w:rsidRDefault="003801E8">
            <w:pPr>
              <w:tabs>
                <w:tab w:val="left" w:pos="3315"/>
              </w:tabs>
              <w:spacing w:after="0" w:line="360" w:lineRule="auto"/>
              <w:rPr>
                <w:rFonts w:ascii="Book Antiqua" w:hAnsi="Book Antiqua" w:cs="Times New Roman"/>
                <w:b/>
                <w:bCs/>
                <w:color w:val="000000" w:themeColor="text1"/>
                <w:sz w:val="15"/>
                <w:szCs w:val="15"/>
                <w:lang w:val="en-US"/>
              </w:rPr>
            </w:pPr>
          </w:p>
        </w:tc>
        <w:tc>
          <w:tcPr>
            <w:tcW w:w="840" w:type="dxa"/>
            <w:tcBorders>
              <w:left w:val="nil"/>
              <w:right w:val="nil"/>
            </w:tcBorders>
          </w:tcPr>
          <w:p w14:paraId="4AB1DBD7" w14:textId="77777777" w:rsidR="003801E8" w:rsidRDefault="003801E8">
            <w:pPr>
              <w:tabs>
                <w:tab w:val="left" w:pos="3315"/>
              </w:tabs>
              <w:spacing w:after="0" w:line="360" w:lineRule="auto"/>
              <w:jc w:val="center"/>
              <w:rPr>
                <w:rFonts w:ascii="Book Antiqua" w:hAnsi="Book Antiqua" w:cs="Times New Roman"/>
                <w:b/>
                <w:bCs/>
                <w:color w:val="000000" w:themeColor="text1"/>
                <w:sz w:val="15"/>
                <w:szCs w:val="15"/>
                <w:lang w:val="en-US"/>
              </w:rPr>
            </w:pPr>
          </w:p>
        </w:tc>
        <w:tc>
          <w:tcPr>
            <w:tcW w:w="794" w:type="dxa"/>
            <w:tcBorders>
              <w:left w:val="nil"/>
              <w:right w:val="nil"/>
            </w:tcBorders>
          </w:tcPr>
          <w:p w14:paraId="244BAC69" w14:textId="77777777" w:rsidR="003801E8" w:rsidRDefault="00E44AAE">
            <w:pPr>
              <w:spacing w:after="0" w:line="240" w:lineRule="auto"/>
              <w:rPr>
                <w:rFonts w:ascii="Book Antiqua" w:hAnsi="Book Antiqua" w:cs="Calibri"/>
                <w:color w:val="000000"/>
                <w:sz w:val="15"/>
                <w:szCs w:val="15"/>
                <w:lang w:val="en-US"/>
              </w:rPr>
            </w:pPr>
            <w:r>
              <w:rPr>
                <w:rFonts w:ascii="Book Antiqua" w:hAnsi="Book Antiqua" w:cs="Calibri"/>
                <w:color w:val="000000"/>
                <w:sz w:val="15"/>
                <w:szCs w:val="15"/>
                <w:lang w:val="en-US"/>
              </w:rPr>
              <w:t>3.94943E-25</w:t>
            </w:r>
          </w:p>
          <w:p w14:paraId="062201CE" w14:textId="77777777" w:rsidR="003801E8" w:rsidRDefault="003801E8">
            <w:pPr>
              <w:tabs>
                <w:tab w:val="left" w:pos="3315"/>
              </w:tabs>
              <w:spacing w:after="0" w:line="360" w:lineRule="auto"/>
              <w:rPr>
                <w:rFonts w:ascii="Book Antiqua" w:hAnsi="Book Antiqua" w:cs="Times New Roman"/>
                <w:b/>
                <w:bCs/>
                <w:color w:val="000000" w:themeColor="text1"/>
                <w:sz w:val="15"/>
                <w:szCs w:val="15"/>
                <w:lang w:val="en-US"/>
              </w:rPr>
            </w:pPr>
          </w:p>
        </w:tc>
        <w:tc>
          <w:tcPr>
            <w:tcW w:w="917" w:type="dxa"/>
            <w:tcBorders>
              <w:left w:val="nil"/>
              <w:right w:val="nil"/>
            </w:tcBorders>
          </w:tcPr>
          <w:p w14:paraId="61ABDE27" w14:textId="77777777" w:rsidR="003801E8" w:rsidRDefault="00E44AAE">
            <w:pPr>
              <w:spacing w:after="0" w:line="240" w:lineRule="auto"/>
              <w:rPr>
                <w:rFonts w:ascii="Book Antiqua" w:hAnsi="Book Antiqua" w:cs="Calibri"/>
                <w:color w:val="000000"/>
                <w:sz w:val="15"/>
                <w:szCs w:val="15"/>
                <w:lang w:val="en-US"/>
              </w:rPr>
            </w:pPr>
            <w:r>
              <w:rPr>
                <w:rFonts w:ascii="Book Antiqua" w:hAnsi="Book Antiqua" w:cs="Calibri"/>
                <w:color w:val="000000"/>
                <w:sz w:val="15"/>
                <w:szCs w:val="15"/>
                <w:lang w:val="en-US"/>
              </w:rPr>
              <w:t>9.63066E-25</w:t>
            </w:r>
          </w:p>
          <w:p w14:paraId="19765F5A" w14:textId="77777777" w:rsidR="003801E8" w:rsidRDefault="003801E8">
            <w:pPr>
              <w:tabs>
                <w:tab w:val="left" w:pos="3315"/>
              </w:tabs>
              <w:spacing w:after="0" w:line="360" w:lineRule="auto"/>
              <w:rPr>
                <w:rFonts w:ascii="Book Antiqua" w:hAnsi="Book Antiqua" w:cs="Times New Roman"/>
                <w:b/>
                <w:bCs/>
                <w:color w:val="000000" w:themeColor="text1"/>
                <w:sz w:val="15"/>
                <w:szCs w:val="15"/>
                <w:lang w:val="en-US"/>
              </w:rPr>
            </w:pPr>
          </w:p>
        </w:tc>
        <w:tc>
          <w:tcPr>
            <w:tcW w:w="709" w:type="dxa"/>
            <w:tcBorders>
              <w:left w:val="nil"/>
              <w:right w:val="nil"/>
            </w:tcBorders>
          </w:tcPr>
          <w:p w14:paraId="6D34C9B9" w14:textId="77777777" w:rsidR="003801E8" w:rsidRDefault="003801E8">
            <w:pPr>
              <w:tabs>
                <w:tab w:val="left" w:pos="3315"/>
              </w:tabs>
              <w:spacing w:after="0" w:line="360" w:lineRule="auto"/>
              <w:jc w:val="center"/>
              <w:rPr>
                <w:rFonts w:ascii="Book Antiqua" w:hAnsi="Book Antiqua" w:cs="Times New Roman"/>
                <w:b/>
                <w:bCs/>
                <w:color w:val="000000" w:themeColor="text1"/>
                <w:sz w:val="15"/>
                <w:szCs w:val="15"/>
                <w:lang w:val="en-US"/>
              </w:rPr>
            </w:pPr>
          </w:p>
        </w:tc>
        <w:tc>
          <w:tcPr>
            <w:tcW w:w="787" w:type="dxa"/>
            <w:tcBorders>
              <w:left w:val="nil"/>
              <w:right w:val="nil"/>
            </w:tcBorders>
          </w:tcPr>
          <w:p w14:paraId="1D2BA9BB" w14:textId="77777777" w:rsidR="003801E8" w:rsidRDefault="00E44AAE">
            <w:pPr>
              <w:tabs>
                <w:tab w:val="left" w:pos="3315"/>
              </w:tabs>
              <w:spacing w:after="0" w:line="360" w:lineRule="auto"/>
              <w:jc w:val="center"/>
              <w:rPr>
                <w:rFonts w:ascii="Book Antiqua" w:hAnsi="Book Antiqua" w:cs="Times New Roman"/>
                <w:b/>
                <w:bCs/>
                <w:i/>
                <w:iCs/>
                <w:color w:val="000000" w:themeColor="text1"/>
                <w:sz w:val="15"/>
                <w:szCs w:val="15"/>
                <w:lang w:val="en-US"/>
              </w:rPr>
            </w:pPr>
            <w:r>
              <w:rPr>
                <w:rFonts w:ascii="Book Antiqua" w:hAnsi="Book Antiqua" w:cs="Calibri"/>
                <w:b/>
                <w:bCs/>
                <w:i/>
                <w:iCs/>
                <w:color w:val="000000"/>
                <w:sz w:val="15"/>
                <w:szCs w:val="15"/>
                <w:lang w:val="en-US"/>
              </w:rPr>
              <w:t>1.26414E-24</w:t>
            </w:r>
          </w:p>
        </w:tc>
        <w:tc>
          <w:tcPr>
            <w:tcW w:w="988" w:type="dxa"/>
            <w:tcBorders>
              <w:left w:val="nil"/>
              <w:right w:val="nil"/>
            </w:tcBorders>
          </w:tcPr>
          <w:p w14:paraId="2F1B3796" w14:textId="77777777" w:rsidR="003801E8" w:rsidRDefault="00E44AAE">
            <w:pPr>
              <w:tabs>
                <w:tab w:val="left" w:pos="3315"/>
              </w:tabs>
              <w:spacing w:after="0" w:line="360" w:lineRule="auto"/>
              <w:rPr>
                <w:rFonts w:ascii="Book Antiqua" w:hAnsi="Book Antiqua" w:cs="Times New Roman"/>
                <w:b/>
                <w:bCs/>
                <w:i/>
                <w:iCs/>
                <w:color w:val="000000" w:themeColor="text1"/>
                <w:sz w:val="15"/>
                <w:szCs w:val="15"/>
                <w:lang w:val="en-US"/>
              </w:rPr>
            </w:pPr>
            <w:r>
              <w:rPr>
                <w:rFonts w:ascii="Book Antiqua" w:hAnsi="Book Antiqua" w:cs="Times New Roman"/>
                <w:b/>
                <w:bCs/>
                <w:i/>
                <w:iCs/>
                <w:color w:val="000000" w:themeColor="text1"/>
                <w:sz w:val="15"/>
                <w:szCs w:val="15"/>
                <w:lang w:val="en-US"/>
              </w:rPr>
              <w:t>1.74443E-24</w:t>
            </w:r>
          </w:p>
        </w:tc>
        <w:tc>
          <w:tcPr>
            <w:tcW w:w="917" w:type="dxa"/>
            <w:tcBorders>
              <w:left w:val="nil"/>
              <w:right w:val="nil"/>
            </w:tcBorders>
          </w:tcPr>
          <w:p w14:paraId="4230485D" w14:textId="77777777" w:rsidR="003801E8" w:rsidRDefault="003801E8">
            <w:pPr>
              <w:tabs>
                <w:tab w:val="left" w:pos="3315"/>
              </w:tabs>
              <w:spacing w:after="0" w:line="360" w:lineRule="auto"/>
              <w:jc w:val="center"/>
              <w:rPr>
                <w:rFonts w:ascii="Book Antiqua" w:hAnsi="Book Antiqua" w:cs="Times New Roman"/>
                <w:b/>
                <w:bCs/>
                <w:color w:val="000000" w:themeColor="text1"/>
                <w:sz w:val="18"/>
                <w:szCs w:val="18"/>
                <w:lang w:val="en-US"/>
              </w:rPr>
            </w:pPr>
          </w:p>
        </w:tc>
      </w:tr>
    </w:tbl>
    <w:p w14:paraId="422B1FC8" w14:textId="77777777" w:rsidR="003801E8" w:rsidRDefault="00E44AAE">
      <w:pPr>
        <w:tabs>
          <w:tab w:val="left" w:pos="3315"/>
        </w:tabs>
        <w:spacing w:line="240" w:lineRule="auto"/>
        <w:jc w:val="both"/>
        <w:rPr>
          <w:rFonts w:ascii="Book Antiqua" w:hAnsi="Book Antiqua" w:cs="Times New Roman"/>
          <w:color w:val="000000" w:themeColor="text1"/>
          <w:sz w:val="18"/>
          <w:szCs w:val="18"/>
        </w:rPr>
      </w:pPr>
      <w:r>
        <w:rPr>
          <w:rFonts w:ascii="Book Antiqua" w:hAnsi="Book Antiqua" w:cs="Times New Roman"/>
          <w:color w:val="000000" w:themeColor="text1"/>
          <w:sz w:val="18"/>
          <w:szCs w:val="18"/>
        </w:rPr>
        <w:t xml:space="preserve">K  - Kontrola; BT – Bonferini test; </w:t>
      </w:r>
      <w:r>
        <w:rPr>
          <w:rFonts w:ascii="Book Antiqua" w:hAnsi="Book Antiqua" w:cs="Times New Roman"/>
          <w:i/>
          <w:iCs/>
          <w:color w:val="000000" w:themeColor="text1"/>
          <w:sz w:val="18"/>
          <w:szCs w:val="18"/>
        </w:rPr>
        <w:t>T. cit</w:t>
      </w:r>
      <w:r>
        <w:rPr>
          <w:rFonts w:ascii="Book Antiqua" w:hAnsi="Book Antiqua" w:cs="Times New Roman"/>
          <w:color w:val="000000" w:themeColor="text1"/>
          <w:sz w:val="18"/>
          <w:szCs w:val="18"/>
        </w:rPr>
        <w:t xml:space="preserve"> – </w:t>
      </w:r>
      <w:r>
        <w:rPr>
          <w:rFonts w:ascii="Book Antiqua" w:hAnsi="Book Antiqua" w:cs="Times New Roman"/>
          <w:i/>
          <w:iCs/>
          <w:color w:val="000000" w:themeColor="text1"/>
          <w:sz w:val="18"/>
          <w:szCs w:val="18"/>
        </w:rPr>
        <w:t>T. citrinoviride</w:t>
      </w:r>
      <w:r>
        <w:rPr>
          <w:rFonts w:ascii="Book Antiqua" w:hAnsi="Book Antiqua" w:cs="Times New Roman"/>
          <w:color w:val="000000" w:themeColor="text1"/>
          <w:sz w:val="18"/>
          <w:szCs w:val="18"/>
        </w:rPr>
        <w:t xml:space="preserve"> T-CG; </w:t>
      </w:r>
      <w:r>
        <w:rPr>
          <w:rFonts w:ascii="Book Antiqua" w:hAnsi="Book Antiqua" w:cs="Times New Roman"/>
          <w:i/>
          <w:iCs/>
          <w:color w:val="000000" w:themeColor="text1"/>
          <w:sz w:val="18"/>
          <w:szCs w:val="18"/>
        </w:rPr>
        <w:t>T. atr</w:t>
      </w:r>
      <w:r>
        <w:rPr>
          <w:rFonts w:ascii="Book Antiqua" w:hAnsi="Book Antiqua" w:cs="Times New Roman"/>
          <w:color w:val="000000" w:themeColor="text1"/>
          <w:sz w:val="18"/>
          <w:szCs w:val="18"/>
        </w:rPr>
        <w:t xml:space="preserve"> SC1– </w:t>
      </w:r>
      <w:r>
        <w:rPr>
          <w:rFonts w:ascii="Book Antiqua" w:hAnsi="Book Antiqua" w:cs="Times New Roman"/>
          <w:i/>
          <w:iCs/>
          <w:color w:val="000000" w:themeColor="text1"/>
          <w:sz w:val="18"/>
          <w:szCs w:val="18"/>
        </w:rPr>
        <w:t>T. atroviride</w:t>
      </w:r>
      <w:r>
        <w:rPr>
          <w:rFonts w:ascii="Book Antiqua" w:hAnsi="Book Antiqua" w:cs="Times New Roman"/>
          <w:color w:val="000000" w:themeColor="text1"/>
          <w:sz w:val="18"/>
          <w:szCs w:val="18"/>
        </w:rPr>
        <w:t xml:space="preserve"> SC1; </w:t>
      </w:r>
      <w:r>
        <w:rPr>
          <w:rFonts w:ascii="Book Antiqua" w:hAnsi="Book Antiqua" w:cs="Times New Roman"/>
          <w:i/>
          <w:iCs/>
          <w:color w:val="000000" w:themeColor="text1"/>
          <w:sz w:val="18"/>
          <w:szCs w:val="18"/>
        </w:rPr>
        <w:t>P. min</w:t>
      </w:r>
      <w:r>
        <w:rPr>
          <w:rFonts w:ascii="Book Antiqua" w:hAnsi="Book Antiqua" w:cs="Times New Roman"/>
          <w:color w:val="000000" w:themeColor="text1"/>
          <w:sz w:val="18"/>
          <w:szCs w:val="18"/>
        </w:rPr>
        <w:t xml:space="preserve"> – </w:t>
      </w:r>
      <w:r>
        <w:rPr>
          <w:rFonts w:ascii="Book Antiqua" w:hAnsi="Book Antiqua" w:cs="Times New Roman"/>
          <w:i/>
          <w:iCs/>
          <w:color w:val="000000" w:themeColor="text1"/>
          <w:sz w:val="18"/>
          <w:szCs w:val="18"/>
        </w:rPr>
        <w:t>P. minimum</w:t>
      </w:r>
      <w:r>
        <w:rPr>
          <w:rFonts w:ascii="Book Antiqua" w:hAnsi="Book Antiqua" w:cs="Times New Roman"/>
          <w:color w:val="000000" w:themeColor="text1"/>
          <w:sz w:val="18"/>
          <w:szCs w:val="18"/>
        </w:rPr>
        <w:t xml:space="preserve"> MN002; </w:t>
      </w:r>
      <w:r>
        <w:rPr>
          <w:rFonts w:ascii="Book Antiqua" w:hAnsi="Book Antiqua" w:cs="Times New Roman"/>
          <w:i/>
          <w:iCs/>
          <w:color w:val="000000" w:themeColor="text1"/>
          <w:sz w:val="18"/>
          <w:szCs w:val="18"/>
        </w:rPr>
        <w:t>P. chl</w:t>
      </w:r>
      <w:r>
        <w:rPr>
          <w:rFonts w:ascii="Book Antiqua" w:hAnsi="Book Antiqua" w:cs="Times New Roman"/>
          <w:color w:val="000000" w:themeColor="text1"/>
          <w:sz w:val="18"/>
          <w:szCs w:val="18"/>
        </w:rPr>
        <w:t xml:space="preserve"> – </w:t>
      </w:r>
      <w:r>
        <w:rPr>
          <w:rFonts w:ascii="Book Antiqua" w:hAnsi="Book Antiqua" w:cs="Times New Roman"/>
          <w:i/>
          <w:iCs/>
          <w:color w:val="000000" w:themeColor="text1"/>
          <w:sz w:val="18"/>
          <w:szCs w:val="18"/>
        </w:rPr>
        <w:t>P. chlamydospora</w:t>
      </w:r>
      <w:r>
        <w:rPr>
          <w:rFonts w:ascii="Book Antiqua" w:hAnsi="Book Antiqua" w:cs="Times New Roman"/>
          <w:color w:val="000000" w:themeColor="text1"/>
          <w:sz w:val="18"/>
          <w:szCs w:val="18"/>
        </w:rPr>
        <w:t xml:space="preserve"> MN011; </w:t>
      </w:r>
      <w:r>
        <w:rPr>
          <w:rFonts w:ascii="Book Antiqua" w:hAnsi="Book Antiqua" w:cs="Times New Roman"/>
          <w:i/>
          <w:iCs/>
          <w:color w:val="000000" w:themeColor="text1"/>
          <w:sz w:val="18"/>
          <w:szCs w:val="18"/>
        </w:rPr>
        <w:t>F. med</w:t>
      </w:r>
      <w:r>
        <w:rPr>
          <w:rFonts w:ascii="Book Antiqua" w:hAnsi="Book Antiqua" w:cs="Times New Roman"/>
          <w:color w:val="000000" w:themeColor="text1"/>
          <w:sz w:val="18"/>
          <w:szCs w:val="18"/>
        </w:rPr>
        <w:t xml:space="preserve"> – </w:t>
      </w:r>
      <w:r>
        <w:rPr>
          <w:rFonts w:ascii="Book Antiqua" w:hAnsi="Book Antiqua" w:cs="Times New Roman"/>
          <w:i/>
          <w:iCs/>
          <w:color w:val="000000" w:themeColor="text1"/>
          <w:sz w:val="18"/>
          <w:szCs w:val="18"/>
        </w:rPr>
        <w:t>F. mediterranea</w:t>
      </w:r>
      <w:r>
        <w:rPr>
          <w:rFonts w:ascii="Book Antiqua" w:hAnsi="Book Antiqua" w:cs="Times New Roman"/>
          <w:color w:val="000000" w:themeColor="text1"/>
          <w:sz w:val="18"/>
          <w:szCs w:val="18"/>
        </w:rPr>
        <w:t xml:space="preserve"> MN008; P1 – Ponavljanje 1; P2 – Ponavljanje 2; P3 – Ponavljanje 3.</w:t>
      </w:r>
    </w:p>
    <w:p w14:paraId="0B6F0D68" w14:textId="77777777" w:rsidR="006E3141" w:rsidRDefault="006E3141">
      <w:pPr>
        <w:tabs>
          <w:tab w:val="left" w:pos="3315"/>
        </w:tabs>
        <w:spacing w:line="360" w:lineRule="auto"/>
        <w:jc w:val="both"/>
        <w:rPr>
          <w:rFonts w:ascii="Book Antiqua" w:hAnsi="Book Antiqua" w:cs="Times New Roman"/>
          <w:b/>
          <w:bCs/>
          <w:color w:val="000000" w:themeColor="text1"/>
          <w:sz w:val="22"/>
          <w:szCs w:val="22"/>
        </w:rPr>
      </w:pPr>
    </w:p>
    <w:p w14:paraId="3E6208C7" w14:textId="77777777" w:rsidR="003801E8" w:rsidRDefault="00E44AAE">
      <w:pPr>
        <w:tabs>
          <w:tab w:val="left" w:pos="3315"/>
        </w:tabs>
        <w:spacing w:line="360" w:lineRule="auto"/>
        <w:jc w:val="both"/>
        <w:rPr>
          <w:rFonts w:ascii="Book Antiqua" w:hAnsi="Book Antiqua" w:cs="Times New Roman"/>
          <w:color w:val="000000" w:themeColor="text1"/>
          <w:sz w:val="22"/>
          <w:szCs w:val="22"/>
        </w:rPr>
      </w:pPr>
      <w:r>
        <w:rPr>
          <w:rFonts w:ascii="Book Antiqua" w:hAnsi="Book Antiqua" w:cs="Times New Roman"/>
          <w:b/>
          <w:bCs/>
          <w:color w:val="000000" w:themeColor="text1"/>
          <w:sz w:val="22"/>
          <w:szCs w:val="22"/>
        </w:rPr>
        <w:lastRenderedPageBreak/>
        <w:t>Tabela 21</w:t>
      </w:r>
      <w:r>
        <w:rPr>
          <w:rFonts w:ascii="Book Antiqua" w:hAnsi="Book Antiqua" w:cs="Times New Roman"/>
          <w:color w:val="000000" w:themeColor="text1"/>
          <w:sz w:val="22"/>
          <w:szCs w:val="22"/>
        </w:rPr>
        <w:t xml:space="preserve">. Procenat inhibicije rasta patogena od strane </w:t>
      </w:r>
      <w:r>
        <w:rPr>
          <w:rFonts w:ascii="Book Antiqua" w:hAnsi="Book Antiqua" w:cs="Times New Roman"/>
          <w:i/>
          <w:iCs/>
          <w:color w:val="000000" w:themeColor="text1"/>
          <w:sz w:val="22"/>
          <w:szCs w:val="22"/>
        </w:rPr>
        <w:t>T. citrinoviride</w:t>
      </w:r>
      <w:r>
        <w:rPr>
          <w:rFonts w:ascii="Book Antiqua" w:hAnsi="Book Antiqua" w:cs="Times New Roman"/>
          <w:color w:val="000000" w:themeColor="text1"/>
          <w:sz w:val="22"/>
          <w:szCs w:val="22"/>
        </w:rPr>
        <w:t xml:space="preserve"> T-CG i </w:t>
      </w:r>
      <w:r>
        <w:rPr>
          <w:rFonts w:ascii="Book Antiqua" w:hAnsi="Book Antiqua" w:cs="Times New Roman"/>
          <w:i/>
          <w:iCs/>
          <w:color w:val="000000" w:themeColor="text1"/>
          <w:sz w:val="22"/>
          <w:szCs w:val="22"/>
        </w:rPr>
        <w:t>T. atroviride</w:t>
      </w:r>
      <w:r>
        <w:rPr>
          <w:rFonts w:ascii="Book Antiqua" w:hAnsi="Book Antiqua" w:cs="Times New Roman"/>
          <w:color w:val="000000" w:themeColor="text1"/>
          <w:sz w:val="22"/>
          <w:szCs w:val="22"/>
        </w:rPr>
        <w:t xml:space="preserve"> SC1 u direktnom </w:t>
      </w:r>
      <w:r>
        <w:rPr>
          <w:rFonts w:ascii="Book Antiqua" w:hAnsi="Book Antiqua" w:cs="Times New Roman"/>
          <w:i/>
          <w:iCs/>
          <w:color w:val="000000" w:themeColor="text1"/>
          <w:sz w:val="22"/>
          <w:szCs w:val="22"/>
        </w:rPr>
        <w:t>in vitro</w:t>
      </w:r>
      <w:r>
        <w:rPr>
          <w:rFonts w:ascii="Book Antiqua" w:hAnsi="Book Antiqua" w:cs="Times New Roman"/>
          <w:color w:val="000000" w:themeColor="text1"/>
          <w:sz w:val="22"/>
          <w:szCs w:val="22"/>
        </w:rPr>
        <w:t xml:space="preserve"> testu</w:t>
      </w:r>
      <w:r>
        <w:rPr>
          <w:rFonts w:ascii="Book Antiqua" w:hAnsi="Book Antiqua" w:cs="Times New Roman"/>
          <w:color w:val="000000" w:themeColor="text1"/>
          <w:sz w:val="22"/>
          <w:szCs w:val="22"/>
          <w:lang w:val="sr-Latn-RS"/>
        </w:rPr>
        <w:t xml:space="preserve"> prema patogenima prouzrokovačima eska oboljenja</w:t>
      </w:r>
    </w:p>
    <w:tbl>
      <w:tblPr>
        <w:tblStyle w:val="TableGrid"/>
        <w:tblW w:w="0" w:type="auto"/>
        <w:tblLook w:val="04A0" w:firstRow="1" w:lastRow="0" w:firstColumn="1" w:lastColumn="0" w:noHBand="0" w:noVBand="1"/>
      </w:tblPr>
      <w:tblGrid>
        <w:gridCol w:w="1237"/>
        <w:gridCol w:w="1208"/>
        <w:gridCol w:w="1209"/>
        <w:gridCol w:w="1210"/>
        <w:gridCol w:w="1210"/>
        <w:gridCol w:w="1210"/>
        <w:gridCol w:w="1210"/>
      </w:tblGrid>
      <w:tr w:rsidR="003801E8" w14:paraId="015BFC36" w14:textId="77777777">
        <w:tc>
          <w:tcPr>
            <w:tcW w:w="1237" w:type="dxa"/>
            <w:tcBorders>
              <w:left w:val="nil"/>
              <w:right w:val="nil"/>
            </w:tcBorders>
          </w:tcPr>
          <w:p w14:paraId="51F78465" w14:textId="77777777" w:rsidR="003801E8" w:rsidRDefault="003801E8">
            <w:pPr>
              <w:tabs>
                <w:tab w:val="left" w:pos="3315"/>
              </w:tabs>
              <w:spacing w:after="0" w:line="360" w:lineRule="auto"/>
              <w:jc w:val="both"/>
              <w:rPr>
                <w:rFonts w:ascii="Book Antiqua" w:hAnsi="Book Antiqua" w:cs="Times New Roman"/>
                <w:b/>
                <w:bCs/>
                <w:color w:val="000000" w:themeColor="text1"/>
                <w:sz w:val="18"/>
                <w:szCs w:val="18"/>
                <w:lang w:val="en-US"/>
              </w:rPr>
            </w:pPr>
          </w:p>
          <w:p w14:paraId="1F9F092F"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sr-Latn-RS"/>
              </w:rPr>
            </w:pPr>
            <w:r>
              <w:rPr>
                <w:rFonts w:ascii="Book Antiqua" w:hAnsi="Book Antiqua" w:cs="Times New Roman"/>
                <w:b/>
                <w:bCs/>
                <w:color w:val="000000" w:themeColor="text1"/>
                <w:sz w:val="18"/>
                <w:szCs w:val="18"/>
                <w:lang w:val="en-US"/>
              </w:rPr>
              <w:t>Oznaka</w:t>
            </w:r>
          </w:p>
        </w:tc>
        <w:tc>
          <w:tcPr>
            <w:tcW w:w="1208" w:type="dxa"/>
            <w:tcBorders>
              <w:left w:val="nil"/>
              <w:right w:val="nil"/>
            </w:tcBorders>
          </w:tcPr>
          <w:p w14:paraId="33301888"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sr-Latn-RS"/>
              </w:rPr>
            </w:pPr>
            <w:r>
              <w:rPr>
                <w:rFonts w:ascii="Book Antiqua" w:hAnsi="Book Antiqua" w:cs="Times New Roman"/>
                <w:b/>
                <w:bCs/>
                <w:i/>
                <w:iCs/>
                <w:color w:val="000000" w:themeColor="text1"/>
                <w:sz w:val="18"/>
                <w:szCs w:val="18"/>
                <w:lang w:val="en-US"/>
              </w:rPr>
              <w:t>T. cit</w:t>
            </w:r>
            <w:r>
              <w:rPr>
                <w:rFonts w:ascii="Book Antiqua" w:hAnsi="Book Antiqua" w:cs="Times New Roman"/>
                <w:b/>
                <w:bCs/>
                <w:color w:val="000000" w:themeColor="text1"/>
                <w:sz w:val="18"/>
                <w:szCs w:val="18"/>
                <w:lang w:val="en-US"/>
              </w:rPr>
              <w:t xml:space="preserve"> x </w:t>
            </w:r>
            <w:r>
              <w:rPr>
                <w:rFonts w:ascii="Book Antiqua" w:hAnsi="Book Antiqua" w:cs="Times New Roman"/>
                <w:b/>
                <w:bCs/>
                <w:i/>
                <w:iCs/>
                <w:color w:val="000000" w:themeColor="text1"/>
                <w:sz w:val="18"/>
                <w:szCs w:val="18"/>
                <w:lang w:val="en-US"/>
              </w:rPr>
              <w:t>P. min (%)</w:t>
            </w:r>
          </w:p>
        </w:tc>
        <w:tc>
          <w:tcPr>
            <w:tcW w:w="1209" w:type="dxa"/>
            <w:tcBorders>
              <w:left w:val="nil"/>
              <w:right w:val="nil"/>
            </w:tcBorders>
          </w:tcPr>
          <w:p w14:paraId="5729E5AF"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sr-Latn-RS"/>
              </w:rPr>
            </w:pPr>
            <w:r>
              <w:rPr>
                <w:rFonts w:ascii="Book Antiqua" w:hAnsi="Book Antiqua" w:cs="Times New Roman"/>
                <w:b/>
                <w:bCs/>
                <w:i/>
                <w:iCs/>
                <w:color w:val="000000" w:themeColor="text1"/>
                <w:sz w:val="18"/>
                <w:szCs w:val="18"/>
                <w:lang w:val="en-US"/>
              </w:rPr>
              <w:t>T. atr</w:t>
            </w:r>
            <w:r>
              <w:rPr>
                <w:rFonts w:ascii="Book Antiqua" w:hAnsi="Book Antiqua" w:cs="Times New Roman"/>
                <w:b/>
                <w:bCs/>
                <w:color w:val="000000" w:themeColor="text1"/>
                <w:sz w:val="18"/>
                <w:szCs w:val="18"/>
                <w:lang w:val="en-US"/>
              </w:rPr>
              <w:t xml:space="preserve"> SC1 x </w:t>
            </w:r>
            <w:r>
              <w:rPr>
                <w:rFonts w:ascii="Book Antiqua" w:hAnsi="Book Antiqua" w:cs="Times New Roman"/>
                <w:b/>
                <w:bCs/>
                <w:i/>
                <w:iCs/>
                <w:color w:val="000000" w:themeColor="text1"/>
                <w:sz w:val="18"/>
                <w:szCs w:val="18"/>
                <w:lang w:val="en-US"/>
              </w:rPr>
              <w:t>P. min (%)</w:t>
            </w:r>
          </w:p>
        </w:tc>
        <w:tc>
          <w:tcPr>
            <w:tcW w:w="1210" w:type="dxa"/>
            <w:tcBorders>
              <w:left w:val="nil"/>
              <w:right w:val="nil"/>
            </w:tcBorders>
          </w:tcPr>
          <w:p w14:paraId="7D5D40F7"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sr-Latn-RS"/>
              </w:rPr>
            </w:pPr>
            <w:r>
              <w:rPr>
                <w:rFonts w:ascii="Book Antiqua" w:hAnsi="Book Antiqua" w:cs="Times New Roman"/>
                <w:b/>
                <w:bCs/>
                <w:i/>
                <w:iCs/>
                <w:color w:val="000000" w:themeColor="text1"/>
                <w:sz w:val="18"/>
                <w:szCs w:val="18"/>
                <w:lang w:val="en-US"/>
              </w:rPr>
              <w:t>T. cit</w:t>
            </w:r>
            <w:r>
              <w:rPr>
                <w:rFonts w:ascii="Book Antiqua" w:hAnsi="Book Antiqua" w:cs="Times New Roman"/>
                <w:b/>
                <w:bCs/>
                <w:color w:val="000000" w:themeColor="text1"/>
                <w:sz w:val="18"/>
                <w:szCs w:val="18"/>
                <w:lang w:val="en-US"/>
              </w:rPr>
              <w:t xml:space="preserve"> x </w:t>
            </w:r>
            <w:r>
              <w:rPr>
                <w:rFonts w:ascii="Book Antiqua" w:hAnsi="Book Antiqua" w:cs="Times New Roman"/>
                <w:b/>
                <w:bCs/>
                <w:i/>
                <w:iCs/>
                <w:color w:val="000000" w:themeColor="text1"/>
                <w:sz w:val="18"/>
                <w:szCs w:val="18"/>
                <w:lang w:val="en-US"/>
              </w:rPr>
              <w:t>P. chl (%)</w:t>
            </w:r>
          </w:p>
        </w:tc>
        <w:tc>
          <w:tcPr>
            <w:tcW w:w="1210" w:type="dxa"/>
            <w:tcBorders>
              <w:left w:val="nil"/>
              <w:right w:val="nil"/>
            </w:tcBorders>
          </w:tcPr>
          <w:p w14:paraId="7D922E20"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sr-Latn-RS"/>
              </w:rPr>
            </w:pPr>
            <w:r>
              <w:rPr>
                <w:rFonts w:ascii="Book Antiqua" w:hAnsi="Book Antiqua" w:cs="Times New Roman"/>
                <w:b/>
                <w:bCs/>
                <w:i/>
                <w:iCs/>
                <w:color w:val="000000" w:themeColor="text1"/>
                <w:sz w:val="18"/>
                <w:szCs w:val="18"/>
                <w:lang w:val="en-US"/>
              </w:rPr>
              <w:t>T. atr</w:t>
            </w:r>
            <w:r>
              <w:rPr>
                <w:rFonts w:ascii="Book Antiqua" w:hAnsi="Book Antiqua" w:cs="Times New Roman"/>
                <w:b/>
                <w:bCs/>
                <w:color w:val="000000" w:themeColor="text1"/>
                <w:sz w:val="18"/>
                <w:szCs w:val="18"/>
                <w:lang w:val="en-US"/>
              </w:rPr>
              <w:t xml:space="preserve"> SC1 x </w:t>
            </w:r>
            <w:r>
              <w:rPr>
                <w:rFonts w:ascii="Book Antiqua" w:hAnsi="Book Antiqua" w:cs="Times New Roman"/>
                <w:b/>
                <w:bCs/>
                <w:i/>
                <w:iCs/>
                <w:color w:val="000000" w:themeColor="text1"/>
                <w:sz w:val="18"/>
                <w:szCs w:val="18"/>
                <w:lang w:val="en-US"/>
              </w:rPr>
              <w:t>P. chl (%)</w:t>
            </w:r>
          </w:p>
        </w:tc>
        <w:tc>
          <w:tcPr>
            <w:tcW w:w="1210" w:type="dxa"/>
            <w:tcBorders>
              <w:left w:val="nil"/>
              <w:right w:val="nil"/>
            </w:tcBorders>
          </w:tcPr>
          <w:p w14:paraId="6C007F21"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sr-Latn-RS"/>
              </w:rPr>
            </w:pPr>
            <w:r>
              <w:rPr>
                <w:rFonts w:ascii="Book Antiqua" w:hAnsi="Book Antiqua" w:cs="Times New Roman"/>
                <w:b/>
                <w:bCs/>
                <w:i/>
                <w:iCs/>
                <w:color w:val="000000" w:themeColor="text1"/>
                <w:sz w:val="18"/>
                <w:szCs w:val="18"/>
                <w:lang w:val="en-US"/>
              </w:rPr>
              <w:t>T. cit</w:t>
            </w:r>
            <w:r>
              <w:rPr>
                <w:rFonts w:ascii="Book Antiqua" w:hAnsi="Book Antiqua" w:cs="Times New Roman"/>
                <w:b/>
                <w:bCs/>
                <w:color w:val="000000" w:themeColor="text1"/>
                <w:sz w:val="18"/>
                <w:szCs w:val="18"/>
                <w:lang w:val="en-US"/>
              </w:rPr>
              <w:t xml:space="preserve"> x </w:t>
            </w:r>
            <w:r>
              <w:rPr>
                <w:rFonts w:ascii="Book Antiqua" w:hAnsi="Book Antiqua" w:cs="Times New Roman"/>
                <w:b/>
                <w:bCs/>
                <w:i/>
                <w:iCs/>
                <w:color w:val="000000" w:themeColor="text1"/>
                <w:sz w:val="18"/>
                <w:szCs w:val="18"/>
                <w:lang w:val="en-US"/>
              </w:rPr>
              <w:t>F. med (%)</w:t>
            </w:r>
          </w:p>
        </w:tc>
        <w:tc>
          <w:tcPr>
            <w:tcW w:w="1210" w:type="dxa"/>
            <w:tcBorders>
              <w:left w:val="nil"/>
              <w:right w:val="nil"/>
            </w:tcBorders>
          </w:tcPr>
          <w:p w14:paraId="6A19F86A"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sr-Latn-RS"/>
              </w:rPr>
            </w:pPr>
            <w:r>
              <w:rPr>
                <w:rFonts w:ascii="Book Antiqua" w:hAnsi="Book Antiqua" w:cs="Times New Roman"/>
                <w:b/>
                <w:bCs/>
                <w:i/>
                <w:iCs/>
                <w:color w:val="000000" w:themeColor="text1"/>
                <w:sz w:val="18"/>
                <w:szCs w:val="18"/>
                <w:lang w:val="en-US"/>
              </w:rPr>
              <w:t>T. atr</w:t>
            </w:r>
            <w:r>
              <w:rPr>
                <w:rFonts w:ascii="Book Antiqua" w:hAnsi="Book Antiqua" w:cs="Times New Roman"/>
                <w:b/>
                <w:bCs/>
                <w:color w:val="000000" w:themeColor="text1"/>
                <w:sz w:val="18"/>
                <w:szCs w:val="18"/>
                <w:lang w:val="en-US"/>
              </w:rPr>
              <w:t xml:space="preserve"> SC1 x </w:t>
            </w:r>
            <w:r>
              <w:rPr>
                <w:rFonts w:ascii="Book Antiqua" w:hAnsi="Book Antiqua" w:cs="Times New Roman"/>
                <w:b/>
                <w:bCs/>
                <w:i/>
                <w:iCs/>
                <w:color w:val="000000" w:themeColor="text1"/>
                <w:sz w:val="18"/>
                <w:szCs w:val="18"/>
                <w:lang w:val="en-US"/>
              </w:rPr>
              <w:t>F. med (%)</w:t>
            </w:r>
          </w:p>
        </w:tc>
      </w:tr>
      <w:tr w:rsidR="003801E8" w14:paraId="4412F187" w14:textId="77777777">
        <w:tc>
          <w:tcPr>
            <w:tcW w:w="1237" w:type="dxa"/>
            <w:tcBorders>
              <w:left w:val="nil"/>
              <w:right w:val="nil"/>
            </w:tcBorders>
          </w:tcPr>
          <w:p w14:paraId="40E76734"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P1</w:t>
            </w:r>
          </w:p>
        </w:tc>
        <w:tc>
          <w:tcPr>
            <w:tcW w:w="1208" w:type="dxa"/>
            <w:tcBorders>
              <w:left w:val="nil"/>
              <w:right w:val="nil"/>
            </w:tcBorders>
            <w:vAlign w:val="bottom"/>
          </w:tcPr>
          <w:p w14:paraId="086F0997"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59.38</w:t>
            </w:r>
          </w:p>
        </w:tc>
        <w:tc>
          <w:tcPr>
            <w:tcW w:w="1209" w:type="dxa"/>
            <w:tcBorders>
              <w:left w:val="nil"/>
              <w:right w:val="nil"/>
            </w:tcBorders>
            <w:vAlign w:val="bottom"/>
          </w:tcPr>
          <w:p w14:paraId="26CFA0AD"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59.38</w:t>
            </w:r>
          </w:p>
        </w:tc>
        <w:tc>
          <w:tcPr>
            <w:tcW w:w="1210" w:type="dxa"/>
            <w:tcBorders>
              <w:left w:val="nil"/>
              <w:right w:val="nil"/>
            </w:tcBorders>
            <w:vAlign w:val="bottom"/>
          </w:tcPr>
          <w:p w14:paraId="0653D6E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66.67</w:t>
            </w:r>
          </w:p>
        </w:tc>
        <w:tc>
          <w:tcPr>
            <w:tcW w:w="1210" w:type="dxa"/>
            <w:tcBorders>
              <w:left w:val="nil"/>
              <w:right w:val="nil"/>
            </w:tcBorders>
            <w:vAlign w:val="bottom"/>
          </w:tcPr>
          <w:p w14:paraId="59673AE5"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66.67</w:t>
            </w:r>
          </w:p>
        </w:tc>
        <w:tc>
          <w:tcPr>
            <w:tcW w:w="1210" w:type="dxa"/>
            <w:tcBorders>
              <w:left w:val="nil"/>
              <w:right w:val="nil"/>
            </w:tcBorders>
            <w:vAlign w:val="bottom"/>
          </w:tcPr>
          <w:p w14:paraId="684B562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65.52</w:t>
            </w:r>
          </w:p>
        </w:tc>
        <w:tc>
          <w:tcPr>
            <w:tcW w:w="1210" w:type="dxa"/>
            <w:tcBorders>
              <w:left w:val="nil"/>
              <w:right w:val="nil"/>
            </w:tcBorders>
            <w:vAlign w:val="bottom"/>
          </w:tcPr>
          <w:p w14:paraId="2D34224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62.07</w:t>
            </w:r>
          </w:p>
        </w:tc>
      </w:tr>
      <w:tr w:rsidR="003801E8" w14:paraId="4F5F642D" w14:textId="77777777">
        <w:tc>
          <w:tcPr>
            <w:tcW w:w="1237" w:type="dxa"/>
            <w:tcBorders>
              <w:left w:val="nil"/>
              <w:right w:val="nil"/>
            </w:tcBorders>
          </w:tcPr>
          <w:p w14:paraId="25C8A0AF"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P1</w:t>
            </w:r>
          </w:p>
        </w:tc>
        <w:tc>
          <w:tcPr>
            <w:tcW w:w="1208" w:type="dxa"/>
            <w:tcBorders>
              <w:left w:val="nil"/>
              <w:right w:val="nil"/>
            </w:tcBorders>
            <w:vAlign w:val="bottom"/>
          </w:tcPr>
          <w:p w14:paraId="1CC92ED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66.67</w:t>
            </w:r>
          </w:p>
        </w:tc>
        <w:tc>
          <w:tcPr>
            <w:tcW w:w="1209" w:type="dxa"/>
            <w:tcBorders>
              <w:left w:val="nil"/>
              <w:right w:val="nil"/>
            </w:tcBorders>
            <w:vAlign w:val="bottom"/>
          </w:tcPr>
          <w:p w14:paraId="6D16E31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66.67</w:t>
            </w:r>
          </w:p>
        </w:tc>
        <w:tc>
          <w:tcPr>
            <w:tcW w:w="1210" w:type="dxa"/>
            <w:tcBorders>
              <w:left w:val="nil"/>
              <w:right w:val="nil"/>
            </w:tcBorders>
            <w:vAlign w:val="bottom"/>
          </w:tcPr>
          <w:p w14:paraId="2211F1C6"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63.33</w:t>
            </w:r>
          </w:p>
        </w:tc>
        <w:tc>
          <w:tcPr>
            <w:tcW w:w="1210" w:type="dxa"/>
            <w:tcBorders>
              <w:left w:val="nil"/>
              <w:right w:val="nil"/>
            </w:tcBorders>
            <w:vAlign w:val="bottom"/>
          </w:tcPr>
          <w:p w14:paraId="2574F04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63.33</w:t>
            </w:r>
          </w:p>
        </w:tc>
        <w:tc>
          <w:tcPr>
            <w:tcW w:w="1210" w:type="dxa"/>
            <w:tcBorders>
              <w:left w:val="nil"/>
              <w:right w:val="nil"/>
            </w:tcBorders>
            <w:vAlign w:val="bottom"/>
          </w:tcPr>
          <w:p w14:paraId="12339CBB"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64.52</w:t>
            </w:r>
          </w:p>
        </w:tc>
        <w:tc>
          <w:tcPr>
            <w:tcW w:w="1210" w:type="dxa"/>
            <w:tcBorders>
              <w:left w:val="nil"/>
              <w:right w:val="nil"/>
            </w:tcBorders>
            <w:vAlign w:val="bottom"/>
          </w:tcPr>
          <w:p w14:paraId="611074D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74.19</w:t>
            </w:r>
          </w:p>
        </w:tc>
      </w:tr>
      <w:tr w:rsidR="003801E8" w14:paraId="7577BAE1" w14:textId="77777777">
        <w:tc>
          <w:tcPr>
            <w:tcW w:w="1237" w:type="dxa"/>
            <w:tcBorders>
              <w:left w:val="nil"/>
              <w:right w:val="nil"/>
            </w:tcBorders>
          </w:tcPr>
          <w:p w14:paraId="1992E6CB"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P1</w:t>
            </w:r>
          </w:p>
        </w:tc>
        <w:tc>
          <w:tcPr>
            <w:tcW w:w="1208" w:type="dxa"/>
            <w:tcBorders>
              <w:left w:val="nil"/>
              <w:right w:val="nil"/>
            </w:tcBorders>
            <w:vAlign w:val="bottom"/>
          </w:tcPr>
          <w:p w14:paraId="33ACC86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64.71</w:t>
            </w:r>
          </w:p>
        </w:tc>
        <w:tc>
          <w:tcPr>
            <w:tcW w:w="1209" w:type="dxa"/>
            <w:tcBorders>
              <w:left w:val="nil"/>
              <w:right w:val="nil"/>
            </w:tcBorders>
            <w:vAlign w:val="bottom"/>
          </w:tcPr>
          <w:p w14:paraId="0691A670"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70.59</w:t>
            </w:r>
          </w:p>
        </w:tc>
        <w:tc>
          <w:tcPr>
            <w:tcW w:w="1210" w:type="dxa"/>
            <w:tcBorders>
              <w:left w:val="nil"/>
              <w:right w:val="nil"/>
            </w:tcBorders>
            <w:vAlign w:val="bottom"/>
          </w:tcPr>
          <w:p w14:paraId="1CAAC9F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65.63</w:t>
            </w:r>
          </w:p>
        </w:tc>
        <w:tc>
          <w:tcPr>
            <w:tcW w:w="1210" w:type="dxa"/>
            <w:tcBorders>
              <w:left w:val="nil"/>
              <w:right w:val="nil"/>
            </w:tcBorders>
            <w:vAlign w:val="bottom"/>
          </w:tcPr>
          <w:p w14:paraId="5F11DF5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68.75</w:t>
            </w:r>
          </w:p>
        </w:tc>
        <w:tc>
          <w:tcPr>
            <w:tcW w:w="1210" w:type="dxa"/>
            <w:tcBorders>
              <w:left w:val="nil"/>
              <w:right w:val="nil"/>
            </w:tcBorders>
            <w:vAlign w:val="bottom"/>
          </w:tcPr>
          <w:p w14:paraId="4BB10C2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63.33</w:t>
            </w:r>
          </w:p>
        </w:tc>
        <w:tc>
          <w:tcPr>
            <w:tcW w:w="1210" w:type="dxa"/>
            <w:tcBorders>
              <w:left w:val="nil"/>
              <w:right w:val="nil"/>
            </w:tcBorders>
            <w:vAlign w:val="bottom"/>
          </w:tcPr>
          <w:p w14:paraId="622D0DCF"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70.00</w:t>
            </w:r>
          </w:p>
        </w:tc>
      </w:tr>
      <w:tr w:rsidR="003801E8" w14:paraId="03D5FADD" w14:textId="77777777">
        <w:tc>
          <w:tcPr>
            <w:tcW w:w="1237" w:type="dxa"/>
            <w:tcBorders>
              <w:left w:val="nil"/>
              <w:right w:val="nil"/>
            </w:tcBorders>
          </w:tcPr>
          <w:p w14:paraId="0D492D2C"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P1</w:t>
            </w:r>
          </w:p>
        </w:tc>
        <w:tc>
          <w:tcPr>
            <w:tcW w:w="1208" w:type="dxa"/>
            <w:tcBorders>
              <w:left w:val="nil"/>
              <w:right w:val="nil"/>
            </w:tcBorders>
            <w:vAlign w:val="bottom"/>
          </w:tcPr>
          <w:p w14:paraId="4B56A5F5"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69.44</w:t>
            </w:r>
          </w:p>
        </w:tc>
        <w:tc>
          <w:tcPr>
            <w:tcW w:w="1209" w:type="dxa"/>
            <w:tcBorders>
              <w:left w:val="nil"/>
              <w:right w:val="nil"/>
            </w:tcBorders>
            <w:vAlign w:val="bottom"/>
          </w:tcPr>
          <w:p w14:paraId="562991F4"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72.22</w:t>
            </w:r>
          </w:p>
        </w:tc>
        <w:tc>
          <w:tcPr>
            <w:tcW w:w="1210" w:type="dxa"/>
            <w:tcBorders>
              <w:left w:val="nil"/>
              <w:right w:val="nil"/>
            </w:tcBorders>
            <w:vAlign w:val="bottom"/>
          </w:tcPr>
          <w:p w14:paraId="13D11157"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63.33</w:t>
            </w:r>
          </w:p>
        </w:tc>
        <w:tc>
          <w:tcPr>
            <w:tcW w:w="1210" w:type="dxa"/>
            <w:tcBorders>
              <w:left w:val="nil"/>
              <w:right w:val="nil"/>
            </w:tcBorders>
            <w:vAlign w:val="bottom"/>
          </w:tcPr>
          <w:p w14:paraId="5692E5F6"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66.67</w:t>
            </w:r>
          </w:p>
        </w:tc>
        <w:tc>
          <w:tcPr>
            <w:tcW w:w="1210" w:type="dxa"/>
            <w:tcBorders>
              <w:left w:val="nil"/>
              <w:right w:val="nil"/>
            </w:tcBorders>
            <w:vAlign w:val="bottom"/>
          </w:tcPr>
          <w:p w14:paraId="5C8CE06A"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71.88</w:t>
            </w:r>
          </w:p>
        </w:tc>
        <w:tc>
          <w:tcPr>
            <w:tcW w:w="1210" w:type="dxa"/>
            <w:tcBorders>
              <w:left w:val="nil"/>
              <w:right w:val="nil"/>
            </w:tcBorders>
            <w:vAlign w:val="bottom"/>
          </w:tcPr>
          <w:p w14:paraId="238A186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71.88</w:t>
            </w:r>
          </w:p>
        </w:tc>
      </w:tr>
      <w:tr w:rsidR="003801E8" w14:paraId="6874AEEF" w14:textId="77777777">
        <w:tc>
          <w:tcPr>
            <w:tcW w:w="1237" w:type="dxa"/>
            <w:tcBorders>
              <w:left w:val="nil"/>
              <w:right w:val="nil"/>
            </w:tcBorders>
          </w:tcPr>
          <w:p w14:paraId="4305978C"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P2</w:t>
            </w:r>
          </w:p>
        </w:tc>
        <w:tc>
          <w:tcPr>
            <w:tcW w:w="1208" w:type="dxa"/>
            <w:tcBorders>
              <w:left w:val="nil"/>
              <w:right w:val="nil"/>
            </w:tcBorders>
            <w:vAlign w:val="bottom"/>
          </w:tcPr>
          <w:p w14:paraId="4893B697"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66.67</w:t>
            </w:r>
          </w:p>
        </w:tc>
        <w:tc>
          <w:tcPr>
            <w:tcW w:w="1209" w:type="dxa"/>
            <w:tcBorders>
              <w:left w:val="nil"/>
              <w:right w:val="nil"/>
            </w:tcBorders>
            <w:vAlign w:val="bottom"/>
          </w:tcPr>
          <w:p w14:paraId="65D0ABCD"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66.67</w:t>
            </w:r>
          </w:p>
        </w:tc>
        <w:tc>
          <w:tcPr>
            <w:tcW w:w="1210" w:type="dxa"/>
            <w:tcBorders>
              <w:left w:val="nil"/>
              <w:right w:val="nil"/>
            </w:tcBorders>
            <w:vAlign w:val="bottom"/>
          </w:tcPr>
          <w:p w14:paraId="115BB55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63.33</w:t>
            </w:r>
          </w:p>
        </w:tc>
        <w:tc>
          <w:tcPr>
            <w:tcW w:w="1210" w:type="dxa"/>
            <w:tcBorders>
              <w:left w:val="nil"/>
              <w:right w:val="nil"/>
            </w:tcBorders>
            <w:vAlign w:val="bottom"/>
          </w:tcPr>
          <w:p w14:paraId="064954C1"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60.00</w:t>
            </w:r>
          </w:p>
        </w:tc>
        <w:tc>
          <w:tcPr>
            <w:tcW w:w="1210" w:type="dxa"/>
            <w:tcBorders>
              <w:left w:val="nil"/>
              <w:right w:val="nil"/>
            </w:tcBorders>
            <w:vAlign w:val="bottom"/>
          </w:tcPr>
          <w:p w14:paraId="46452AC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69.70</w:t>
            </w:r>
          </w:p>
        </w:tc>
        <w:tc>
          <w:tcPr>
            <w:tcW w:w="1210" w:type="dxa"/>
            <w:tcBorders>
              <w:left w:val="nil"/>
              <w:right w:val="nil"/>
            </w:tcBorders>
            <w:vAlign w:val="bottom"/>
          </w:tcPr>
          <w:p w14:paraId="66871D1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69.70</w:t>
            </w:r>
          </w:p>
        </w:tc>
      </w:tr>
      <w:tr w:rsidR="003801E8" w14:paraId="15B0995D" w14:textId="77777777">
        <w:tc>
          <w:tcPr>
            <w:tcW w:w="1237" w:type="dxa"/>
            <w:tcBorders>
              <w:left w:val="nil"/>
              <w:right w:val="nil"/>
            </w:tcBorders>
          </w:tcPr>
          <w:p w14:paraId="5F67F903"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P2</w:t>
            </w:r>
          </w:p>
        </w:tc>
        <w:tc>
          <w:tcPr>
            <w:tcW w:w="1208" w:type="dxa"/>
            <w:tcBorders>
              <w:left w:val="nil"/>
              <w:right w:val="nil"/>
            </w:tcBorders>
            <w:vAlign w:val="bottom"/>
          </w:tcPr>
          <w:p w14:paraId="32C8E166"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66.67</w:t>
            </w:r>
          </w:p>
        </w:tc>
        <w:tc>
          <w:tcPr>
            <w:tcW w:w="1209" w:type="dxa"/>
            <w:tcBorders>
              <w:left w:val="nil"/>
              <w:right w:val="nil"/>
            </w:tcBorders>
            <w:vAlign w:val="bottom"/>
          </w:tcPr>
          <w:p w14:paraId="5F7BE2D0"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66.67</w:t>
            </w:r>
          </w:p>
        </w:tc>
        <w:tc>
          <w:tcPr>
            <w:tcW w:w="1210" w:type="dxa"/>
            <w:tcBorders>
              <w:left w:val="nil"/>
              <w:right w:val="nil"/>
            </w:tcBorders>
            <w:vAlign w:val="bottom"/>
          </w:tcPr>
          <w:p w14:paraId="2EB940D2"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63.33</w:t>
            </w:r>
          </w:p>
        </w:tc>
        <w:tc>
          <w:tcPr>
            <w:tcW w:w="1210" w:type="dxa"/>
            <w:tcBorders>
              <w:left w:val="nil"/>
              <w:right w:val="nil"/>
            </w:tcBorders>
            <w:vAlign w:val="bottom"/>
          </w:tcPr>
          <w:p w14:paraId="13F88A6A"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60.00</w:t>
            </w:r>
          </w:p>
        </w:tc>
        <w:tc>
          <w:tcPr>
            <w:tcW w:w="1210" w:type="dxa"/>
            <w:tcBorders>
              <w:left w:val="nil"/>
              <w:right w:val="nil"/>
            </w:tcBorders>
            <w:vAlign w:val="bottom"/>
          </w:tcPr>
          <w:p w14:paraId="40E2BAFB"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68.75</w:t>
            </w:r>
          </w:p>
        </w:tc>
        <w:tc>
          <w:tcPr>
            <w:tcW w:w="1210" w:type="dxa"/>
            <w:tcBorders>
              <w:left w:val="nil"/>
              <w:right w:val="nil"/>
            </w:tcBorders>
            <w:vAlign w:val="bottom"/>
          </w:tcPr>
          <w:p w14:paraId="552C0B0B"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68.75</w:t>
            </w:r>
          </w:p>
        </w:tc>
      </w:tr>
      <w:tr w:rsidR="003801E8" w14:paraId="3D2C8C2E" w14:textId="77777777">
        <w:tc>
          <w:tcPr>
            <w:tcW w:w="1237" w:type="dxa"/>
            <w:tcBorders>
              <w:left w:val="nil"/>
              <w:right w:val="nil"/>
            </w:tcBorders>
          </w:tcPr>
          <w:p w14:paraId="32F83BA2"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P2</w:t>
            </w:r>
          </w:p>
        </w:tc>
        <w:tc>
          <w:tcPr>
            <w:tcW w:w="1208" w:type="dxa"/>
            <w:tcBorders>
              <w:left w:val="nil"/>
              <w:right w:val="nil"/>
            </w:tcBorders>
            <w:vAlign w:val="bottom"/>
          </w:tcPr>
          <w:p w14:paraId="78148E30"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70.59</w:t>
            </w:r>
          </w:p>
        </w:tc>
        <w:tc>
          <w:tcPr>
            <w:tcW w:w="1209" w:type="dxa"/>
            <w:tcBorders>
              <w:left w:val="nil"/>
              <w:right w:val="nil"/>
            </w:tcBorders>
            <w:vAlign w:val="bottom"/>
          </w:tcPr>
          <w:p w14:paraId="479FCD8F"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64.71</w:t>
            </w:r>
          </w:p>
        </w:tc>
        <w:tc>
          <w:tcPr>
            <w:tcW w:w="1210" w:type="dxa"/>
            <w:tcBorders>
              <w:left w:val="nil"/>
              <w:right w:val="nil"/>
            </w:tcBorders>
            <w:vAlign w:val="bottom"/>
          </w:tcPr>
          <w:p w14:paraId="589DC62F"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60.00</w:t>
            </w:r>
          </w:p>
        </w:tc>
        <w:tc>
          <w:tcPr>
            <w:tcW w:w="1210" w:type="dxa"/>
            <w:tcBorders>
              <w:left w:val="nil"/>
              <w:right w:val="nil"/>
            </w:tcBorders>
            <w:vAlign w:val="bottom"/>
          </w:tcPr>
          <w:p w14:paraId="37C8CDB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60.00</w:t>
            </w:r>
          </w:p>
        </w:tc>
        <w:tc>
          <w:tcPr>
            <w:tcW w:w="1210" w:type="dxa"/>
            <w:tcBorders>
              <w:left w:val="nil"/>
              <w:right w:val="nil"/>
            </w:tcBorders>
            <w:vAlign w:val="bottom"/>
          </w:tcPr>
          <w:p w14:paraId="2D89D59B"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67.74</w:t>
            </w:r>
          </w:p>
        </w:tc>
        <w:tc>
          <w:tcPr>
            <w:tcW w:w="1210" w:type="dxa"/>
            <w:tcBorders>
              <w:left w:val="nil"/>
              <w:right w:val="nil"/>
            </w:tcBorders>
            <w:vAlign w:val="bottom"/>
          </w:tcPr>
          <w:p w14:paraId="1BD45E26"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70.97</w:t>
            </w:r>
          </w:p>
        </w:tc>
      </w:tr>
      <w:tr w:rsidR="003801E8" w14:paraId="0D61E4EE" w14:textId="77777777">
        <w:tc>
          <w:tcPr>
            <w:tcW w:w="1237" w:type="dxa"/>
            <w:tcBorders>
              <w:left w:val="nil"/>
              <w:right w:val="nil"/>
            </w:tcBorders>
          </w:tcPr>
          <w:p w14:paraId="710A9946"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P2</w:t>
            </w:r>
          </w:p>
        </w:tc>
        <w:tc>
          <w:tcPr>
            <w:tcW w:w="1208" w:type="dxa"/>
            <w:tcBorders>
              <w:left w:val="nil"/>
              <w:right w:val="nil"/>
            </w:tcBorders>
            <w:vAlign w:val="bottom"/>
          </w:tcPr>
          <w:p w14:paraId="3EA7071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69.44</w:t>
            </w:r>
          </w:p>
        </w:tc>
        <w:tc>
          <w:tcPr>
            <w:tcW w:w="1209" w:type="dxa"/>
            <w:tcBorders>
              <w:left w:val="nil"/>
              <w:right w:val="nil"/>
            </w:tcBorders>
            <w:vAlign w:val="bottom"/>
          </w:tcPr>
          <w:p w14:paraId="28C7F684"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63.89</w:t>
            </w:r>
          </w:p>
        </w:tc>
        <w:tc>
          <w:tcPr>
            <w:tcW w:w="1210" w:type="dxa"/>
            <w:tcBorders>
              <w:left w:val="nil"/>
              <w:right w:val="nil"/>
            </w:tcBorders>
            <w:vAlign w:val="bottom"/>
          </w:tcPr>
          <w:p w14:paraId="1A48F4C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62.50</w:t>
            </w:r>
          </w:p>
        </w:tc>
        <w:tc>
          <w:tcPr>
            <w:tcW w:w="1210" w:type="dxa"/>
            <w:tcBorders>
              <w:left w:val="nil"/>
              <w:right w:val="nil"/>
            </w:tcBorders>
            <w:vAlign w:val="bottom"/>
          </w:tcPr>
          <w:p w14:paraId="7BE3536D"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65.63</w:t>
            </w:r>
          </w:p>
        </w:tc>
        <w:tc>
          <w:tcPr>
            <w:tcW w:w="1210" w:type="dxa"/>
            <w:tcBorders>
              <w:left w:val="nil"/>
              <w:right w:val="nil"/>
            </w:tcBorders>
            <w:vAlign w:val="bottom"/>
          </w:tcPr>
          <w:p w14:paraId="5B047455"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65.63</w:t>
            </w:r>
          </w:p>
        </w:tc>
        <w:tc>
          <w:tcPr>
            <w:tcW w:w="1210" w:type="dxa"/>
            <w:tcBorders>
              <w:left w:val="nil"/>
              <w:right w:val="nil"/>
            </w:tcBorders>
            <w:vAlign w:val="bottom"/>
          </w:tcPr>
          <w:p w14:paraId="54EFC4E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71.88</w:t>
            </w:r>
          </w:p>
        </w:tc>
      </w:tr>
      <w:tr w:rsidR="003801E8" w14:paraId="12B6612E" w14:textId="77777777">
        <w:tc>
          <w:tcPr>
            <w:tcW w:w="1237" w:type="dxa"/>
            <w:tcBorders>
              <w:left w:val="nil"/>
              <w:right w:val="nil"/>
            </w:tcBorders>
          </w:tcPr>
          <w:p w14:paraId="7F984078"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P3</w:t>
            </w:r>
          </w:p>
        </w:tc>
        <w:tc>
          <w:tcPr>
            <w:tcW w:w="1208" w:type="dxa"/>
            <w:tcBorders>
              <w:left w:val="nil"/>
              <w:right w:val="nil"/>
            </w:tcBorders>
            <w:vAlign w:val="bottom"/>
          </w:tcPr>
          <w:p w14:paraId="0EEE3CC6"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62.50</w:t>
            </w:r>
          </w:p>
        </w:tc>
        <w:tc>
          <w:tcPr>
            <w:tcW w:w="1209" w:type="dxa"/>
            <w:tcBorders>
              <w:left w:val="nil"/>
              <w:right w:val="nil"/>
            </w:tcBorders>
            <w:vAlign w:val="bottom"/>
          </w:tcPr>
          <w:p w14:paraId="649E3119"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65.63</w:t>
            </w:r>
          </w:p>
        </w:tc>
        <w:tc>
          <w:tcPr>
            <w:tcW w:w="1210" w:type="dxa"/>
            <w:tcBorders>
              <w:left w:val="nil"/>
              <w:right w:val="nil"/>
            </w:tcBorders>
            <w:vAlign w:val="bottom"/>
          </w:tcPr>
          <w:p w14:paraId="23CE7CA0"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60.00</w:t>
            </w:r>
          </w:p>
        </w:tc>
        <w:tc>
          <w:tcPr>
            <w:tcW w:w="1210" w:type="dxa"/>
            <w:tcBorders>
              <w:left w:val="nil"/>
              <w:right w:val="nil"/>
            </w:tcBorders>
            <w:vAlign w:val="bottom"/>
          </w:tcPr>
          <w:p w14:paraId="438FD938"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66.67</w:t>
            </w:r>
          </w:p>
        </w:tc>
        <w:tc>
          <w:tcPr>
            <w:tcW w:w="1210" w:type="dxa"/>
            <w:tcBorders>
              <w:left w:val="nil"/>
              <w:right w:val="nil"/>
            </w:tcBorders>
            <w:vAlign w:val="bottom"/>
          </w:tcPr>
          <w:p w14:paraId="008D240C"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65.63</w:t>
            </w:r>
          </w:p>
        </w:tc>
        <w:tc>
          <w:tcPr>
            <w:tcW w:w="1210" w:type="dxa"/>
            <w:tcBorders>
              <w:left w:val="nil"/>
              <w:right w:val="nil"/>
            </w:tcBorders>
            <w:vAlign w:val="bottom"/>
          </w:tcPr>
          <w:p w14:paraId="41AC86A6"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71.88</w:t>
            </w:r>
          </w:p>
        </w:tc>
      </w:tr>
      <w:tr w:rsidR="003801E8" w14:paraId="15839CA4" w14:textId="77777777">
        <w:tc>
          <w:tcPr>
            <w:tcW w:w="1237" w:type="dxa"/>
            <w:tcBorders>
              <w:left w:val="nil"/>
              <w:right w:val="nil"/>
            </w:tcBorders>
          </w:tcPr>
          <w:p w14:paraId="79BADC9A"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P3</w:t>
            </w:r>
          </w:p>
        </w:tc>
        <w:tc>
          <w:tcPr>
            <w:tcW w:w="1208" w:type="dxa"/>
            <w:tcBorders>
              <w:left w:val="nil"/>
              <w:right w:val="nil"/>
            </w:tcBorders>
            <w:vAlign w:val="bottom"/>
          </w:tcPr>
          <w:p w14:paraId="10ADF74F"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66.67</w:t>
            </w:r>
          </w:p>
        </w:tc>
        <w:tc>
          <w:tcPr>
            <w:tcW w:w="1209" w:type="dxa"/>
            <w:tcBorders>
              <w:left w:val="nil"/>
              <w:right w:val="nil"/>
            </w:tcBorders>
            <w:vAlign w:val="bottom"/>
          </w:tcPr>
          <w:p w14:paraId="7CF552CF"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69.44</w:t>
            </w:r>
          </w:p>
        </w:tc>
        <w:tc>
          <w:tcPr>
            <w:tcW w:w="1210" w:type="dxa"/>
            <w:tcBorders>
              <w:left w:val="nil"/>
              <w:right w:val="nil"/>
            </w:tcBorders>
            <w:vAlign w:val="bottom"/>
          </w:tcPr>
          <w:p w14:paraId="6A76C97B"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60.00</w:t>
            </w:r>
          </w:p>
        </w:tc>
        <w:tc>
          <w:tcPr>
            <w:tcW w:w="1210" w:type="dxa"/>
            <w:tcBorders>
              <w:left w:val="nil"/>
              <w:right w:val="nil"/>
            </w:tcBorders>
            <w:vAlign w:val="bottom"/>
          </w:tcPr>
          <w:p w14:paraId="6A1C5E4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66.67</w:t>
            </w:r>
          </w:p>
        </w:tc>
        <w:tc>
          <w:tcPr>
            <w:tcW w:w="1210" w:type="dxa"/>
            <w:tcBorders>
              <w:left w:val="nil"/>
              <w:right w:val="nil"/>
            </w:tcBorders>
            <w:vAlign w:val="bottom"/>
          </w:tcPr>
          <w:p w14:paraId="5D5AC262"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69.70</w:t>
            </w:r>
          </w:p>
        </w:tc>
        <w:tc>
          <w:tcPr>
            <w:tcW w:w="1210" w:type="dxa"/>
            <w:tcBorders>
              <w:left w:val="nil"/>
              <w:right w:val="nil"/>
            </w:tcBorders>
            <w:vAlign w:val="bottom"/>
          </w:tcPr>
          <w:p w14:paraId="7DE00097"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71.21</w:t>
            </w:r>
          </w:p>
        </w:tc>
      </w:tr>
      <w:tr w:rsidR="003801E8" w14:paraId="4EF31DF8" w14:textId="77777777">
        <w:tc>
          <w:tcPr>
            <w:tcW w:w="1237" w:type="dxa"/>
            <w:tcBorders>
              <w:left w:val="nil"/>
              <w:right w:val="nil"/>
            </w:tcBorders>
          </w:tcPr>
          <w:p w14:paraId="751CF5C0"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P3</w:t>
            </w:r>
          </w:p>
        </w:tc>
        <w:tc>
          <w:tcPr>
            <w:tcW w:w="1208" w:type="dxa"/>
            <w:tcBorders>
              <w:left w:val="nil"/>
              <w:right w:val="nil"/>
            </w:tcBorders>
            <w:vAlign w:val="bottom"/>
          </w:tcPr>
          <w:p w14:paraId="730CAD19"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69.44</w:t>
            </w:r>
          </w:p>
        </w:tc>
        <w:tc>
          <w:tcPr>
            <w:tcW w:w="1209" w:type="dxa"/>
            <w:tcBorders>
              <w:left w:val="nil"/>
              <w:right w:val="nil"/>
            </w:tcBorders>
            <w:vAlign w:val="bottom"/>
          </w:tcPr>
          <w:p w14:paraId="48599D14"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66.67</w:t>
            </w:r>
          </w:p>
        </w:tc>
        <w:tc>
          <w:tcPr>
            <w:tcW w:w="1210" w:type="dxa"/>
            <w:tcBorders>
              <w:left w:val="nil"/>
              <w:right w:val="nil"/>
            </w:tcBorders>
            <w:vAlign w:val="bottom"/>
          </w:tcPr>
          <w:p w14:paraId="30EBF1FE"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65.63</w:t>
            </w:r>
          </w:p>
        </w:tc>
        <w:tc>
          <w:tcPr>
            <w:tcW w:w="1210" w:type="dxa"/>
            <w:tcBorders>
              <w:left w:val="nil"/>
              <w:right w:val="nil"/>
            </w:tcBorders>
            <w:vAlign w:val="bottom"/>
          </w:tcPr>
          <w:p w14:paraId="66AF5C10"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65.63</w:t>
            </w:r>
          </w:p>
        </w:tc>
        <w:tc>
          <w:tcPr>
            <w:tcW w:w="1210" w:type="dxa"/>
            <w:tcBorders>
              <w:left w:val="nil"/>
              <w:right w:val="nil"/>
            </w:tcBorders>
            <w:vAlign w:val="bottom"/>
          </w:tcPr>
          <w:p w14:paraId="706BB3E4"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71.88</w:t>
            </w:r>
          </w:p>
        </w:tc>
        <w:tc>
          <w:tcPr>
            <w:tcW w:w="1210" w:type="dxa"/>
            <w:tcBorders>
              <w:left w:val="nil"/>
              <w:right w:val="nil"/>
            </w:tcBorders>
            <w:vAlign w:val="bottom"/>
          </w:tcPr>
          <w:p w14:paraId="6EE1291D"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65.63</w:t>
            </w:r>
          </w:p>
        </w:tc>
      </w:tr>
      <w:tr w:rsidR="003801E8" w14:paraId="1C0422EF" w14:textId="77777777">
        <w:tc>
          <w:tcPr>
            <w:tcW w:w="1237" w:type="dxa"/>
            <w:tcBorders>
              <w:left w:val="nil"/>
              <w:right w:val="nil"/>
            </w:tcBorders>
          </w:tcPr>
          <w:p w14:paraId="5FD1843D"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P3</w:t>
            </w:r>
          </w:p>
        </w:tc>
        <w:tc>
          <w:tcPr>
            <w:tcW w:w="1208" w:type="dxa"/>
            <w:tcBorders>
              <w:left w:val="nil"/>
              <w:right w:val="nil"/>
            </w:tcBorders>
            <w:vAlign w:val="bottom"/>
          </w:tcPr>
          <w:p w14:paraId="03CB0D80"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66.67</w:t>
            </w:r>
          </w:p>
        </w:tc>
        <w:tc>
          <w:tcPr>
            <w:tcW w:w="1209" w:type="dxa"/>
            <w:tcBorders>
              <w:left w:val="nil"/>
              <w:right w:val="nil"/>
            </w:tcBorders>
            <w:vAlign w:val="bottom"/>
          </w:tcPr>
          <w:p w14:paraId="1FD1AC36"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63.89</w:t>
            </w:r>
          </w:p>
        </w:tc>
        <w:tc>
          <w:tcPr>
            <w:tcW w:w="1210" w:type="dxa"/>
            <w:tcBorders>
              <w:left w:val="nil"/>
              <w:right w:val="nil"/>
            </w:tcBorders>
            <w:vAlign w:val="bottom"/>
          </w:tcPr>
          <w:p w14:paraId="49C85CBF"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68.75</w:t>
            </w:r>
          </w:p>
        </w:tc>
        <w:tc>
          <w:tcPr>
            <w:tcW w:w="1210" w:type="dxa"/>
            <w:tcBorders>
              <w:left w:val="nil"/>
              <w:right w:val="nil"/>
            </w:tcBorders>
            <w:vAlign w:val="bottom"/>
          </w:tcPr>
          <w:p w14:paraId="269AF004"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65.63</w:t>
            </w:r>
          </w:p>
        </w:tc>
        <w:tc>
          <w:tcPr>
            <w:tcW w:w="1210" w:type="dxa"/>
            <w:tcBorders>
              <w:left w:val="nil"/>
              <w:right w:val="nil"/>
            </w:tcBorders>
            <w:vAlign w:val="bottom"/>
          </w:tcPr>
          <w:p w14:paraId="20F6A11F"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70.97</w:t>
            </w:r>
          </w:p>
        </w:tc>
        <w:tc>
          <w:tcPr>
            <w:tcW w:w="1210" w:type="dxa"/>
            <w:tcBorders>
              <w:left w:val="nil"/>
              <w:right w:val="nil"/>
            </w:tcBorders>
            <w:vAlign w:val="bottom"/>
          </w:tcPr>
          <w:p w14:paraId="308FE9AB" w14:textId="77777777" w:rsidR="003801E8" w:rsidRDefault="00E44AAE">
            <w:pPr>
              <w:tabs>
                <w:tab w:val="left" w:pos="3315"/>
              </w:tabs>
              <w:spacing w:after="0" w:line="360" w:lineRule="auto"/>
              <w:jc w:val="center"/>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67.74</w:t>
            </w:r>
          </w:p>
        </w:tc>
      </w:tr>
      <w:tr w:rsidR="003801E8" w14:paraId="0DC9CA50" w14:textId="77777777">
        <w:tc>
          <w:tcPr>
            <w:tcW w:w="1237" w:type="dxa"/>
            <w:tcBorders>
              <w:left w:val="nil"/>
              <w:right w:val="nil"/>
            </w:tcBorders>
          </w:tcPr>
          <w:p w14:paraId="65BCEE2F"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sr-Latn-RS"/>
              </w:rPr>
            </w:pPr>
            <w:r>
              <w:rPr>
                <w:rFonts w:ascii="Book Antiqua" w:hAnsi="Book Antiqua" w:cs="Times New Roman"/>
                <w:color w:val="000000" w:themeColor="text1"/>
                <w:sz w:val="18"/>
                <w:szCs w:val="18"/>
                <w:lang w:val="en-US"/>
              </w:rPr>
              <w:t>Prosjek</w:t>
            </w:r>
          </w:p>
        </w:tc>
        <w:tc>
          <w:tcPr>
            <w:tcW w:w="1208" w:type="dxa"/>
            <w:tcBorders>
              <w:left w:val="nil"/>
              <w:right w:val="nil"/>
            </w:tcBorders>
            <w:vAlign w:val="bottom"/>
          </w:tcPr>
          <w:p w14:paraId="1C0A663B"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sr-Latn-RS"/>
              </w:rPr>
            </w:pPr>
            <w:r>
              <w:rPr>
                <w:rFonts w:ascii="Book Antiqua" w:hAnsi="Book Antiqua" w:cs="Times New Roman"/>
                <w:b/>
                <w:bCs/>
                <w:color w:val="000000" w:themeColor="text1"/>
                <w:sz w:val="18"/>
                <w:szCs w:val="18"/>
                <w:lang w:val="en-US"/>
              </w:rPr>
              <w:t>66.57</w:t>
            </w:r>
          </w:p>
        </w:tc>
        <w:tc>
          <w:tcPr>
            <w:tcW w:w="1209" w:type="dxa"/>
            <w:tcBorders>
              <w:left w:val="nil"/>
              <w:right w:val="nil"/>
            </w:tcBorders>
            <w:vAlign w:val="bottom"/>
          </w:tcPr>
          <w:p w14:paraId="5600A127"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sr-Latn-RS"/>
              </w:rPr>
            </w:pPr>
            <w:r>
              <w:rPr>
                <w:rFonts w:ascii="Book Antiqua" w:hAnsi="Book Antiqua" w:cs="Times New Roman"/>
                <w:b/>
                <w:bCs/>
                <w:color w:val="000000" w:themeColor="text1"/>
                <w:sz w:val="18"/>
                <w:szCs w:val="18"/>
                <w:lang w:val="en-US"/>
              </w:rPr>
              <w:t>66.37</w:t>
            </w:r>
          </w:p>
        </w:tc>
        <w:tc>
          <w:tcPr>
            <w:tcW w:w="1210" w:type="dxa"/>
            <w:tcBorders>
              <w:left w:val="nil"/>
              <w:right w:val="nil"/>
            </w:tcBorders>
            <w:vAlign w:val="bottom"/>
          </w:tcPr>
          <w:p w14:paraId="71332616"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sr-Latn-RS"/>
              </w:rPr>
            </w:pPr>
            <w:r>
              <w:rPr>
                <w:rFonts w:ascii="Book Antiqua" w:hAnsi="Book Antiqua" w:cs="Times New Roman"/>
                <w:b/>
                <w:bCs/>
                <w:color w:val="000000" w:themeColor="text1"/>
                <w:sz w:val="18"/>
                <w:szCs w:val="18"/>
                <w:lang w:val="en-US"/>
              </w:rPr>
              <w:t>63.54</w:t>
            </w:r>
          </w:p>
        </w:tc>
        <w:tc>
          <w:tcPr>
            <w:tcW w:w="1210" w:type="dxa"/>
            <w:tcBorders>
              <w:left w:val="nil"/>
              <w:right w:val="nil"/>
            </w:tcBorders>
            <w:vAlign w:val="bottom"/>
          </w:tcPr>
          <w:p w14:paraId="524920CA"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sr-Latn-RS"/>
              </w:rPr>
            </w:pPr>
            <w:r>
              <w:rPr>
                <w:rFonts w:ascii="Book Antiqua" w:hAnsi="Book Antiqua" w:cs="Times New Roman"/>
                <w:b/>
                <w:bCs/>
                <w:color w:val="000000" w:themeColor="text1"/>
                <w:sz w:val="18"/>
                <w:szCs w:val="18"/>
                <w:lang w:val="en-US"/>
              </w:rPr>
              <w:t>64.64</w:t>
            </w:r>
          </w:p>
        </w:tc>
        <w:tc>
          <w:tcPr>
            <w:tcW w:w="1210" w:type="dxa"/>
            <w:tcBorders>
              <w:left w:val="nil"/>
              <w:right w:val="nil"/>
            </w:tcBorders>
            <w:vAlign w:val="bottom"/>
          </w:tcPr>
          <w:p w14:paraId="5A7BB687"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sr-Latn-RS"/>
              </w:rPr>
            </w:pPr>
            <w:r>
              <w:rPr>
                <w:rFonts w:ascii="Book Antiqua" w:hAnsi="Book Antiqua" w:cs="Times New Roman"/>
                <w:b/>
                <w:bCs/>
                <w:color w:val="000000" w:themeColor="text1"/>
                <w:sz w:val="18"/>
                <w:szCs w:val="18"/>
                <w:lang w:val="en-US"/>
              </w:rPr>
              <w:t>67.94</w:t>
            </w:r>
          </w:p>
        </w:tc>
        <w:tc>
          <w:tcPr>
            <w:tcW w:w="1210" w:type="dxa"/>
            <w:tcBorders>
              <w:left w:val="nil"/>
              <w:right w:val="nil"/>
            </w:tcBorders>
            <w:vAlign w:val="bottom"/>
          </w:tcPr>
          <w:p w14:paraId="57164E61" w14:textId="77777777" w:rsidR="003801E8" w:rsidRDefault="00E44AAE">
            <w:pPr>
              <w:tabs>
                <w:tab w:val="left" w:pos="3315"/>
              </w:tabs>
              <w:spacing w:after="0" w:line="360" w:lineRule="auto"/>
              <w:jc w:val="center"/>
              <w:rPr>
                <w:rFonts w:ascii="Book Antiqua" w:hAnsi="Book Antiqua" w:cs="Times New Roman"/>
                <w:b/>
                <w:bCs/>
                <w:color w:val="000000" w:themeColor="text1"/>
                <w:sz w:val="18"/>
                <w:szCs w:val="18"/>
                <w:lang w:val="sr-Latn-RS"/>
              </w:rPr>
            </w:pPr>
            <w:r>
              <w:rPr>
                <w:rFonts w:ascii="Book Antiqua" w:hAnsi="Book Antiqua" w:cs="Times New Roman"/>
                <w:b/>
                <w:bCs/>
                <w:color w:val="000000" w:themeColor="text1"/>
                <w:sz w:val="18"/>
                <w:szCs w:val="18"/>
                <w:lang w:val="en-US"/>
              </w:rPr>
              <w:t>69.66</w:t>
            </w:r>
          </w:p>
        </w:tc>
      </w:tr>
    </w:tbl>
    <w:p w14:paraId="11632832" w14:textId="77777777" w:rsidR="003801E8" w:rsidRDefault="00E44AAE" w:rsidP="006E3141">
      <w:pPr>
        <w:tabs>
          <w:tab w:val="left" w:pos="3315"/>
        </w:tabs>
        <w:spacing w:line="240" w:lineRule="auto"/>
        <w:jc w:val="both"/>
        <w:rPr>
          <w:rFonts w:ascii="Book Antiqua" w:hAnsi="Book Antiqua" w:cs="Times New Roman"/>
          <w:color w:val="000000" w:themeColor="text1"/>
          <w:sz w:val="18"/>
          <w:szCs w:val="18"/>
        </w:rPr>
      </w:pPr>
      <w:r>
        <w:rPr>
          <w:rFonts w:ascii="Book Antiqua" w:hAnsi="Book Antiqua" w:cs="Times New Roman"/>
          <w:i/>
          <w:iCs/>
          <w:color w:val="000000" w:themeColor="text1"/>
          <w:sz w:val="18"/>
          <w:szCs w:val="18"/>
        </w:rPr>
        <w:t>T. cit</w:t>
      </w:r>
      <w:r>
        <w:rPr>
          <w:rFonts w:ascii="Book Antiqua" w:hAnsi="Book Antiqua" w:cs="Times New Roman"/>
          <w:color w:val="000000" w:themeColor="text1"/>
          <w:sz w:val="18"/>
          <w:szCs w:val="18"/>
        </w:rPr>
        <w:t xml:space="preserve"> – </w:t>
      </w:r>
      <w:r>
        <w:rPr>
          <w:rFonts w:ascii="Book Antiqua" w:hAnsi="Book Antiqua" w:cs="Times New Roman"/>
          <w:i/>
          <w:iCs/>
          <w:color w:val="000000" w:themeColor="text1"/>
          <w:sz w:val="18"/>
          <w:szCs w:val="18"/>
        </w:rPr>
        <w:t>T. citrinoviride</w:t>
      </w:r>
      <w:r>
        <w:rPr>
          <w:rFonts w:ascii="Book Antiqua" w:hAnsi="Book Antiqua" w:cs="Times New Roman"/>
          <w:color w:val="000000" w:themeColor="text1"/>
          <w:sz w:val="18"/>
          <w:szCs w:val="18"/>
        </w:rPr>
        <w:t xml:space="preserve"> T-CG; </w:t>
      </w:r>
      <w:r>
        <w:rPr>
          <w:rFonts w:ascii="Book Antiqua" w:hAnsi="Book Antiqua" w:cs="Times New Roman"/>
          <w:i/>
          <w:iCs/>
          <w:color w:val="000000" w:themeColor="text1"/>
          <w:sz w:val="18"/>
          <w:szCs w:val="18"/>
        </w:rPr>
        <w:t>T. atr</w:t>
      </w:r>
      <w:r>
        <w:rPr>
          <w:rFonts w:ascii="Book Antiqua" w:hAnsi="Book Antiqua" w:cs="Times New Roman"/>
          <w:color w:val="000000" w:themeColor="text1"/>
          <w:sz w:val="18"/>
          <w:szCs w:val="18"/>
        </w:rPr>
        <w:t xml:space="preserve"> SC1– </w:t>
      </w:r>
      <w:r>
        <w:rPr>
          <w:rFonts w:ascii="Book Antiqua" w:hAnsi="Book Antiqua" w:cs="Times New Roman"/>
          <w:i/>
          <w:iCs/>
          <w:color w:val="000000" w:themeColor="text1"/>
          <w:sz w:val="18"/>
          <w:szCs w:val="18"/>
        </w:rPr>
        <w:t>T. atroviride</w:t>
      </w:r>
      <w:r>
        <w:rPr>
          <w:rFonts w:ascii="Book Antiqua" w:hAnsi="Book Antiqua" w:cs="Times New Roman"/>
          <w:color w:val="000000" w:themeColor="text1"/>
          <w:sz w:val="18"/>
          <w:szCs w:val="18"/>
        </w:rPr>
        <w:t xml:space="preserve"> SC1; </w:t>
      </w:r>
      <w:r>
        <w:rPr>
          <w:rFonts w:ascii="Book Antiqua" w:hAnsi="Book Antiqua" w:cs="Times New Roman"/>
          <w:i/>
          <w:iCs/>
          <w:color w:val="000000" w:themeColor="text1"/>
          <w:sz w:val="18"/>
          <w:szCs w:val="18"/>
        </w:rPr>
        <w:t>P. min</w:t>
      </w:r>
      <w:r>
        <w:rPr>
          <w:rFonts w:ascii="Book Antiqua" w:hAnsi="Book Antiqua" w:cs="Times New Roman"/>
          <w:color w:val="000000" w:themeColor="text1"/>
          <w:sz w:val="18"/>
          <w:szCs w:val="18"/>
        </w:rPr>
        <w:t xml:space="preserve"> – </w:t>
      </w:r>
      <w:r>
        <w:rPr>
          <w:rFonts w:ascii="Book Antiqua" w:hAnsi="Book Antiqua" w:cs="Times New Roman"/>
          <w:i/>
          <w:iCs/>
          <w:color w:val="000000" w:themeColor="text1"/>
          <w:sz w:val="18"/>
          <w:szCs w:val="18"/>
        </w:rPr>
        <w:t>P. minimum</w:t>
      </w:r>
      <w:r>
        <w:rPr>
          <w:rFonts w:ascii="Book Antiqua" w:hAnsi="Book Antiqua" w:cs="Times New Roman"/>
          <w:color w:val="000000" w:themeColor="text1"/>
          <w:sz w:val="18"/>
          <w:szCs w:val="18"/>
        </w:rPr>
        <w:t xml:space="preserve"> MN002; </w:t>
      </w:r>
      <w:r>
        <w:rPr>
          <w:rFonts w:ascii="Book Antiqua" w:hAnsi="Book Antiqua" w:cs="Times New Roman"/>
          <w:i/>
          <w:iCs/>
          <w:color w:val="000000" w:themeColor="text1"/>
          <w:sz w:val="18"/>
          <w:szCs w:val="18"/>
        </w:rPr>
        <w:t>P. chl</w:t>
      </w:r>
      <w:r>
        <w:rPr>
          <w:rFonts w:ascii="Book Antiqua" w:hAnsi="Book Antiqua" w:cs="Times New Roman"/>
          <w:color w:val="000000" w:themeColor="text1"/>
          <w:sz w:val="18"/>
          <w:szCs w:val="18"/>
        </w:rPr>
        <w:t xml:space="preserve"> – </w:t>
      </w:r>
      <w:r>
        <w:rPr>
          <w:rFonts w:ascii="Book Antiqua" w:hAnsi="Book Antiqua" w:cs="Times New Roman"/>
          <w:i/>
          <w:iCs/>
          <w:color w:val="000000" w:themeColor="text1"/>
          <w:sz w:val="18"/>
          <w:szCs w:val="18"/>
        </w:rPr>
        <w:t>P. chlamydospora</w:t>
      </w:r>
      <w:r>
        <w:rPr>
          <w:rFonts w:ascii="Book Antiqua" w:hAnsi="Book Antiqua" w:cs="Times New Roman"/>
          <w:color w:val="000000" w:themeColor="text1"/>
          <w:sz w:val="18"/>
          <w:szCs w:val="18"/>
        </w:rPr>
        <w:t xml:space="preserve"> MN011; </w:t>
      </w:r>
      <w:r>
        <w:rPr>
          <w:rFonts w:ascii="Book Antiqua" w:hAnsi="Book Antiqua" w:cs="Times New Roman"/>
          <w:i/>
          <w:iCs/>
          <w:color w:val="000000" w:themeColor="text1"/>
          <w:sz w:val="18"/>
          <w:szCs w:val="18"/>
        </w:rPr>
        <w:t>F. med</w:t>
      </w:r>
      <w:r>
        <w:rPr>
          <w:rFonts w:ascii="Book Antiqua" w:hAnsi="Book Antiqua" w:cs="Times New Roman"/>
          <w:color w:val="000000" w:themeColor="text1"/>
          <w:sz w:val="18"/>
          <w:szCs w:val="18"/>
        </w:rPr>
        <w:t xml:space="preserve"> – </w:t>
      </w:r>
      <w:r>
        <w:rPr>
          <w:rFonts w:ascii="Book Antiqua" w:hAnsi="Book Antiqua" w:cs="Times New Roman"/>
          <w:i/>
          <w:iCs/>
          <w:color w:val="000000" w:themeColor="text1"/>
          <w:sz w:val="18"/>
          <w:szCs w:val="18"/>
        </w:rPr>
        <w:t>F. mediterranea</w:t>
      </w:r>
      <w:r>
        <w:rPr>
          <w:rFonts w:ascii="Book Antiqua" w:hAnsi="Book Antiqua" w:cs="Times New Roman"/>
          <w:color w:val="000000" w:themeColor="text1"/>
          <w:sz w:val="18"/>
          <w:szCs w:val="18"/>
        </w:rPr>
        <w:t xml:space="preserve"> MN008; P1 – Ponavljanje 1; P2 – Ponavljanje 2; P3 – Ponavljanje 3.</w:t>
      </w:r>
    </w:p>
    <w:p w14:paraId="2409C46E" w14:textId="77777777" w:rsidR="006E3141" w:rsidRDefault="006E3141" w:rsidP="006E3141">
      <w:pPr>
        <w:tabs>
          <w:tab w:val="left" w:pos="3315"/>
        </w:tabs>
        <w:spacing w:line="240" w:lineRule="auto"/>
        <w:jc w:val="both"/>
        <w:rPr>
          <w:rFonts w:ascii="Book Antiqua" w:hAnsi="Book Antiqua" w:cs="Times New Roman"/>
          <w:color w:val="000000" w:themeColor="text1"/>
          <w:sz w:val="18"/>
          <w:szCs w:val="18"/>
        </w:rPr>
      </w:pPr>
    </w:p>
    <w:p w14:paraId="25C187A1" w14:textId="77777777" w:rsidR="006E3141" w:rsidRDefault="006E3141" w:rsidP="006E3141">
      <w:pPr>
        <w:tabs>
          <w:tab w:val="left" w:pos="3315"/>
        </w:tabs>
        <w:spacing w:line="240" w:lineRule="auto"/>
        <w:jc w:val="both"/>
        <w:rPr>
          <w:rFonts w:ascii="Book Antiqua" w:hAnsi="Book Antiqua" w:cs="Times New Roman"/>
          <w:color w:val="000000" w:themeColor="text1"/>
          <w:sz w:val="18"/>
          <w:szCs w:val="18"/>
        </w:rPr>
      </w:pPr>
    </w:p>
    <w:p w14:paraId="0C7CF2E6" w14:textId="77777777" w:rsidR="006E3141" w:rsidRPr="006E3141" w:rsidRDefault="006E3141" w:rsidP="006E3141">
      <w:pPr>
        <w:tabs>
          <w:tab w:val="left" w:pos="3315"/>
        </w:tabs>
        <w:spacing w:line="240" w:lineRule="auto"/>
        <w:jc w:val="both"/>
        <w:rPr>
          <w:rFonts w:ascii="Book Antiqua" w:hAnsi="Book Antiqua" w:cs="Times New Roman"/>
          <w:color w:val="000000" w:themeColor="text1"/>
          <w:sz w:val="18"/>
          <w:szCs w:val="18"/>
        </w:rPr>
      </w:pPr>
    </w:p>
    <w:p w14:paraId="307F1901" w14:textId="77777777" w:rsidR="003801E8" w:rsidRDefault="00E44AAE">
      <w:pPr>
        <w:tabs>
          <w:tab w:val="left" w:pos="3315"/>
        </w:tabs>
        <w:jc w:val="center"/>
        <w:rPr>
          <w:rFonts w:ascii="Book Antiqua" w:hAnsi="Book Antiqua" w:cs="Times New Roman"/>
          <w:color w:val="000000" w:themeColor="text1"/>
          <w:sz w:val="24"/>
          <w:szCs w:val="24"/>
          <w:lang w:val="sr-Latn-RS"/>
        </w:rPr>
      </w:pPr>
      <w:r>
        <w:rPr>
          <w:rFonts w:ascii="Book Antiqua" w:hAnsi="Book Antiqua" w:cs="Times New Roman"/>
          <w:noProof/>
          <w:color w:val="000000" w:themeColor="text1"/>
          <w:sz w:val="24"/>
          <w:szCs w:val="24"/>
          <w:lang w:val="en-US"/>
        </w:rPr>
        <w:lastRenderedPageBreak/>
        <w:drawing>
          <wp:inline distT="0" distB="0" distL="0" distR="0" wp14:anchorId="29D9344B" wp14:editId="0CB7E882">
            <wp:extent cx="5400040" cy="3453130"/>
            <wp:effectExtent l="0" t="0" r="0" b="0"/>
            <wp:docPr id="17876328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632819" name="Picture 2"/>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400040" cy="3453130"/>
                    </a:xfrm>
                    <a:prstGeom prst="rect">
                      <a:avLst/>
                    </a:prstGeom>
                  </pic:spPr>
                </pic:pic>
              </a:graphicData>
            </a:graphic>
          </wp:inline>
        </w:drawing>
      </w:r>
    </w:p>
    <w:p w14:paraId="16EEFEBA" w14:textId="77777777" w:rsidR="003801E8" w:rsidRDefault="00E44AAE">
      <w:pPr>
        <w:tabs>
          <w:tab w:val="left" w:pos="3315"/>
        </w:tabs>
        <w:spacing w:line="360" w:lineRule="auto"/>
        <w:jc w:val="both"/>
        <w:rPr>
          <w:rFonts w:ascii="Book Antiqua" w:hAnsi="Book Antiqua" w:cs="Times New Roman"/>
          <w:color w:val="000000" w:themeColor="text1"/>
          <w:sz w:val="22"/>
          <w:szCs w:val="22"/>
        </w:rPr>
      </w:pPr>
      <w:r>
        <w:rPr>
          <w:rFonts w:ascii="Book Antiqua" w:hAnsi="Book Antiqua" w:cs="Times New Roman"/>
          <w:b/>
          <w:bCs/>
          <w:color w:val="000000" w:themeColor="text1"/>
          <w:sz w:val="22"/>
          <w:szCs w:val="22"/>
          <w:lang w:val="sr-Latn-RS"/>
        </w:rPr>
        <w:t>Slika 28</w:t>
      </w:r>
      <w:r>
        <w:rPr>
          <w:rFonts w:ascii="Book Antiqua" w:hAnsi="Book Antiqua" w:cs="Times New Roman"/>
          <w:color w:val="000000" w:themeColor="text1"/>
          <w:sz w:val="22"/>
          <w:szCs w:val="22"/>
          <w:lang w:val="sr-Latn-RS"/>
        </w:rPr>
        <w:t>. A. Antagonisti</w:t>
      </w:r>
      <w:r>
        <w:rPr>
          <w:rFonts w:ascii="Book Antiqua" w:hAnsi="Book Antiqua" w:cs="Times New Roman"/>
          <w:color w:val="000000" w:themeColor="text1"/>
          <w:sz w:val="22"/>
          <w:szCs w:val="22"/>
        </w:rPr>
        <w:t xml:space="preserve">čki efekat </w:t>
      </w:r>
      <w:r>
        <w:rPr>
          <w:rFonts w:ascii="Book Antiqua" w:hAnsi="Book Antiqua" w:cs="Times New Roman"/>
          <w:i/>
          <w:iCs/>
          <w:color w:val="000000" w:themeColor="text1"/>
          <w:sz w:val="22"/>
          <w:szCs w:val="22"/>
        </w:rPr>
        <w:t>T. citrinoviride</w:t>
      </w:r>
      <w:r>
        <w:rPr>
          <w:rFonts w:ascii="Book Antiqua" w:hAnsi="Book Antiqua" w:cs="Times New Roman"/>
          <w:color w:val="000000" w:themeColor="text1"/>
          <w:sz w:val="22"/>
          <w:szCs w:val="22"/>
        </w:rPr>
        <w:t xml:space="preserve"> T-CG prema </w:t>
      </w:r>
      <w:r>
        <w:rPr>
          <w:rFonts w:ascii="Book Antiqua" w:hAnsi="Book Antiqua" w:cs="Times New Roman"/>
          <w:i/>
          <w:iCs/>
          <w:color w:val="000000" w:themeColor="text1"/>
          <w:sz w:val="22"/>
          <w:szCs w:val="22"/>
        </w:rPr>
        <w:t xml:space="preserve">P. minimum </w:t>
      </w:r>
      <w:r>
        <w:rPr>
          <w:rFonts w:ascii="Book Antiqua" w:hAnsi="Book Antiqua" w:cs="Times New Roman"/>
          <w:color w:val="000000" w:themeColor="text1"/>
          <w:sz w:val="22"/>
          <w:szCs w:val="22"/>
        </w:rPr>
        <w:t xml:space="preserve">izolat MN002 B. </w:t>
      </w:r>
      <w:r>
        <w:rPr>
          <w:rFonts w:ascii="Book Antiqua" w:hAnsi="Book Antiqua" w:cs="Times New Roman"/>
          <w:color w:val="000000" w:themeColor="text1"/>
          <w:sz w:val="22"/>
          <w:szCs w:val="22"/>
          <w:lang w:val="sr-Latn-RS"/>
        </w:rPr>
        <w:t>Antagonisti</w:t>
      </w:r>
      <w:r>
        <w:rPr>
          <w:rFonts w:ascii="Book Antiqua" w:hAnsi="Book Antiqua" w:cs="Times New Roman"/>
          <w:color w:val="000000" w:themeColor="text1"/>
          <w:sz w:val="22"/>
          <w:szCs w:val="22"/>
        </w:rPr>
        <w:t xml:space="preserve">čki efekat </w:t>
      </w:r>
      <w:r>
        <w:rPr>
          <w:rFonts w:ascii="Book Antiqua" w:hAnsi="Book Antiqua" w:cs="Times New Roman"/>
          <w:i/>
          <w:iCs/>
          <w:color w:val="000000" w:themeColor="text1"/>
          <w:sz w:val="22"/>
          <w:szCs w:val="22"/>
        </w:rPr>
        <w:t xml:space="preserve">T. atroviride </w:t>
      </w:r>
      <w:r>
        <w:rPr>
          <w:rFonts w:ascii="Book Antiqua" w:hAnsi="Book Antiqua" w:cs="Times New Roman"/>
          <w:color w:val="000000" w:themeColor="text1"/>
          <w:sz w:val="22"/>
          <w:szCs w:val="22"/>
        </w:rPr>
        <w:t>SC1</w:t>
      </w:r>
      <w:r>
        <w:rPr>
          <w:rFonts w:ascii="Book Antiqua" w:hAnsi="Book Antiqua" w:cs="Times New Roman"/>
          <w:i/>
          <w:iCs/>
          <w:color w:val="000000" w:themeColor="text1"/>
          <w:sz w:val="22"/>
          <w:szCs w:val="22"/>
        </w:rPr>
        <w:t xml:space="preserve"> </w:t>
      </w:r>
      <w:r>
        <w:rPr>
          <w:rFonts w:ascii="Book Antiqua" w:hAnsi="Book Antiqua" w:cs="Times New Roman"/>
          <w:color w:val="000000" w:themeColor="text1"/>
          <w:sz w:val="22"/>
          <w:szCs w:val="22"/>
        </w:rPr>
        <w:t xml:space="preserve"> prema </w:t>
      </w:r>
      <w:r>
        <w:rPr>
          <w:rFonts w:ascii="Book Antiqua" w:hAnsi="Book Antiqua" w:cs="Times New Roman"/>
          <w:i/>
          <w:iCs/>
          <w:color w:val="000000" w:themeColor="text1"/>
          <w:sz w:val="22"/>
          <w:szCs w:val="22"/>
        </w:rPr>
        <w:t>P. minimum</w:t>
      </w:r>
      <w:r>
        <w:rPr>
          <w:rFonts w:ascii="Book Antiqua" w:hAnsi="Book Antiqua" w:cs="Times New Roman"/>
          <w:color w:val="000000" w:themeColor="text1"/>
          <w:sz w:val="22"/>
          <w:szCs w:val="22"/>
        </w:rPr>
        <w:t xml:space="preserve"> izolat MN002 C. </w:t>
      </w:r>
      <w:r>
        <w:rPr>
          <w:rFonts w:ascii="Book Antiqua" w:hAnsi="Book Antiqua" w:cs="Times New Roman"/>
          <w:color w:val="000000" w:themeColor="text1"/>
          <w:sz w:val="22"/>
          <w:szCs w:val="22"/>
          <w:lang w:val="sr-Latn-RS"/>
        </w:rPr>
        <w:t>Antagonisti</w:t>
      </w:r>
      <w:r>
        <w:rPr>
          <w:rFonts w:ascii="Book Antiqua" w:hAnsi="Book Antiqua" w:cs="Times New Roman"/>
          <w:color w:val="000000" w:themeColor="text1"/>
          <w:sz w:val="22"/>
          <w:szCs w:val="22"/>
        </w:rPr>
        <w:t xml:space="preserve">čki efekat </w:t>
      </w:r>
      <w:r>
        <w:rPr>
          <w:rFonts w:ascii="Book Antiqua" w:hAnsi="Book Antiqua" w:cs="Times New Roman"/>
          <w:i/>
          <w:iCs/>
          <w:color w:val="000000" w:themeColor="text1"/>
          <w:sz w:val="22"/>
          <w:szCs w:val="22"/>
        </w:rPr>
        <w:t>T. citrinoviride</w:t>
      </w:r>
      <w:r>
        <w:rPr>
          <w:rFonts w:ascii="Book Antiqua" w:hAnsi="Book Antiqua" w:cs="Times New Roman"/>
          <w:color w:val="000000" w:themeColor="text1"/>
          <w:sz w:val="22"/>
          <w:szCs w:val="22"/>
        </w:rPr>
        <w:t xml:space="preserve"> T-CG prema </w:t>
      </w:r>
      <w:r>
        <w:rPr>
          <w:rFonts w:ascii="Book Antiqua" w:hAnsi="Book Antiqua" w:cs="Times New Roman"/>
          <w:i/>
          <w:iCs/>
          <w:color w:val="000000" w:themeColor="text1"/>
          <w:sz w:val="22"/>
          <w:szCs w:val="22"/>
        </w:rPr>
        <w:t xml:space="preserve">P. chlamydospora </w:t>
      </w:r>
      <w:r>
        <w:rPr>
          <w:rFonts w:ascii="Book Antiqua" w:hAnsi="Book Antiqua" w:cs="Times New Roman"/>
          <w:color w:val="000000" w:themeColor="text1"/>
          <w:sz w:val="22"/>
          <w:szCs w:val="22"/>
        </w:rPr>
        <w:t xml:space="preserve">izolat MN011 D. </w:t>
      </w:r>
      <w:r>
        <w:rPr>
          <w:rFonts w:ascii="Book Antiqua" w:hAnsi="Book Antiqua" w:cs="Times New Roman"/>
          <w:color w:val="000000" w:themeColor="text1"/>
          <w:sz w:val="22"/>
          <w:szCs w:val="22"/>
          <w:lang w:val="sr-Latn-RS"/>
        </w:rPr>
        <w:t>Antagonisti</w:t>
      </w:r>
      <w:r>
        <w:rPr>
          <w:rFonts w:ascii="Book Antiqua" w:hAnsi="Book Antiqua" w:cs="Times New Roman"/>
          <w:color w:val="000000" w:themeColor="text1"/>
          <w:sz w:val="22"/>
          <w:szCs w:val="22"/>
        </w:rPr>
        <w:t xml:space="preserve">čki efekat </w:t>
      </w:r>
      <w:r>
        <w:rPr>
          <w:rFonts w:ascii="Book Antiqua" w:hAnsi="Book Antiqua" w:cs="Times New Roman"/>
          <w:i/>
          <w:iCs/>
          <w:color w:val="000000" w:themeColor="text1"/>
          <w:sz w:val="22"/>
          <w:szCs w:val="22"/>
        </w:rPr>
        <w:t>T. atroviride</w:t>
      </w:r>
      <w:r>
        <w:rPr>
          <w:rFonts w:ascii="Book Antiqua" w:hAnsi="Book Antiqua" w:cs="Times New Roman"/>
          <w:color w:val="000000" w:themeColor="text1"/>
          <w:sz w:val="22"/>
          <w:szCs w:val="22"/>
        </w:rPr>
        <w:t xml:space="preserve"> SC1 prema </w:t>
      </w:r>
      <w:r>
        <w:rPr>
          <w:rFonts w:ascii="Book Antiqua" w:hAnsi="Book Antiqua" w:cs="Times New Roman"/>
          <w:i/>
          <w:iCs/>
          <w:color w:val="000000" w:themeColor="text1"/>
          <w:sz w:val="22"/>
          <w:szCs w:val="22"/>
        </w:rPr>
        <w:t xml:space="preserve">P. chlamydospora </w:t>
      </w:r>
      <w:r>
        <w:rPr>
          <w:rFonts w:ascii="Book Antiqua" w:hAnsi="Book Antiqua" w:cs="Times New Roman"/>
          <w:color w:val="000000" w:themeColor="text1"/>
          <w:sz w:val="22"/>
          <w:szCs w:val="22"/>
        </w:rPr>
        <w:t xml:space="preserve">izolat MN011 E. </w:t>
      </w:r>
      <w:r>
        <w:rPr>
          <w:rFonts w:ascii="Book Antiqua" w:hAnsi="Book Antiqua" w:cs="Times New Roman"/>
          <w:color w:val="000000" w:themeColor="text1"/>
          <w:sz w:val="22"/>
          <w:szCs w:val="22"/>
          <w:lang w:val="sr-Latn-RS"/>
        </w:rPr>
        <w:t>Antagonisti</w:t>
      </w:r>
      <w:r>
        <w:rPr>
          <w:rFonts w:ascii="Book Antiqua" w:hAnsi="Book Antiqua" w:cs="Times New Roman"/>
          <w:color w:val="000000" w:themeColor="text1"/>
          <w:sz w:val="22"/>
          <w:szCs w:val="22"/>
        </w:rPr>
        <w:t xml:space="preserve">čki efekat </w:t>
      </w:r>
      <w:r>
        <w:rPr>
          <w:rFonts w:ascii="Book Antiqua" w:hAnsi="Book Antiqua" w:cs="Times New Roman"/>
          <w:i/>
          <w:iCs/>
          <w:color w:val="000000" w:themeColor="text1"/>
          <w:sz w:val="22"/>
          <w:szCs w:val="22"/>
        </w:rPr>
        <w:t>T. citrinoviride</w:t>
      </w:r>
      <w:r>
        <w:rPr>
          <w:rFonts w:ascii="Book Antiqua" w:hAnsi="Book Antiqua" w:cs="Times New Roman"/>
          <w:color w:val="000000" w:themeColor="text1"/>
          <w:sz w:val="22"/>
          <w:szCs w:val="22"/>
        </w:rPr>
        <w:t xml:space="preserve"> T-CG prema </w:t>
      </w:r>
      <w:r>
        <w:rPr>
          <w:rFonts w:ascii="Book Antiqua" w:hAnsi="Book Antiqua" w:cs="Times New Roman"/>
          <w:i/>
          <w:iCs/>
          <w:color w:val="000000" w:themeColor="text1"/>
          <w:sz w:val="22"/>
          <w:szCs w:val="22"/>
        </w:rPr>
        <w:t xml:space="preserve">F. mediterranea </w:t>
      </w:r>
      <w:r>
        <w:rPr>
          <w:rFonts w:ascii="Book Antiqua" w:hAnsi="Book Antiqua" w:cs="Times New Roman"/>
          <w:color w:val="000000" w:themeColor="text1"/>
          <w:sz w:val="22"/>
          <w:szCs w:val="22"/>
        </w:rPr>
        <w:t xml:space="preserve">izolat MN008 F. </w:t>
      </w:r>
      <w:r>
        <w:rPr>
          <w:rFonts w:ascii="Book Antiqua" w:hAnsi="Book Antiqua" w:cs="Times New Roman"/>
          <w:color w:val="000000" w:themeColor="text1"/>
          <w:sz w:val="22"/>
          <w:szCs w:val="22"/>
          <w:lang w:val="sr-Latn-RS"/>
        </w:rPr>
        <w:t>Antagonisti</w:t>
      </w:r>
      <w:r>
        <w:rPr>
          <w:rFonts w:ascii="Book Antiqua" w:hAnsi="Book Antiqua" w:cs="Times New Roman"/>
          <w:color w:val="000000" w:themeColor="text1"/>
          <w:sz w:val="22"/>
          <w:szCs w:val="22"/>
        </w:rPr>
        <w:t xml:space="preserve">čki efekat </w:t>
      </w:r>
      <w:r>
        <w:rPr>
          <w:rFonts w:ascii="Book Antiqua" w:hAnsi="Book Antiqua" w:cs="Times New Roman"/>
          <w:i/>
          <w:iCs/>
          <w:color w:val="000000" w:themeColor="text1"/>
          <w:sz w:val="22"/>
          <w:szCs w:val="22"/>
        </w:rPr>
        <w:t>T. atroviride</w:t>
      </w:r>
      <w:r>
        <w:rPr>
          <w:rFonts w:ascii="Book Antiqua" w:hAnsi="Book Antiqua" w:cs="Times New Roman"/>
          <w:color w:val="000000" w:themeColor="text1"/>
          <w:sz w:val="22"/>
          <w:szCs w:val="22"/>
        </w:rPr>
        <w:t xml:space="preserve"> SC1 prema </w:t>
      </w:r>
      <w:r>
        <w:rPr>
          <w:rFonts w:ascii="Book Antiqua" w:hAnsi="Book Antiqua" w:cs="Times New Roman"/>
          <w:i/>
          <w:iCs/>
          <w:color w:val="000000" w:themeColor="text1"/>
          <w:sz w:val="22"/>
          <w:szCs w:val="22"/>
        </w:rPr>
        <w:t xml:space="preserve">F. mediterranea </w:t>
      </w:r>
      <w:r>
        <w:rPr>
          <w:rFonts w:ascii="Book Antiqua" w:hAnsi="Book Antiqua" w:cs="Times New Roman"/>
          <w:color w:val="000000" w:themeColor="text1"/>
          <w:sz w:val="22"/>
          <w:szCs w:val="22"/>
        </w:rPr>
        <w:t>izolat MN008</w:t>
      </w:r>
    </w:p>
    <w:p w14:paraId="69AEE45C" w14:textId="77777777" w:rsidR="003801E8" w:rsidRDefault="003801E8">
      <w:pPr>
        <w:tabs>
          <w:tab w:val="left" w:pos="3315"/>
        </w:tabs>
        <w:jc w:val="both"/>
        <w:rPr>
          <w:rFonts w:ascii="Book Antiqua" w:hAnsi="Book Antiqua" w:cs="Times New Roman"/>
          <w:color w:val="000000" w:themeColor="text1"/>
          <w:sz w:val="24"/>
          <w:szCs w:val="24"/>
        </w:rPr>
      </w:pPr>
    </w:p>
    <w:p w14:paraId="757B7F80" w14:textId="77777777" w:rsidR="003801E8" w:rsidRDefault="00E44AAE">
      <w:pPr>
        <w:tabs>
          <w:tab w:val="left" w:pos="3315"/>
        </w:tabs>
        <w:jc w:val="both"/>
        <w:rPr>
          <w:rFonts w:ascii="Book Antiqua" w:hAnsi="Book Antiqua" w:cs="Times New Roman"/>
          <w:b/>
          <w:bCs/>
          <w:color w:val="000000" w:themeColor="text1"/>
          <w:sz w:val="24"/>
          <w:szCs w:val="24"/>
        </w:rPr>
      </w:pPr>
      <w:r>
        <w:rPr>
          <w:rFonts w:ascii="Book Antiqua" w:hAnsi="Book Antiqua" w:cs="Times New Roman"/>
          <w:b/>
          <w:bCs/>
          <w:color w:val="000000" w:themeColor="text1"/>
          <w:sz w:val="24"/>
          <w:szCs w:val="24"/>
        </w:rPr>
        <w:t xml:space="preserve">5.10. Indirektan </w:t>
      </w:r>
      <w:r>
        <w:rPr>
          <w:rFonts w:ascii="Book Antiqua" w:hAnsi="Book Antiqua" w:cs="Times New Roman"/>
          <w:b/>
          <w:bCs/>
          <w:i/>
          <w:iCs/>
          <w:color w:val="000000" w:themeColor="text1"/>
          <w:sz w:val="24"/>
          <w:szCs w:val="24"/>
        </w:rPr>
        <w:t>in vitro</w:t>
      </w:r>
      <w:r>
        <w:rPr>
          <w:rFonts w:ascii="Book Antiqua" w:hAnsi="Book Antiqua" w:cs="Times New Roman"/>
          <w:b/>
          <w:bCs/>
          <w:color w:val="000000" w:themeColor="text1"/>
          <w:sz w:val="24"/>
          <w:szCs w:val="24"/>
        </w:rPr>
        <w:t xml:space="preserve"> test </w:t>
      </w:r>
      <w:r>
        <w:rPr>
          <w:rFonts w:ascii="Book Antiqua" w:hAnsi="Book Antiqua" w:cs="Times New Roman"/>
          <w:b/>
          <w:bCs/>
          <w:i/>
          <w:iCs/>
          <w:color w:val="000000" w:themeColor="text1"/>
          <w:sz w:val="24"/>
          <w:szCs w:val="24"/>
        </w:rPr>
        <w:t>T. citrinoviride</w:t>
      </w:r>
      <w:r>
        <w:rPr>
          <w:rFonts w:ascii="Book Antiqua" w:hAnsi="Book Antiqua" w:cs="Times New Roman"/>
          <w:b/>
          <w:bCs/>
          <w:color w:val="000000" w:themeColor="text1"/>
          <w:sz w:val="24"/>
          <w:szCs w:val="24"/>
        </w:rPr>
        <w:t xml:space="preserve"> T-CG, </w:t>
      </w:r>
      <w:r>
        <w:rPr>
          <w:rFonts w:ascii="Book Antiqua" w:hAnsi="Book Antiqua" w:cs="Times New Roman"/>
          <w:b/>
          <w:bCs/>
          <w:i/>
          <w:iCs/>
          <w:color w:val="000000" w:themeColor="text1"/>
          <w:sz w:val="24"/>
          <w:szCs w:val="24"/>
        </w:rPr>
        <w:t>T. atroviride</w:t>
      </w:r>
      <w:r>
        <w:rPr>
          <w:rFonts w:ascii="Book Antiqua" w:hAnsi="Book Antiqua" w:cs="Times New Roman"/>
          <w:b/>
          <w:bCs/>
          <w:color w:val="000000" w:themeColor="text1"/>
          <w:sz w:val="24"/>
          <w:szCs w:val="24"/>
        </w:rPr>
        <w:t xml:space="preserve"> SC1 i bakra prema patogenima prouzrokovačima eska oboljenja</w:t>
      </w:r>
    </w:p>
    <w:p w14:paraId="1DD748CA"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Deseti dan nakon inokulacije </w:t>
      </w:r>
      <w:r>
        <w:rPr>
          <w:rFonts w:ascii="Book Antiqua" w:hAnsi="Book Antiqua" w:cs="Times New Roman"/>
          <w:i/>
          <w:iCs/>
          <w:color w:val="000000" w:themeColor="text1"/>
          <w:sz w:val="24"/>
          <w:szCs w:val="24"/>
        </w:rPr>
        <w:t>T. citrinoviride</w:t>
      </w:r>
      <w:r>
        <w:rPr>
          <w:rFonts w:ascii="Book Antiqua" w:hAnsi="Book Antiqua" w:cs="Times New Roman"/>
          <w:color w:val="000000" w:themeColor="text1"/>
          <w:sz w:val="24"/>
          <w:szCs w:val="24"/>
        </w:rPr>
        <w:t xml:space="preserve"> T-CG odnosno </w:t>
      </w:r>
      <w:r>
        <w:rPr>
          <w:rFonts w:ascii="Book Antiqua" w:hAnsi="Book Antiqua" w:cs="Times New Roman"/>
          <w:i/>
          <w:iCs/>
          <w:color w:val="000000" w:themeColor="text1"/>
          <w:sz w:val="24"/>
          <w:szCs w:val="24"/>
        </w:rPr>
        <w:t>T-atroviride</w:t>
      </w:r>
      <w:r>
        <w:rPr>
          <w:rFonts w:ascii="Book Antiqua" w:hAnsi="Book Antiqua" w:cs="Times New Roman"/>
          <w:color w:val="000000" w:themeColor="text1"/>
          <w:sz w:val="24"/>
          <w:szCs w:val="24"/>
        </w:rPr>
        <w:t xml:space="preserve"> SC1 prouzrokovale su statistički značajno smanjenje micelijskog rasta izolata MN002 patogene gljive </w:t>
      </w:r>
      <w:r>
        <w:rPr>
          <w:rFonts w:ascii="Book Antiqua" w:hAnsi="Book Antiqua" w:cs="Times New Roman"/>
          <w:i/>
          <w:iCs/>
          <w:color w:val="000000" w:themeColor="text1"/>
          <w:sz w:val="24"/>
          <w:szCs w:val="24"/>
        </w:rPr>
        <w:t>P. minimum</w:t>
      </w:r>
      <w:r>
        <w:rPr>
          <w:rFonts w:ascii="Book Antiqua" w:hAnsi="Book Antiqua" w:cs="Times New Roman"/>
          <w:color w:val="000000" w:themeColor="text1"/>
          <w:sz w:val="24"/>
          <w:szCs w:val="24"/>
        </w:rPr>
        <w:t xml:space="preserve"> (p=</w:t>
      </w:r>
      <w:r>
        <w:t xml:space="preserve"> </w:t>
      </w:r>
      <w:r>
        <w:rPr>
          <w:rFonts w:ascii="Book Antiqua" w:hAnsi="Book Antiqua" w:cs="Times New Roman"/>
          <w:color w:val="000000" w:themeColor="text1"/>
          <w:sz w:val="24"/>
          <w:szCs w:val="24"/>
        </w:rPr>
        <w:t xml:space="preserve">1.6438E-19;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6.78201E-15), izolata MN011 patogena </w:t>
      </w:r>
      <w:r>
        <w:rPr>
          <w:rFonts w:ascii="Book Antiqua" w:hAnsi="Book Antiqua" w:cs="Times New Roman"/>
          <w:i/>
          <w:iCs/>
          <w:color w:val="000000" w:themeColor="text1"/>
          <w:sz w:val="24"/>
          <w:szCs w:val="24"/>
        </w:rPr>
        <w:t>P. chlamydospora</w:t>
      </w:r>
      <w:r>
        <w:rPr>
          <w:rFonts w:ascii="Book Antiqua" w:hAnsi="Book Antiqua" w:cs="Times New Roman"/>
          <w:color w:val="000000" w:themeColor="text1"/>
          <w:sz w:val="24"/>
          <w:szCs w:val="24"/>
        </w:rPr>
        <w:t xml:space="preserve">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 xml:space="preserve">=2.18808E-11;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 xml:space="preserve">=1.75095E-11) i izolata MN008 gljive </w:t>
      </w:r>
      <w:r>
        <w:rPr>
          <w:rFonts w:ascii="Book Antiqua" w:hAnsi="Book Antiqua" w:cs="Times New Roman"/>
          <w:i/>
          <w:iCs/>
          <w:color w:val="000000" w:themeColor="text1"/>
          <w:sz w:val="24"/>
          <w:szCs w:val="24"/>
        </w:rPr>
        <w:t xml:space="preserve">F. mediterranea </w:t>
      </w:r>
      <w:r>
        <w:rPr>
          <w:rFonts w:ascii="Book Antiqua" w:hAnsi="Book Antiqua" w:cs="Times New Roman"/>
          <w:color w:val="000000" w:themeColor="text1"/>
          <w:sz w:val="24"/>
          <w:szCs w:val="24"/>
        </w:rPr>
        <w:t>(</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2.26226E-21;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=6.127E-14). Statistički značajan antagonistički potencijal utvrđen je i u tretmanima sa bakrom u koncentraciji od 0.5%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1.05356E-24 – </w:t>
      </w:r>
      <w:r>
        <w:rPr>
          <w:rFonts w:ascii="Book Antiqua" w:hAnsi="Book Antiqua" w:cs="Times New Roman"/>
          <w:i/>
          <w:iCs/>
          <w:color w:val="000000" w:themeColor="text1"/>
          <w:sz w:val="24"/>
          <w:szCs w:val="24"/>
        </w:rPr>
        <w:t>P. minimum</w:t>
      </w:r>
      <w:r>
        <w:rPr>
          <w:rFonts w:ascii="Book Antiqua" w:hAnsi="Book Antiqua" w:cs="Times New Roman"/>
          <w:color w:val="000000" w:themeColor="text1"/>
          <w:sz w:val="24"/>
          <w:szCs w:val="24"/>
        </w:rPr>
        <w:t xml:space="preserve"> MN002;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3.00199E-17 – </w:t>
      </w:r>
      <w:r>
        <w:rPr>
          <w:rFonts w:ascii="Book Antiqua" w:hAnsi="Book Antiqua" w:cs="Times New Roman"/>
          <w:i/>
          <w:iCs/>
          <w:color w:val="000000" w:themeColor="text1"/>
          <w:sz w:val="24"/>
          <w:szCs w:val="24"/>
        </w:rPr>
        <w:t>P. chlamydospora</w:t>
      </w:r>
      <w:r>
        <w:rPr>
          <w:rFonts w:ascii="Book Antiqua" w:hAnsi="Book Antiqua" w:cs="Times New Roman"/>
          <w:color w:val="000000" w:themeColor="text1"/>
          <w:sz w:val="24"/>
          <w:szCs w:val="24"/>
        </w:rPr>
        <w:t xml:space="preserve"> MN011;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8.10813E-26 – </w:t>
      </w:r>
      <w:r>
        <w:rPr>
          <w:rFonts w:ascii="Book Antiqua" w:hAnsi="Book Antiqua" w:cs="Times New Roman"/>
          <w:i/>
          <w:iCs/>
          <w:color w:val="000000" w:themeColor="text1"/>
          <w:sz w:val="24"/>
          <w:szCs w:val="24"/>
        </w:rPr>
        <w:t>F. mediterranea</w:t>
      </w:r>
      <w:r>
        <w:rPr>
          <w:rFonts w:ascii="Book Antiqua" w:hAnsi="Book Antiqua" w:cs="Times New Roman"/>
          <w:color w:val="000000" w:themeColor="text1"/>
          <w:sz w:val="24"/>
          <w:szCs w:val="24"/>
        </w:rPr>
        <w:t xml:space="preserve"> MN008). </w:t>
      </w:r>
    </w:p>
    <w:p w14:paraId="67102773"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lastRenderedPageBreak/>
        <w:t xml:space="preserve">U tretmanu sa deset puta manjom koncentracijom bakra (0.05%) utvrđen je statistički značajan potencijal prema </w:t>
      </w:r>
      <w:r>
        <w:rPr>
          <w:rFonts w:ascii="Book Antiqua" w:hAnsi="Book Antiqua" w:cs="Times New Roman"/>
          <w:i/>
          <w:iCs/>
          <w:color w:val="000000" w:themeColor="text1"/>
          <w:sz w:val="24"/>
          <w:szCs w:val="24"/>
        </w:rPr>
        <w:t>P. minimum</w:t>
      </w:r>
      <w:r>
        <w:rPr>
          <w:rFonts w:ascii="Book Antiqua" w:hAnsi="Book Antiqua" w:cs="Times New Roman"/>
          <w:color w:val="000000" w:themeColor="text1"/>
          <w:sz w:val="24"/>
          <w:szCs w:val="24"/>
        </w:rPr>
        <w:t xml:space="preserve"> MN002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2.17836E-09) i </w:t>
      </w:r>
      <w:r>
        <w:rPr>
          <w:rFonts w:ascii="Book Antiqua" w:hAnsi="Book Antiqua" w:cs="Times New Roman"/>
          <w:i/>
          <w:iCs/>
          <w:color w:val="000000" w:themeColor="text1"/>
          <w:sz w:val="24"/>
          <w:szCs w:val="24"/>
        </w:rPr>
        <w:t>F. mediterranea</w:t>
      </w:r>
      <w:r>
        <w:rPr>
          <w:rFonts w:ascii="Book Antiqua" w:hAnsi="Book Antiqua" w:cs="Times New Roman"/>
          <w:color w:val="000000" w:themeColor="text1"/>
          <w:sz w:val="24"/>
          <w:szCs w:val="24"/>
        </w:rPr>
        <w:t xml:space="preserve"> MN008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1.97044E-14), ali ne i prema izolatu </w:t>
      </w:r>
      <w:r>
        <w:rPr>
          <w:rFonts w:ascii="Book Antiqua" w:hAnsi="Book Antiqua" w:cs="Times New Roman"/>
          <w:i/>
          <w:iCs/>
          <w:color w:val="000000" w:themeColor="text1"/>
          <w:sz w:val="24"/>
          <w:szCs w:val="24"/>
        </w:rPr>
        <w:t>P. chlamydospora</w:t>
      </w:r>
      <w:r>
        <w:rPr>
          <w:rFonts w:ascii="Book Antiqua" w:hAnsi="Book Antiqua" w:cs="Times New Roman"/>
          <w:color w:val="000000" w:themeColor="text1"/>
          <w:sz w:val="24"/>
          <w:szCs w:val="24"/>
        </w:rPr>
        <w:t xml:space="preserve"> MN011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0.07). U eksperimentu, koncentracija bakra od 0.5% je pokazala statistički značajniji antagonistički potencijal prema izolatima svih ispitivanih patogena u odnosu na koncentraciju 0.05%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1.81546E-18 – </w:t>
      </w:r>
      <w:r>
        <w:rPr>
          <w:rFonts w:ascii="Book Antiqua" w:hAnsi="Book Antiqua" w:cs="Times New Roman"/>
          <w:i/>
          <w:iCs/>
          <w:color w:val="000000" w:themeColor="text1"/>
          <w:sz w:val="24"/>
          <w:szCs w:val="24"/>
        </w:rPr>
        <w:t>P. minimum</w:t>
      </w:r>
      <w:r>
        <w:rPr>
          <w:rFonts w:ascii="Book Antiqua" w:hAnsi="Book Antiqua" w:cs="Times New Roman"/>
          <w:color w:val="000000" w:themeColor="text1"/>
          <w:sz w:val="24"/>
          <w:szCs w:val="24"/>
        </w:rPr>
        <w:t xml:space="preserve"> MN002;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2.47401E-17 – </w:t>
      </w:r>
      <w:r>
        <w:rPr>
          <w:rFonts w:ascii="Book Antiqua" w:hAnsi="Book Antiqua" w:cs="Times New Roman"/>
          <w:i/>
          <w:iCs/>
          <w:color w:val="000000" w:themeColor="text1"/>
          <w:sz w:val="24"/>
          <w:szCs w:val="24"/>
        </w:rPr>
        <w:t>P. chlamydospora</w:t>
      </w:r>
      <w:r>
        <w:rPr>
          <w:rFonts w:ascii="Book Antiqua" w:hAnsi="Book Antiqua" w:cs="Times New Roman"/>
          <w:color w:val="000000" w:themeColor="text1"/>
          <w:sz w:val="24"/>
          <w:szCs w:val="24"/>
        </w:rPr>
        <w:t xml:space="preserve">;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2.77314E-24 – </w:t>
      </w:r>
      <w:r>
        <w:rPr>
          <w:rFonts w:ascii="Book Antiqua" w:hAnsi="Book Antiqua" w:cs="Times New Roman"/>
          <w:i/>
          <w:iCs/>
          <w:color w:val="000000" w:themeColor="text1"/>
          <w:sz w:val="24"/>
          <w:szCs w:val="24"/>
        </w:rPr>
        <w:t>F. mediterranea</w:t>
      </w:r>
      <w:r>
        <w:rPr>
          <w:rFonts w:ascii="Book Antiqua" w:hAnsi="Book Antiqua" w:cs="Times New Roman"/>
          <w:color w:val="000000" w:themeColor="text1"/>
          <w:sz w:val="24"/>
          <w:szCs w:val="24"/>
        </w:rPr>
        <w:t xml:space="preserve"> MN008). Takođe bakar primijenjen u koncentraciji 0.5% ispoljio je statistički značajan antagonizam prema svim ispitivanim izolatima u odnosu na biokontrolne mikroorganizme </w:t>
      </w:r>
      <w:r>
        <w:rPr>
          <w:rFonts w:ascii="Book Antiqua" w:hAnsi="Book Antiqua" w:cs="Times New Roman"/>
          <w:i/>
          <w:iCs/>
          <w:color w:val="000000" w:themeColor="text1"/>
          <w:sz w:val="24"/>
          <w:szCs w:val="24"/>
        </w:rPr>
        <w:t>T. citrinoviride</w:t>
      </w:r>
      <w:r>
        <w:rPr>
          <w:rFonts w:ascii="Book Antiqua" w:hAnsi="Book Antiqua" w:cs="Times New Roman"/>
          <w:color w:val="000000" w:themeColor="text1"/>
          <w:sz w:val="24"/>
          <w:szCs w:val="24"/>
        </w:rPr>
        <w:t xml:space="preserve"> T-CG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1.29576E-20 – </w:t>
      </w:r>
      <w:r>
        <w:rPr>
          <w:rFonts w:ascii="Book Antiqua" w:hAnsi="Book Antiqua" w:cs="Times New Roman"/>
          <w:i/>
          <w:iCs/>
          <w:color w:val="000000" w:themeColor="text1"/>
          <w:sz w:val="24"/>
          <w:szCs w:val="24"/>
        </w:rPr>
        <w:t>P. minimum</w:t>
      </w:r>
      <w:r>
        <w:rPr>
          <w:rFonts w:ascii="Book Antiqua" w:hAnsi="Book Antiqua" w:cs="Times New Roman"/>
          <w:color w:val="000000" w:themeColor="text1"/>
          <w:sz w:val="24"/>
          <w:szCs w:val="24"/>
        </w:rPr>
        <w:t xml:space="preserve"> MN002;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2.40594E-20 – </w:t>
      </w:r>
      <w:r>
        <w:rPr>
          <w:rFonts w:ascii="Book Antiqua" w:hAnsi="Book Antiqua" w:cs="Times New Roman"/>
          <w:i/>
          <w:iCs/>
          <w:color w:val="000000" w:themeColor="text1"/>
          <w:sz w:val="24"/>
          <w:szCs w:val="24"/>
        </w:rPr>
        <w:t>P. chlamydospora</w:t>
      </w:r>
      <w:r>
        <w:rPr>
          <w:rFonts w:ascii="Book Antiqua" w:hAnsi="Book Antiqua" w:cs="Times New Roman"/>
          <w:color w:val="000000" w:themeColor="text1"/>
          <w:sz w:val="24"/>
          <w:szCs w:val="24"/>
        </w:rPr>
        <w:t xml:space="preserve"> MN011;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2.39212E-15 – </w:t>
      </w:r>
      <w:r>
        <w:rPr>
          <w:rFonts w:ascii="Book Antiqua" w:hAnsi="Book Antiqua" w:cs="Times New Roman"/>
          <w:i/>
          <w:iCs/>
          <w:color w:val="000000" w:themeColor="text1"/>
          <w:sz w:val="24"/>
          <w:szCs w:val="24"/>
        </w:rPr>
        <w:t>F. mediterranea</w:t>
      </w:r>
      <w:r>
        <w:rPr>
          <w:rFonts w:ascii="Book Antiqua" w:hAnsi="Book Antiqua" w:cs="Times New Roman"/>
          <w:color w:val="000000" w:themeColor="text1"/>
          <w:sz w:val="24"/>
          <w:szCs w:val="24"/>
        </w:rPr>
        <w:t xml:space="preserve"> MN008) i </w:t>
      </w:r>
      <w:r>
        <w:rPr>
          <w:rFonts w:ascii="Book Antiqua" w:hAnsi="Book Antiqua" w:cs="Times New Roman"/>
          <w:i/>
          <w:iCs/>
          <w:color w:val="000000" w:themeColor="text1"/>
          <w:sz w:val="24"/>
          <w:szCs w:val="24"/>
        </w:rPr>
        <w:t>T. atroviride</w:t>
      </w:r>
      <w:r>
        <w:rPr>
          <w:rFonts w:ascii="Book Antiqua" w:hAnsi="Book Antiqua" w:cs="Times New Roman"/>
          <w:color w:val="000000" w:themeColor="text1"/>
          <w:sz w:val="24"/>
          <w:szCs w:val="24"/>
        </w:rPr>
        <w:t xml:space="preserve"> SC1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1.08706E-19 – </w:t>
      </w:r>
      <w:r>
        <w:rPr>
          <w:rFonts w:ascii="Book Antiqua" w:hAnsi="Book Antiqua" w:cs="Times New Roman"/>
          <w:i/>
          <w:iCs/>
          <w:color w:val="000000" w:themeColor="text1"/>
          <w:sz w:val="24"/>
          <w:szCs w:val="24"/>
        </w:rPr>
        <w:t>P. minimum</w:t>
      </w:r>
      <w:r>
        <w:rPr>
          <w:rFonts w:ascii="Book Antiqua" w:hAnsi="Book Antiqua" w:cs="Times New Roman"/>
          <w:color w:val="000000" w:themeColor="text1"/>
          <w:sz w:val="24"/>
          <w:szCs w:val="24"/>
        </w:rPr>
        <w:t xml:space="preserve"> MN008;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2.65141E-20 – </w:t>
      </w:r>
      <w:r>
        <w:rPr>
          <w:rFonts w:ascii="Book Antiqua" w:hAnsi="Book Antiqua" w:cs="Times New Roman"/>
          <w:i/>
          <w:iCs/>
          <w:color w:val="000000" w:themeColor="text1"/>
          <w:sz w:val="24"/>
          <w:szCs w:val="24"/>
        </w:rPr>
        <w:t>P. chlamydospora</w:t>
      </w:r>
      <w:r>
        <w:rPr>
          <w:rFonts w:ascii="Book Antiqua" w:hAnsi="Book Antiqua" w:cs="Times New Roman"/>
          <w:color w:val="000000" w:themeColor="text1"/>
          <w:sz w:val="24"/>
          <w:szCs w:val="24"/>
        </w:rPr>
        <w:t xml:space="preserve"> MN011;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4.2096E-23 -  </w:t>
      </w:r>
      <w:r>
        <w:rPr>
          <w:rFonts w:ascii="Book Antiqua" w:hAnsi="Book Antiqua" w:cs="Times New Roman"/>
          <w:i/>
          <w:iCs/>
          <w:color w:val="000000" w:themeColor="text1"/>
          <w:sz w:val="24"/>
          <w:szCs w:val="24"/>
        </w:rPr>
        <w:t>F. mediterranea</w:t>
      </w:r>
      <w:r>
        <w:rPr>
          <w:rFonts w:ascii="Book Antiqua" w:hAnsi="Book Antiqua" w:cs="Times New Roman"/>
          <w:color w:val="000000" w:themeColor="text1"/>
          <w:sz w:val="24"/>
          <w:szCs w:val="24"/>
        </w:rPr>
        <w:t xml:space="preserve">). </w:t>
      </w:r>
    </w:p>
    <w:p w14:paraId="71C65E36"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Tretman koncentracijom bakra od 0.05% ima slabiji antagonistički potencijal od izolata </w:t>
      </w:r>
      <w:r>
        <w:rPr>
          <w:rFonts w:ascii="Book Antiqua" w:hAnsi="Book Antiqua" w:cs="Times New Roman"/>
          <w:i/>
          <w:iCs/>
          <w:color w:val="000000" w:themeColor="text1"/>
          <w:sz w:val="24"/>
          <w:szCs w:val="24"/>
        </w:rPr>
        <w:t>T. citrinoviride</w:t>
      </w:r>
      <w:r>
        <w:rPr>
          <w:rFonts w:ascii="Book Antiqua" w:hAnsi="Book Antiqua" w:cs="Times New Roman"/>
          <w:color w:val="000000" w:themeColor="text1"/>
          <w:sz w:val="24"/>
          <w:szCs w:val="24"/>
        </w:rPr>
        <w:t xml:space="preserve"> T-CG prema svim ispitivanim patogenim izolatima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2.17836E-09 – </w:t>
      </w:r>
      <w:r>
        <w:rPr>
          <w:rFonts w:ascii="Book Antiqua" w:hAnsi="Book Antiqua" w:cs="Times New Roman"/>
          <w:i/>
          <w:iCs/>
          <w:color w:val="000000" w:themeColor="text1"/>
          <w:sz w:val="24"/>
          <w:szCs w:val="24"/>
        </w:rPr>
        <w:t>P. minimum</w:t>
      </w:r>
      <w:r>
        <w:rPr>
          <w:rFonts w:ascii="Book Antiqua" w:hAnsi="Book Antiqua" w:cs="Times New Roman"/>
          <w:color w:val="000000" w:themeColor="text1"/>
          <w:sz w:val="24"/>
          <w:szCs w:val="24"/>
        </w:rPr>
        <w:t xml:space="preserve"> MN002;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1.71112E-10 – </w:t>
      </w:r>
      <w:r>
        <w:rPr>
          <w:rFonts w:ascii="Book Antiqua" w:hAnsi="Book Antiqua" w:cs="Times New Roman"/>
          <w:i/>
          <w:iCs/>
          <w:color w:val="000000" w:themeColor="text1"/>
          <w:sz w:val="24"/>
          <w:szCs w:val="24"/>
        </w:rPr>
        <w:t>P. chlamydospora</w:t>
      </w:r>
      <w:r>
        <w:rPr>
          <w:rFonts w:ascii="Book Antiqua" w:hAnsi="Book Antiqua" w:cs="Times New Roman"/>
          <w:color w:val="000000" w:themeColor="text1"/>
          <w:sz w:val="24"/>
          <w:szCs w:val="24"/>
        </w:rPr>
        <w:t xml:space="preserve"> MN011;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2.77314E-24 – </w:t>
      </w:r>
      <w:r>
        <w:rPr>
          <w:rFonts w:ascii="Book Antiqua" w:hAnsi="Book Antiqua" w:cs="Times New Roman"/>
          <w:i/>
          <w:iCs/>
          <w:color w:val="000000" w:themeColor="text1"/>
          <w:sz w:val="24"/>
          <w:szCs w:val="24"/>
        </w:rPr>
        <w:t>F. mediterranea</w:t>
      </w:r>
      <w:r>
        <w:rPr>
          <w:rFonts w:ascii="Book Antiqua" w:hAnsi="Book Antiqua" w:cs="Times New Roman"/>
          <w:color w:val="000000" w:themeColor="text1"/>
          <w:sz w:val="24"/>
          <w:szCs w:val="24"/>
        </w:rPr>
        <w:t xml:space="preserve"> MN008) i </w:t>
      </w:r>
      <w:r>
        <w:rPr>
          <w:rFonts w:ascii="Book Antiqua" w:hAnsi="Book Antiqua" w:cs="Times New Roman"/>
          <w:i/>
          <w:iCs/>
          <w:color w:val="000000" w:themeColor="text1"/>
          <w:sz w:val="24"/>
          <w:szCs w:val="24"/>
        </w:rPr>
        <w:t>T. atroviride</w:t>
      </w:r>
      <w:r>
        <w:rPr>
          <w:rFonts w:ascii="Book Antiqua" w:hAnsi="Book Antiqua" w:cs="Times New Roman"/>
          <w:color w:val="000000" w:themeColor="text1"/>
          <w:sz w:val="24"/>
          <w:szCs w:val="24"/>
        </w:rPr>
        <w:t xml:space="preserve"> SC1 prema izolatu </w:t>
      </w:r>
      <w:r>
        <w:rPr>
          <w:rFonts w:ascii="Book Antiqua" w:hAnsi="Book Antiqua" w:cs="Times New Roman"/>
          <w:i/>
          <w:iCs/>
          <w:color w:val="000000" w:themeColor="text1"/>
          <w:sz w:val="24"/>
          <w:szCs w:val="24"/>
        </w:rPr>
        <w:t>P. chlamydospora</w:t>
      </w:r>
      <w:r>
        <w:rPr>
          <w:rFonts w:ascii="Book Antiqua" w:hAnsi="Book Antiqua" w:cs="Times New Roman"/>
          <w:color w:val="000000" w:themeColor="text1"/>
          <w:sz w:val="24"/>
          <w:szCs w:val="24"/>
        </w:rPr>
        <w:t xml:space="preserve"> MN011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1.30821E-10). Međutim, nije utvrđena statistički značajna razlika između tretmana bakrom u koncentraciji od 0.05% i </w:t>
      </w:r>
      <w:r>
        <w:rPr>
          <w:rFonts w:ascii="Book Antiqua" w:hAnsi="Book Antiqua" w:cs="Times New Roman"/>
          <w:i/>
          <w:iCs/>
          <w:color w:val="000000" w:themeColor="text1"/>
          <w:sz w:val="24"/>
          <w:szCs w:val="24"/>
        </w:rPr>
        <w:t>T. atroviride</w:t>
      </w:r>
      <w:r>
        <w:rPr>
          <w:rFonts w:ascii="Book Antiqua" w:hAnsi="Book Antiqua" w:cs="Times New Roman"/>
          <w:color w:val="000000" w:themeColor="text1"/>
          <w:sz w:val="24"/>
          <w:szCs w:val="24"/>
        </w:rPr>
        <w:t xml:space="preserve"> SC1 prema izolatima </w:t>
      </w:r>
      <w:r>
        <w:rPr>
          <w:rFonts w:ascii="Book Antiqua" w:hAnsi="Book Antiqua" w:cs="Times New Roman"/>
          <w:i/>
          <w:iCs/>
          <w:color w:val="000000" w:themeColor="text1"/>
          <w:sz w:val="24"/>
          <w:szCs w:val="24"/>
        </w:rPr>
        <w:t>P. minimum</w:t>
      </w:r>
      <w:r>
        <w:rPr>
          <w:rFonts w:ascii="Book Antiqua" w:hAnsi="Book Antiqua" w:cs="Times New Roman"/>
          <w:color w:val="000000" w:themeColor="text1"/>
          <w:sz w:val="24"/>
          <w:szCs w:val="24"/>
        </w:rPr>
        <w:t xml:space="preserve"> MN002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 xml:space="preserve">=0.14) i </w:t>
      </w:r>
      <w:r>
        <w:rPr>
          <w:rFonts w:ascii="Book Antiqua" w:hAnsi="Book Antiqua" w:cs="Times New Roman"/>
          <w:i/>
          <w:iCs/>
          <w:color w:val="000000" w:themeColor="text1"/>
          <w:sz w:val="24"/>
          <w:szCs w:val="24"/>
        </w:rPr>
        <w:t>F. mediterranea</w:t>
      </w:r>
      <w:r>
        <w:rPr>
          <w:rFonts w:ascii="Book Antiqua" w:hAnsi="Book Antiqua" w:cs="Times New Roman"/>
          <w:color w:val="000000" w:themeColor="text1"/>
          <w:sz w:val="24"/>
          <w:szCs w:val="24"/>
        </w:rPr>
        <w:t xml:space="preserve"> MN008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 xml:space="preserve">=0.91). </w:t>
      </w:r>
    </w:p>
    <w:p w14:paraId="62192BFC"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i/>
          <w:iCs/>
          <w:color w:val="000000" w:themeColor="text1"/>
          <w:sz w:val="24"/>
          <w:szCs w:val="24"/>
        </w:rPr>
        <w:t>T. citrinoviride</w:t>
      </w:r>
      <w:r>
        <w:rPr>
          <w:rFonts w:ascii="Book Antiqua" w:hAnsi="Book Antiqua" w:cs="Times New Roman"/>
          <w:color w:val="000000" w:themeColor="text1"/>
          <w:sz w:val="24"/>
          <w:szCs w:val="24"/>
        </w:rPr>
        <w:t xml:space="preserve"> T-CG ispoljila je statistički značajniji antagonistićki potencijal prema izolatima patogena </w:t>
      </w:r>
      <w:r>
        <w:rPr>
          <w:rFonts w:ascii="Book Antiqua" w:hAnsi="Book Antiqua" w:cs="Times New Roman"/>
          <w:i/>
          <w:iCs/>
          <w:color w:val="000000" w:themeColor="text1"/>
          <w:sz w:val="24"/>
          <w:szCs w:val="24"/>
        </w:rPr>
        <w:t>P. minimum</w:t>
      </w:r>
      <w:r>
        <w:rPr>
          <w:rFonts w:ascii="Book Antiqua" w:hAnsi="Book Antiqua" w:cs="Times New Roman"/>
          <w:color w:val="000000" w:themeColor="text1"/>
          <w:sz w:val="24"/>
          <w:szCs w:val="24"/>
        </w:rPr>
        <w:t xml:space="preserve"> MN002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4.63478E-09) i </w:t>
      </w:r>
      <w:r>
        <w:rPr>
          <w:rFonts w:ascii="Book Antiqua" w:hAnsi="Book Antiqua" w:cs="Times New Roman"/>
          <w:i/>
          <w:iCs/>
          <w:color w:val="000000" w:themeColor="text1"/>
          <w:sz w:val="24"/>
          <w:szCs w:val="24"/>
        </w:rPr>
        <w:t>F. mediterranea</w:t>
      </w:r>
      <w:r>
        <w:rPr>
          <w:rFonts w:ascii="Book Antiqua" w:hAnsi="Book Antiqua" w:cs="Times New Roman"/>
          <w:color w:val="000000" w:themeColor="text1"/>
          <w:sz w:val="24"/>
          <w:szCs w:val="24"/>
        </w:rPr>
        <w:t xml:space="preserve"> MN008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w:t>
      </w:r>
      <w:r>
        <w:t xml:space="preserve"> </w:t>
      </w:r>
      <w:r>
        <w:rPr>
          <w:rFonts w:ascii="Book Antiqua" w:hAnsi="Book Antiqua" w:cs="Times New Roman"/>
          <w:color w:val="000000" w:themeColor="text1"/>
          <w:sz w:val="24"/>
          <w:szCs w:val="24"/>
        </w:rPr>
        <w:t xml:space="preserve">2.43273E-16) u odnosu na </w:t>
      </w:r>
      <w:r>
        <w:rPr>
          <w:rFonts w:ascii="Book Antiqua" w:hAnsi="Book Antiqua" w:cs="Times New Roman"/>
          <w:i/>
          <w:iCs/>
          <w:color w:val="000000" w:themeColor="text1"/>
          <w:sz w:val="24"/>
          <w:szCs w:val="24"/>
        </w:rPr>
        <w:t xml:space="preserve">T. atroviride </w:t>
      </w:r>
      <w:r>
        <w:rPr>
          <w:rFonts w:ascii="Book Antiqua" w:hAnsi="Book Antiqua" w:cs="Times New Roman"/>
          <w:color w:val="000000" w:themeColor="text1"/>
          <w:sz w:val="24"/>
          <w:szCs w:val="24"/>
        </w:rPr>
        <w:t xml:space="preserve">SC1. Međutim, kada je u pitanju antagonizam ova dva testirana biokontrolna mikroorganizma prema izolatu patogena </w:t>
      </w:r>
      <w:r>
        <w:rPr>
          <w:rFonts w:ascii="Book Antiqua" w:hAnsi="Book Antiqua" w:cs="Times New Roman"/>
          <w:i/>
          <w:iCs/>
          <w:color w:val="000000" w:themeColor="text1"/>
          <w:sz w:val="24"/>
          <w:szCs w:val="24"/>
        </w:rPr>
        <w:t>P. chlamydospora</w:t>
      </w:r>
      <w:r>
        <w:rPr>
          <w:rFonts w:ascii="Book Antiqua" w:hAnsi="Book Antiqua" w:cs="Times New Roman"/>
          <w:color w:val="000000" w:themeColor="text1"/>
          <w:sz w:val="24"/>
          <w:szCs w:val="24"/>
        </w:rPr>
        <w:t xml:space="preserve"> MN011 nema statistički značajne razlike (</w:t>
      </w:r>
      <w:r>
        <w:rPr>
          <w:rFonts w:ascii="Book Antiqua" w:hAnsi="Book Antiqua" w:cs="Times New Roman"/>
          <w:i/>
          <w:iCs/>
          <w:color w:val="000000" w:themeColor="text1"/>
          <w:sz w:val="24"/>
          <w:szCs w:val="24"/>
        </w:rPr>
        <w:t>p</w:t>
      </w:r>
      <w:r>
        <w:rPr>
          <w:rFonts w:ascii="Book Antiqua" w:hAnsi="Book Antiqua" w:cs="Times New Roman"/>
          <w:color w:val="000000" w:themeColor="text1"/>
          <w:sz w:val="24"/>
          <w:szCs w:val="24"/>
        </w:rPr>
        <w:t xml:space="preserve">=0.76). Inhibicija rasta micelije različitih patogena od strane bakra i testiranih biokontrolnih mikroorganizama prikazana je na slikama 29-31, a procenti inhibicije u tabelama 22-24. </w:t>
      </w:r>
    </w:p>
    <w:p w14:paraId="7AB951D0" w14:textId="77777777" w:rsidR="003801E8" w:rsidRDefault="00E44AAE">
      <w:pPr>
        <w:tabs>
          <w:tab w:val="left" w:pos="3315"/>
        </w:tabs>
        <w:jc w:val="both"/>
        <w:rPr>
          <w:rFonts w:ascii="Book Antiqua" w:hAnsi="Book Antiqua" w:cs="Times New Roman"/>
          <w:color w:val="000000" w:themeColor="text1"/>
          <w:sz w:val="24"/>
          <w:szCs w:val="24"/>
        </w:rPr>
      </w:pPr>
      <w:r>
        <w:rPr>
          <w:rFonts w:ascii="Book Antiqua" w:hAnsi="Book Antiqua" w:cs="Times New Roman"/>
          <w:noProof/>
          <w:color w:val="000000" w:themeColor="text1"/>
          <w:sz w:val="24"/>
          <w:szCs w:val="24"/>
          <w:lang w:val="en-US"/>
        </w:rPr>
        <w:lastRenderedPageBreak/>
        <w:drawing>
          <wp:inline distT="0" distB="0" distL="0" distR="0" wp14:anchorId="065F6CBE" wp14:editId="15DB5A44">
            <wp:extent cx="5400040" cy="1179830"/>
            <wp:effectExtent l="0" t="0" r="0" b="1270"/>
            <wp:docPr id="12873712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71208" name="Picture 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400040" cy="1179830"/>
                    </a:xfrm>
                    <a:prstGeom prst="rect">
                      <a:avLst/>
                    </a:prstGeom>
                  </pic:spPr>
                </pic:pic>
              </a:graphicData>
            </a:graphic>
          </wp:inline>
        </w:drawing>
      </w:r>
    </w:p>
    <w:p w14:paraId="32848EA7"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b/>
          <w:bCs/>
          <w:color w:val="000000" w:themeColor="text1"/>
          <w:sz w:val="24"/>
          <w:szCs w:val="24"/>
        </w:rPr>
        <w:t>Slika 29</w:t>
      </w:r>
      <w:r>
        <w:rPr>
          <w:rFonts w:ascii="Book Antiqua" w:hAnsi="Book Antiqua" w:cs="Times New Roman"/>
          <w:color w:val="000000" w:themeColor="text1"/>
          <w:sz w:val="24"/>
          <w:szCs w:val="24"/>
        </w:rPr>
        <w:t xml:space="preserve">. Indirektni </w:t>
      </w:r>
      <w:r>
        <w:rPr>
          <w:rFonts w:ascii="Book Antiqua" w:hAnsi="Book Antiqua" w:cs="Times New Roman"/>
          <w:i/>
          <w:iCs/>
          <w:color w:val="000000" w:themeColor="text1"/>
          <w:sz w:val="24"/>
          <w:szCs w:val="24"/>
        </w:rPr>
        <w:t>in vitro</w:t>
      </w:r>
      <w:r>
        <w:rPr>
          <w:rFonts w:ascii="Book Antiqua" w:hAnsi="Book Antiqua" w:cs="Times New Roman"/>
          <w:color w:val="000000" w:themeColor="text1"/>
          <w:sz w:val="24"/>
          <w:szCs w:val="24"/>
        </w:rPr>
        <w:t xml:space="preserve"> test prema </w:t>
      </w:r>
      <w:r>
        <w:rPr>
          <w:rFonts w:ascii="Book Antiqua" w:hAnsi="Book Antiqua" w:cs="Times New Roman"/>
          <w:i/>
          <w:iCs/>
          <w:color w:val="000000" w:themeColor="text1"/>
          <w:sz w:val="24"/>
          <w:szCs w:val="24"/>
        </w:rPr>
        <w:t xml:space="preserve">P. minimum </w:t>
      </w:r>
      <w:r>
        <w:rPr>
          <w:rFonts w:ascii="Book Antiqua" w:hAnsi="Book Antiqua" w:cs="Times New Roman"/>
          <w:color w:val="000000" w:themeColor="text1"/>
          <w:sz w:val="24"/>
          <w:szCs w:val="24"/>
        </w:rPr>
        <w:t xml:space="preserve">MN002. A. Kontrola; B. Tretman </w:t>
      </w:r>
      <w:r>
        <w:rPr>
          <w:rFonts w:ascii="Book Antiqua" w:hAnsi="Book Antiqua" w:cs="Times New Roman"/>
          <w:i/>
          <w:iCs/>
          <w:color w:val="000000" w:themeColor="text1"/>
          <w:sz w:val="24"/>
          <w:szCs w:val="24"/>
        </w:rPr>
        <w:t>T. atroviride</w:t>
      </w:r>
      <w:r>
        <w:rPr>
          <w:rFonts w:ascii="Book Antiqua" w:hAnsi="Book Antiqua" w:cs="Times New Roman"/>
          <w:color w:val="000000" w:themeColor="text1"/>
          <w:sz w:val="24"/>
          <w:szCs w:val="24"/>
        </w:rPr>
        <w:t xml:space="preserve"> SC1; C. Tretman </w:t>
      </w:r>
      <w:r>
        <w:rPr>
          <w:rFonts w:ascii="Book Antiqua" w:hAnsi="Book Antiqua" w:cs="Times New Roman"/>
          <w:i/>
          <w:iCs/>
          <w:color w:val="000000" w:themeColor="text1"/>
          <w:sz w:val="24"/>
          <w:szCs w:val="24"/>
        </w:rPr>
        <w:t>T. citrinoviride</w:t>
      </w:r>
      <w:r>
        <w:rPr>
          <w:rFonts w:ascii="Book Antiqua" w:hAnsi="Book Antiqua" w:cs="Times New Roman"/>
          <w:color w:val="000000" w:themeColor="text1"/>
          <w:sz w:val="24"/>
          <w:szCs w:val="24"/>
        </w:rPr>
        <w:t xml:space="preserve"> T-CG; D. Tretman bakrom 0.5%; E. Tretman bakrom 0.05%</w:t>
      </w:r>
    </w:p>
    <w:p w14:paraId="22615A56" w14:textId="77777777" w:rsidR="003801E8" w:rsidRDefault="003801E8">
      <w:pPr>
        <w:tabs>
          <w:tab w:val="left" w:pos="3315"/>
        </w:tabs>
        <w:jc w:val="both"/>
        <w:rPr>
          <w:rFonts w:ascii="Book Antiqua" w:hAnsi="Book Antiqua" w:cs="Times New Roman"/>
          <w:color w:val="000000" w:themeColor="text1"/>
          <w:sz w:val="24"/>
          <w:szCs w:val="24"/>
        </w:rPr>
      </w:pPr>
    </w:p>
    <w:p w14:paraId="0BD35B87" w14:textId="77777777" w:rsidR="003801E8" w:rsidRDefault="00E44AAE">
      <w:pPr>
        <w:tabs>
          <w:tab w:val="left" w:pos="3315"/>
        </w:tabs>
        <w:jc w:val="both"/>
        <w:rPr>
          <w:rFonts w:ascii="Book Antiqua" w:hAnsi="Book Antiqua" w:cs="Times New Roman"/>
          <w:color w:val="000000" w:themeColor="text1"/>
          <w:sz w:val="24"/>
          <w:szCs w:val="24"/>
        </w:rPr>
      </w:pPr>
      <w:r>
        <w:rPr>
          <w:rFonts w:ascii="Book Antiqua" w:hAnsi="Book Antiqua" w:cs="Times New Roman"/>
          <w:noProof/>
          <w:color w:val="000000" w:themeColor="text1"/>
          <w:sz w:val="24"/>
          <w:szCs w:val="24"/>
          <w:lang w:val="en-US"/>
        </w:rPr>
        <w:drawing>
          <wp:inline distT="0" distB="0" distL="0" distR="0" wp14:anchorId="1B22A0BF" wp14:editId="1A7D8227">
            <wp:extent cx="5400040" cy="1107440"/>
            <wp:effectExtent l="0" t="0" r="0" b="0"/>
            <wp:docPr id="16984546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454601" name="Picture 3"/>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400040" cy="1107440"/>
                    </a:xfrm>
                    <a:prstGeom prst="rect">
                      <a:avLst/>
                    </a:prstGeom>
                  </pic:spPr>
                </pic:pic>
              </a:graphicData>
            </a:graphic>
          </wp:inline>
        </w:drawing>
      </w:r>
    </w:p>
    <w:p w14:paraId="466B0C0E"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b/>
          <w:bCs/>
          <w:color w:val="000000" w:themeColor="text1"/>
          <w:sz w:val="24"/>
          <w:szCs w:val="24"/>
        </w:rPr>
        <w:t>Slika 30</w:t>
      </w:r>
      <w:r>
        <w:rPr>
          <w:rFonts w:ascii="Book Antiqua" w:hAnsi="Book Antiqua" w:cs="Times New Roman"/>
          <w:color w:val="000000" w:themeColor="text1"/>
          <w:sz w:val="24"/>
          <w:szCs w:val="24"/>
        </w:rPr>
        <w:t xml:space="preserve">. Indirektni </w:t>
      </w:r>
      <w:r>
        <w:rPr>
          <w:rFonts w:ascii="Book Antiqua" w:hAnsi="Book Antiqua" w:cs="Times New Roman"/>
          <w:i/>
          <w:iCs/>
          <w:color w:val="000000" w:themeColor="text1"/>
          <w:sz w:val="24"/>
          <w:szCs w:val="24"/>
        </w:rPr>
        <w:t>in vitro</w:t>
      </w:r>
      <w:r>
        <w:rPr>
          <w:rFonts w:ascii="Book Antiqua" w:hAnsi="Book Antiqua" w:cs="Times New Roman"/>
          <w:color w:val="000000" w:themeColor="text1"/>
          <w:sz w:val="24"/>
          <w:szCs w:val="24"/>
        </w:rPr>
        <w:t xml:space="preserve"> test prema </w:t>
      </w:r>
      <w:r>
        <w:rPr>
          <w:rFonts w:ascii="Book Antiqua" w:hAnsi="Book Antiqua" w:cs="Times New Roman"/>
          <w:i/>
          <w:iCs/>
          <w:color w:val="000000" w:themeColor="text1"/>
          <w:sz w:val="24"/>
          <w:szCs w:val="24"/>
        </w:rPr>
        <w:t xml:space="preserve">P. chlamydospora </w:t>
      </w:r>
      <w:r>
        <w:rPr>
          <w:rFonts w:ascii="Book Antiqua" w:hAnsi="Book Antiqua" w:cs="Times New Roman"/>
          <w:color w:val="000000" w:themeColor="text1"/>
          <w:sz w:val="24"/>
          <w:szCs w:val="24"/>
        </w:rPr>
        <w:t xml:space="preserve">MN011. A. Kontrola; B. Tretman </w:t>
      </w:r>
      <w:r>
        <w:rPr>
          <w:rFonts w:ascii="Book Antiqua" w:hAnsi="Book Antiqua" w:cs="Times New Roman"/>
          <w:i/>
          <w:iCs/>
          <w:color w:val="000000" w:themeColor="text1"/>
          <w:sz w:val="24"/>
          <w:szCs w:val="24"/>
        </w:rPr>
        <w:t>T. atroviride</w:t>
      </w:r>
      <w:r>
        <w:rPr>
          <w:rFonts w:ascii="Book Antiqua" w:hAnsi="Book Antiqua" w:cs="Times New Roman"/>
          <w:color w:val="000000" w:themeColor="text1"/>
          <w:sz w:val="24"/>
          <w:szCs w:val="24"/>
        </w:rPr>
        <w:t xml:space="preserve"> SC1; C. Tretman </w:t>
      </w:r>
      <w:r>
        <w:rPr>
          <w:rFonts w:ascii="Book Antiqua" w:hAnsi="Book Antiqua" w:cs="Times New Roman"/>
          <w:i/>
          <w:iCs/>
          <w:color w:val="000000" w:themeColor="text1"/>
          <w:sz w:val="24"/>
          <w:szCs w:val="24"/>
        </w:rPr>
        <w:t>T. citrinoviride</w:t>
      </w:r>
      <w:r>
        <w:rPr>
          <w:rFonts w:ascii="Book Antiqua" w:hAnsi="Book Antiqua" w:cs="Times New Roman"/>
          <w:color w:val="000000" w:themeColor="text1"/>
          <w:sz w:val="24"/>
          <w:szCs w:val="24"/>
        </w:rPr>
        <w:t xml:space="preserve"> T-CG; D. Tretman bakrom 0.5%; E. Tretman bakrom 0.05%</w:t>
      </w:r>
    </w:p>
    <w:p w14:paraId="13BA4FE7" w14:textId="77777777" w:rsidR="003801E8" w:rsidRDefault="003801E8">
      <w:pPr>
        <w:tabs>
          <w:tab w:val="left" w:pos="3315"/>
        </w:tabs>
        <w:jc w:val="both"/>
        <w:rPr>
          <w:rFonts w:ascii="Book Antiqua" w:hAnsi="Book Antiqua" w:cs="Times New Roman"/>
          <w:color w:val="000000" w:themeColor="text1"/>
          <w:sz w:val="24"/>
          <w:szCs w:val="24"/>
        </w:rPr>
      </w:pPr>
    </w:p>
    <w:p w14:paraId="6D980A16" w14:textId="77777777" w:rsidR="003801E8" w:rsidRDefault="00E44AAE">
      <w:pPr>
        <w:tabs>
          <w:tab w:val="left" w:pos="3315"/>
        </w:tabs>
        <w:jc w:val="both"/>
        <w:rPr>
          <w:rFonts w:ascii="Book Antiqua" w:hAnsi="Book Antiqua" w:cs="Times New Roman"/>
          <w:color w:val="000000" w:themeColor="text1"/>
          <w:sz w:val="24"/>
          <w:szCs w:val="24"/>
        </w:rPr>
      </w:pPr>
      <w:r>
        <w:rPr>
          <w:rFonts w:ascii="Book Antiqua" w:hAnsi="Book Antiqua" w:cs="Times New Roman"/>
          <w:noProof/>
          <w:color w:val="000000" w:themeColor="text1"/>
          <w:sz w:val="24"/>
          <w:szCs w:val="24"/>
          <w:lang w:val="en-US"/>
        </w:rPr>
        <w:drawing>
          <wp:inline distT="0" distB="0" distL="0" distR="0" wp14:anchorId="5BF6BF93" wp14:editId="24204717">
            <wp:extent cx="5400040" cy="1141730"/>
            <wp:effectExtent l="0" t="0" r="0" b="1270"/>
            <wp:docPr id="6629788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78833" name="Picture 4"/>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400040" cy="1141730"/>
                    </a:xfrm>
                    <a:prstGeom prst="rect">
                      <a:avLst/>
                    </a:prstGeom>
                  </pic:spPr>
                </pic:pic>
              </a:graphicData>
            </a:graphic>
          </wp:inline>
        </w:drawing>
      </w:r>
    </w:p>
    <w:p w14:paraId="7CC7DE88"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b/>
          <w:bCs/>
          <w:color w:val="000000" w:themeColor="text1"/>
          <w:sz w:val="24"/>
          <w:szCs w:val="24"/>
        </w:rPr>
        <w:t>Slika 31</w:t>
      </w:r>
      <w:r>
        <w:rPr>
          <w:rFonts w:ascii="Book Antiqua" w:hAnsi="Book Antiqua" w:cs="Times New Roman"/>
          <w:color w:val="000000" w:themeColor="text1"/>
          <w:sz w:val="24"/>
          <w:szCs w:val="24"/>
        </w:rPr>
        <w:t xml:space="preserve">. Indirektni </w:t>
      </w:r>
      <w:r>
        <w:rPr>
          <w:rFonts w:ascii="Book Antiqua" w:hAnsi="Book Antiqua" w:cs="Times New Roman"/>
          <w:i/>
          <w:iCs/>
          <w:color w:val="000000" w:themeColor="text1"/>
          <w:sz w:val="24"/>
          <w:szCs w:val="24"/>
        </w:rPr>
        <w:t>in vitro</w:t>
      </w:r>
      <w:r>
        <w:rPr>
          <w:rFonts w:ascii="Book Antiqua" w:hAnsi="Book Antiqua" w:cs="Times New Roman"/>
          <w:color w:val="000000" w:themeColor="text1"/>
          <w:sz w:val="24"/>
          <w:szCs w:val="24"/>
        </w:rPr>
        <w:t xml:space="preserve"> test prema </w:t>
      </w:r>
      <w:r>
        <w:rPr>
          <w:rFonts w:ascii="Book Antiqua" w:hAnsi="Book Antiqua" w:cs="Times New Roman"/>
          <w:i/>
          <w:iCs/>
          <w:color w:val="000000" w:themeColor="text1"/>
          <w:sz w:val="24"/>
          <w:szCs w:val="24"/>
        </w:rPr>
        <w:t xml:space="preserve">F. mediterranea </w:t>
      </w:r>
      <w:r>
        <w:rPr>
          <w:rFonts w:ascii="Book Antiqua" w:hAnsi="Book Antiqua" w:cs="Times New Roman"/>
          <w:color w:val="000000" w:themeColor="text1"/>
          <w:sz w:val="24"/>
          <w:szCs w:val="24"/>
        </w:rPr>
        <w:t xml:space="preserve">MN008. A. Kontrola; B. Tretman </w:t>
      </w:r>
      <w:r>
        <w:rPr>
          <w:rFonts w:ascii="Book Antiqua" w:hAnsi="Book Antiqua" w:cs="Times New Roman"/>
          <w:i/>
          <w:iCs/>
          <w:color w:val="000000" w:themeColor="text1"/>
          <w:sz w:val="24"/>
          <w:szCs w:val="24"/>
        </w:rPr>
        <w:t>T. atroviride</w:t>
      </w:r>
      <w:r>
        <w:rPr>
          <w:rFonts w:ascii="Book Antiqua" w:hAnsi="Book Antiqua" w:cs="Times New Roman"/>
          <w:color w:val="000000" w:themeColor="text1"/>
          <w:sz w:val="24"/>
          <w:szCs w:val="24"/>
        </w:rPr>
        <w:t xml:space="preserve"> SC1; C. Tretman </w:t>
      </w:r>
      <w:r>
        <w:rPr>
          <w:rFonts w:ascii="Book Antiqua" w:hAnsi="Book Antiqua" w:cs="Times New Roman"/>
          <w:i/>
          <w:iCs/>
          <w:color w:val="000000" w:themeColor="text1"/>
          <w:sz w:val="24"/>
          <w:szCs w:val="24"/>
        </w:rPr>
        <w:t>T. citrinoviride</w:t>
      </w:r>
      <w:r>
        <w:rPr>
          <w:rFonts w:ascii="Book Antiqua" w:hAnsi="Book Antiqua" w:cs="Times New Roman"/>
          <w:color w:val="000000" w:themeColor="text1"/>
          <w:sz w:val="24"/>
          <w:szCs w:val="24"/>
        </w:rPr>
        <w:t xml:space="preserve"> T-CG; D. Tretman bakrom 0.5%; E. Tretman bakrom 0.05%</w:t>
      </w:r>
    </w:p>
    <w:p w14:paraId="1AB10104" w14:textId="77777777" w:rsidR="003801E8" w:rsidRDefault="003801E8">
      <w:pPr>
        <w:tabs>
          <w:tab w:val="left" w:pos="3315"/>
        </w:tabs>
        <w:jc w:val="both"/>
        <w:rPr>
          <w:rFonts w:ascii="Book Antiqua" w:hAnsi="Book Antiqua" w:cs="Times New Roman"/>
          <w:color w:val="000000" w:themeColor="text1"/>
          <w:sz w:val="24"/>
          <w:szCs w:val="24"/>
        </w:rPr>
      </w:pPr>
    </w:p>
    <w:p w14:paraId="1380C8CD" w14:textId="77777777" w:rsidR="003801E8" w:rsidRDefault="003801E8">
      <w:pPr>
        <w:tabs>
          <w:tab w:val="left" w:pos="3315"/>
        </w:tabs>
        <w:jc w:val="both"/>
        <w:rPr>
          <w:rFonts w:ascii="Book Antiqua" w:hAnsi="Book Antiqua" w:cs="Times New Roman"/>
          <w:color w:val="000000" w:themeColor="text1"/>
          <w:sz w:val="24"/>
          <w:szCs w:val="24"/>
        </w:rPr>
      </w:pPr>
    </w:p>
    <w:p w14:paraId="4EA42BDA" w14:textId="77777777" w:rsidR="003801E8" w:rsidRDefault="003801E8">
      <w:pPr>
        <w:tabs>
          <w:tab w:val="left" w:pos="3315"/>
        </w:tabs>
        <w:jc w:val="both"/>
        <w:rPr>
          <w:rFonts w:ascii="Book Antiqua" w:hAnsi="Book Antiqua" w:cs="Times New Roman"/>
          <w:color w:val="000000" w:themeColor="text1"/>
          <w:sz w:val="24"/>
          <w:szCs w:val="24"/>
        </w:rPr>
      </w:pPr>
    </w:p>
    <w:p w14:paraId="0B3319B3" w14:textId="77777777" w:rsidR="003801E8" w:rsidRDefault="00E44AAE">
      <w:pPr>
        <w:tabs>
          <w:tab w:val="left" w:pos="3315"/>
        </w:tabs>
        <w:spacing w:line="360" w:lineRule="auto"/>
        <w:jc w:val="both"/>
        <w:rPr>
          <w:rFonts w:ascii="Book Antiqua" w:hAnsi="Book Antiqua" w:cs="Times New Roman"/>
          <w:b/>
          <w:bCs/>
          <w:sz w:val="22"/>
          <w:szCs w:val="22"/>
          <w:lang w:val="sr-Latn-RS"/>
        </w:rPr>
      </w:pPr>
      <w:r>
        <w:rPr>
          <w:rFonts w:ascii="Book Antiqua" w:hAnsi="Book Antiqua" w:cs="Times New Roman"/>
          <w:b/>
          <w:bCs/>
          <w:sz w:val="22"/>
          <w:szCs w:val="22"/>
          <w:lang w:val="sr-Latn-RS"/>
        </w:rPr>
        <w:lastRenderedPageBreak/>
        <w:t xml:space="preserve">Tabela 22. </w:t>
      </w:r>
      <w:r>
        <w:rPr>
          <w:rFonts w:ascii="Book Antiqua" w:hAnsi="Book Antiqua" w:cs="Times New Roman"/>
          <w:sz w:val="22"/>
          <w:szCs w:val="22"/>
          <w:lang w:val="sr-Latn-RS"/>
        </w:rPr>
        <w:t xml:space="preserve">Rezultati indirektnog </w:t>
      </w:r>
      <w:r>
        <w:rPr>
          <w:rFonts w:ascii="Book Antiqua" w:hAnsi="Book Antiqua" w:cs="Times New Roman"/>
          <w:i/>
          <w:iCs/>
          <w:sz w:val="22"/>
          <w:szCs w:val="22"/>
          <w:lang w:val="sr-Latn-RS"/>
        </w:rPr>
        <w:t>in vitro</w:t>
      </w:r>
      <w:r>
        <w:rPr>
          <w:rFonts w:ascii="Book Antiqua" w:hAnsi="Book Antiqua" w:cs="Times New Roman"/>
          <w:sz w:val="22"/>
          <w:szCs w:val="22"/>
          <w:lang w:val="sr-Latn-RS"/>
        </w:rPr>
        <w:t xml:space="preserve"> testa prema izolatu </w:t>
      </w:r>
      <w:r>
        <w:rPr>
          <w:rFonts w:ascii="Book Antiqua" w:hAnsi="Book Antiqua" w:cs="Times New Roman"/>
          <w:i/>
          <w:iCs/>
          <w:sz w:val="22"/>
          <w:szCs w:val="22"/>
          <w:lang w:val="sr-Latn-RS"/>
        </w:rPr>
        <w:t>P. minimum</w:t>
      </w:r>
      <w:r>
        <w:rPr>
          <w:rFonts w:ascii="Book Antiqua" w:hAnsi="Book Antiqua" w:cs="Times New Roman"/>
          <w:sz w:val="22"/>
          <w:szCs w:val="22"/>
          <w:lang w:val="sr-Latn-RS"/>
        </w:rPr>
        <w:t xml:space="preserve"> MN002</w:t>
      </w:r>
    </w:p>
    <w:tbl>
      <w:tblPr>
        <w:tblW w:w="9630" w:type="dxa"/>
        <w:tblLook w:val="04A0" w:firstRow="1" w:lastRow="0" w:firstColumn="1" w:lastColumn="0" w:noHBand="0" w:noVBand="1"/>
      </w:tblPr>
      <w:tblGrid>
        <w:gridCol w:w="980"/>
        <w:gridCol w:w="711"/>
        <w:gridCol w:w="1026"/>
        <w:gridCol w:w="900"/>
        <w:gridCol w:w="1026"/>
        <w:gridCol w:w="1170"/>
        <w:gridCol w:w="1026"/>
        <w:gridCol w:w="1079"/>
        <w:gridCol w:w="1026"/>
        <w:gridCol w:w="900"/>
      </w:tblGrid>
      <w:tr w:rsidR="003801E8" w14:paraId="1BACEB87" w14:textId="77777777">
        <w:trPr>
          <w:trHeight w:val="288"/>
        </w:trPr>
        <w:tc>
          <w:tcPr>
            <w:tcW w:w="980" w:type="dxa"/>
            <w:tcBorders>
              <w:top w:val="single" w:sz="4" w:space="0" w:color="auto"/>
              <w:left w:val="nil"/>
              <w:bottom w:val="single" w:sz="4" w:space="0" w:color="auto"/>
              <w:right w:val="nil"/>
            </w:tcBorders>
            <w:noWrap/>
            <w:vAlign w:val="center"/>
          </w:tcPr>
          <w:p w14:paraId="426D90C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Oznaka</w:t>
            </w:r>
          </w:p>
        </w:tc>
        <w:tc>
          <w:tcPr>
            <w:tcW w:w="711" w:type="dxa"/>
            <w:tcBorders>
              <w:top w:val="single" w:sz="4" w:space="0" w:color="auto"/>
              <w:bottom w:val="single" w:sz="4" w:space="0" w:color="auto"/>
            </w:tcBorders>
          </w:tcPr>
          <w:p w14:paraId="0058680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TA (mm)</w:t>
            </w:r>
          </w:p>
        </w:tc>
        <w:tc>
          <w:tcPr>
            <w:tcW w:w="990" w:type="dxa"/>
            <w:tcBorders>
              <w:top w:val="single" w:sz="4" w:space="0" w:color="auto"/>
              <w:left w:val="nil"/>
              <w:bottom w:val="single" w:sz="4" w:space="0" w:color="auto"/>
              <w:right w:val="nil"/>
            </w:tcBorders>
            <w:noWrap/>
            <w:vAlign w:val="center"/>
          </w:tcPr>
          <w:p w14:paraId="5A9BBBC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Inhibicija (%)</w:t>
            </w:r>
          </w:p>
        </w:tc>
        <w:tc>
          <w:tcPr>
            <w:tcW w:w="900" w:type="dxa"/>
            <w:tcBorders>
              <w:top w:val="single" w:sz="4" w:space="0" w:color="auto"/>
              <w:left w:val="nil"/>
              <w:bottom w:val="single" w:sz="4" w:space="0" w:color="auto"/>
              <w:right w:val="nil"/>
            </w:tcBorders>
            <w:noWrap/>
            <w:vAlign w:val="center"/>
          </w:tcPr>
          <w:p w14:paraId="23804021"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TC (mm)</w:t>
            </w:r>
          </w:p>
        </w:tc>
        <w:tc>
          <w:tcPr>
            <w:tcW w:w="955" w:type="dxa"/>
            <w:tcBorders>
              <w:top w:val="single" w:sz="4" w:space="0" w:color="auto"/>
              <w:left w:val="nil"/>
              <w:bottom w:val="single" w:sz="4" w:space="0" w:color="auto"/>
              <w:right w:val="nil"/>
            </w:tcBorders>
            <w:noWrap/>
            <w:vAlign w:val="center"/>
          </w:tcPr>
          <w:p w14:paraId="0A28EAA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Inhibicija (%)</w:t>
            </w:r>
          </w:p>
        </w:tc>
        <w:tc>
          <w:tcPr>
            <w:tcW w:w="1170" w:type="dxa"/>
            <w:tcBorders>
              <w:top w:val="single" w:sz="4" w:space="0" w:color="auto"/>
              <w:left w:val="nil"/>
              <w:bottom w:val="single" w:sz="4" w:space="0" w:color="auto"/>
              <w:right w:val="nil"/>
            </w:tcBorders>
            <w:noWrap/>
            <w:vAlign w:val="center"/>
          </w:tcPr>
          <w:p w14:paraId="5EBE2EF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Cu 0.5% (mm)</w:t>
            </w:r>
          </w:p>
        </w:tc>
        <w:tc>
          <w:tcPr>
            <w:tcW w:w="955" w:type="dxa"/>
            <w:tcBorders>
              <w:top w:val="single" w:sz="4" w:space="0" w:color="auto"/>
              <w:left w:val="nil"/>
              <w:bottom w:val="single" w:sz="4" w:space="0" w:color="auto"/>
              <w:right w:val="nil"/>
            </w:tcBorders>
            <w:noWrap/>
            <w:vAlign w:val="center"/>
          </w:tcPr>
          <w:p w14:paraId="411D1CC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Inhibicija (%)</w:t>
            </w:r>
          </w:p>
        </w:tc>
        <w:tc>
          <w:tcPr>
            <w:tcW w:w="1079" w:type="dxa"/>
            <w:tcBorders>
              <w:top w:val="single" w:sz="4" w:space="0" w:color="auto"/>
              <w:left w:val="nil"/>
              <w:bottom w:val="single" w:sz="4" w:space="0" w:color="auto"/>
              <w:right w:val="nil"/>
            </w:tcBorders>
            <w:noWrap/>
            <w:vAlign w:val="center"/>
          </w:tcPr>
          <w:p w14:paraId="14E54CE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Cu 0.05 % (mm)</w:t>
            </w:r>
          </w:p>
        </w:tc>
        <w:tc>
          <w:tcPr>
            <w:tcW w:w="990" w:type="dxa"/>
            <w:tcBorders>
              <w:top w:val="single" w:sz="4" w:space="0" w:color="auto"/>
              <w:left w:val="nil"/>
              <w:bottom w:val="single" w:sz="4" w:space="0" w:color="auto"/>
              <w:right w:val="nil"/>
            </w:tcBorders>
            <w:noWrap/>
            <w:vAlign w:val="center"/>
          </w:tcPr>
          <w:p w14:paraId="3BC4925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Inhibicija (%)</w:t>
            </w:r>
          </w:p>
        </w:tc>
        <w:tc>
          <w:tcPr>
            <w:tcW w:w="900" w:type="dxa"/>
            <w:tcBorders>
              <w:top w:val="single" w:sz="4" w:space="0" w:color="auto"/>
              <w:left w:val="nil"/>
              <w:bottom w:val="single" w:sz="4" w:space="0" w:color="auto"/>
              <w:right w:val="nil"/>
            </w:tcBorders>
            <w:noWrap/>
            <w:vAlign w:val="center"/>
          </w:tcPr>
          <w:p w14:paraId="7F2DD0B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 (mm)</w:t>
            </w:r>
          </w:p>
        </w:tc>
      </w:tr>
      <w:tr w:rsidR="003801E8" w14:paraId="3B94C8BD" w14:textId="77777777">
        <w:trPr>
          <w:trHeight w:val="288"/>
        </w:trPr>
        <w:tc>
          <w:tcPr>
            <w:tcW w:w="980" w:type="dxa"/>
            <w:tcBorders>
              <w:top w:val="single" w:sz="4" w:space="0" w:color="auto"/>
              <w:left w:val="nil"/>
              <w:bottom w:val="nil"/>
              <w:right w:val="nil"/>
            </w:tcBorders>
            <w:noWrap/>
            <w:vAlign w:val="bottom"/>
          </w:tcPr>
          <w:p w14:paraId="53D4550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P1</w:t>
            </w:r>
          </w:p>
        </w:tc>
        <w:tc>
          <w:tcPr>
            <w:tcW w:w="711" w:type="dxa"/>
            <w:tcBorders>
              <w:top w:val="single" w:sz="4" w:space="0" w:color="auto"/>
            </w:tcBorders>
          </w:tcPr>
          <w:p w14:paraId="13CE2C0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sz w:val="18"/>
                <w:szCs w:val="18"/>
              </w:rPr>
              <w:t>13.5</w:t>
            </w:r>
          </w:p>
        </w:tc>
        <w:tc>
          <w:tcPr>
            <w:tcW w:w="990" w:type="dxa"/>
            <w:tcBorders>
              <w:top w:val="single" w:sz="4" w:space="0" w:color="auto"/>
              <w:left w:val="nil"/>
              <w:bottom w:val="nil"/>
              <w:right w:val="nil"/>
            </w:tcBorders>
            <w:noWrap/>
            <w:vAlign w:val="bottom"/>
          </w:tcPr>
          <w:p w14:paraId="677CF85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41.30%</w:t>
            </w:r>
          </w:p>
        </w:tc>
        <w:tc>
          <w:tcPr>
            <w:tcW w:w="900" w:type="dxa"/>
            <w:tcBorders>
              <w:top w:val="single" w:sz="4" w:space="0" w:color="auto"/>
              <w:left w:val="nil"/>
              <w:bottom w:val="nil"/>
              <w:right w:val="nil"/>
            </w:tcBorders>
            <w:noWrap/>
            <w:vAlign w:val="bottom"/>
          </w:tcPr>
          <w:p w14:paraId="4050FB7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w:t>
            </w:r>
          </w:p>
        </w:tc>
        <w:tc>
          <w:tcPr>
            <w:tcW w:w="955" w:type="dxa"/>
            <w:tcBorders>
              <w:top w:val="single" w:sz="4" w:space="0" w:color="auto"/>
              <w:left w:val="nil"/>
              <w:bottom w:val="nil"/>
              <w:right w:val="nil"/>
            </w:tcBorders>
            <w:noWrap/>
            <w:vAlign w:val="bottom"/>
          </w:tcPr>
          <w:p w14:paraId="7DCC3C2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65.22%</w:t>
            </w:r>
          </w:p>
        </w:tc>
        <w:tc>
          <w:tcPr>
            <w:tcW w:w="1170" w:type="dxa"/>
            <w:tcBorders>
              <w:top w:val="single" w:sz="4" w:space="0" w:color="auto"/>
              <w:left w:val="nil"/>
              <w:bottom w:val="nil"/>
              <w:right w:val="nil"/>
            </w:tcBorders>
            <w:noWrap/>
            <w:vAlign w:val="bottom"/>
          </w:tcPr>
          <w:p w14:paraId="1F2D87C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55" w:type="dxa"/>
            <w:tcBorders>
              <w:top w:val="single" w:sz="4" w:space="0" w:color="auto"/>
              <w:left w:val="nil"/>
              <w:bottom w:val="nil"/>
              <w:right w:val="nil"/>
            </w:tcBorders>
            <w:noWrap/>
            <w:vAlign w:val="bottom"/>
          </w:tcPr>
          <w:p w14:paraId="30BEB9D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79" w:type="dxa"/>
            <w:tcBorders>
              <w:top w:val="single" w:sz="4" w:space="0" w:color="auto"/>
              <w:left w:val="nil"/>
              <w:bottom w:val="nil"/>
              <w:right w:val="nil"/>
            </w:tcBorders>
            <w:noWrap/>
            <w:vAlign w:val="bottom"/>
          </w:tcPr>
          <w:p w14:paraId="1FEBE05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16</w:t>
            </w:r>
          </w:p>
        </w:tc>
        <w:tc>
          <w:tcPr>
            <w:tcW w:w="990" w:type="dxa"/>
            <w:tcBorders>
              <w:top w:val="single" w:sz="4" w:space="0" w:color="auto"/>
              <w:left w:val="nil"/>
              <w:bottom w:val="nil"/>
              <w:right w:val="nil"/>
            </w:tcBorders>
            <w:noWrap/>
            <w:vAlign w:val="bottom"/>
          </w:tcPr>
          <w:p w14:paraId="370B54A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30.43%</w:t>
            </w:r>
          </w:p>
        </w:tc>
        <w:tc>
          <w:tcPr>
            <w:tcW w:w="900" w:type="dxa"/>
            <w:tcBorders>
              <w:top w:val="single" w:sz="4" w:space="0" w:color="auto"/>
              <w:left w:val="nil"/>
              <w:bottom w:val="nil"/>
              <w:right w:val="nil"/>
            </w:tcBorders>
            <w:noWrap/>
            <w:vAlign w:val="bottom"/>
          </w:tcPr>
          <w:p w14:paraId="48BAA69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23</w:t>
            </w:r>
          </w:p>
        </w:tc>
      </w:tr>
      <w:tr w:rsidR="003801E8" w14:paraId="28B3D75D" w14:textId="77777777">
        <w:trPr>
          <w:trHeight w:val="288"/>
        </w:trPr>
        <w:tc>
          <w:tcPr>
            <w:tcW w:w="980" w:type="dxa"/>
            <w:tcBorders>
              <w:top w:val="nil"/>
              <w:left w:val="nil"/>
              <w:bottom w:val="nil"/>
              <w:right w:val="nil"/>
            </w:tcBorders>
            <w:noWrap/>
          </w:tcPr>
          <w:p w14:paraId="55E5E01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P1</w:t>
            </w:r>
          </w:p>
        </w:tc>
        <w:tc>
          <w:tcPr>
            <w:tcW w:w="711" w:type="dxa"/>
          </w:tcPr>
          <w:p w14:paraId="6ED3902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sz w:val="18"/>
                <w:szCs w:val="18"/>
              </w:rPr>
              <w:t>11</w:t>
            </w:r>
          </w:p>
        </w:tc>
        <w:tc>
          <w:tcPr>
            <w:tcW w:w="990" w:type="dxa"/>
            <w:tcBorders>
              <w:top w:val="nil"/>
              <w:left w:val="nil"/>
              <w:bottom w:val="nil"/>
              <w:right w:val="nil"/>
            </w:tcBorders>
            <w:noWrap/>
            <w:vAlign w:val="bottom"/>
          </w:tcPr>
          <w:p w14:paraId="454D026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56.00%</w:t>
            </w:r>
          </w:p>
        </w:tc>
        <w:tc>
          <w:tcPr>
            <w:tcW w:w="900" w:type="dxa"/>
            <w:tcBorders>
              <w:top w:val="nil"/>
              <w:left w:val="nil"/>
              <w:bottom w:val="nil"/>
              <w:right w:val="nil"/>
            </w:tcBorders>
            <w:noWrap/>
            <w:vAlign w:val="bottom"/>
          </w:tcPr>
          <w:p w14:paraId="3662F18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8.5</w:t>
            </w:r>
          </w:p>
        </w:tc>
        <w:tc>
          <w:tcPr>
            <w:tcW w:w="955" w:type="dxa"/>
            <w:tcBorders>
              <w:top w:val="nil"/>
              <w:left w:val="nil"/>
              <w:bottom w:val="nil"/>
              <w:right w:val="nil"/>
            </w:tcBorders>
            <w:noWrap/>
            <w:vAlign w:val="bottom"/>
          </w:tcPr>
          <w:p w14:paraId="0CD8B16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66.00%</w:t>
            </w:r>
          </w:p>
        </w:tc>
        <w:tc>
          <w:tcPr>
            <w:tcW w:w="1170" w:type="dxa"/>
            <w:tcBorders>
              <w:top w:val="nil"/>
              <w:left w:val="nil"/>
              <w:bottom w:val="nil"/>
              <w:right w:val="nil"/>
            </w:tcBorders>
            <w:noWrap/>
            <w:vAlign w:val="bottom"/>
          </w:tcPr>
          <w:p w14:paraId="701A320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55" w:type="dxa"/>
            <w:tcBorders>
              <w:top w:val="nil"/>
              <w:left w:val="nil"/>
              <w:bottom w:val="nil"/>
              <w:right w:val="nil"/>
            </w:tcBorders>
            <w:noWrap/>
            <w:vAlign w:val="bottom"/>
          </w:tcPr>
          <w:p w14:paraId="37FD20B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79" w:type="dxa"/>
            <w:tcBorders>
              <w:top w:val="nil"/>
              <w:left w:val="nil"/>
              <w:bottom w:val="nil"/>
              <w:right w:val="nil"/>
            </w:tcBorders>
            <w:noWrap/>
            <w:vAlign w:val="bottom"/>
          </w:tcPr>
          <w:p w14:paraId="04DBCEF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13</w:t>
            </w:r>
          </w:p>
        </w:tc>
        <w:tc>
          <w:tcPr>
            <w:tcW w:w="990" w:type="dxa"/>
            <w:tcBorders>
              <w:top w:val="nil"/>
              <w:left w:val="nil"/>
              <w:bottom w:val="nil"/>
              <w:right w:val="nil"/>
            </w:tcBorders>
            <w:noWrap/>
            <w:vAlign w:val="bottom"/>
          </w:tcPr>
          <w:p w14:paraId="7FA08B9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48.00%</w:t>
            </w:r>
          </w:p>
        </w:tc>
        <w:tc>
          <w:tcPr>
            <w:tcW w:w="900" w:type="dxa"/>
            <w:tcBorders>
              <w:top w:val="nil"/>
              <w:left w:val="nil"/>
              <w:bottom w:val="nil"/>
              <w:right w:val="nil"/>
            </w:tcBorders>
            <w:noWrap/>
            <w:vAlign w:val="bottom"/>
          </w:tcPr>
          <w:p w14:paraId="4D17E4D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25</w:t>
            </w:r>
          </w:p>
        </w:tc>
      </w:tr>
      <w:tr w:rsidR="003801E8" w14:paraId="14EED992" w14:textId="77777777">
        <w:trPr>
          <w:trHeight w:val="288"/>
        </w:trPr>
        <w:tc>
          <w:tcPr>
            <w:tcW w:w="980" w:type="dxa"/>
            <w:tcBorders>
              <w:top w:val="nil"/>
              <w:left w:val="nil"/>
              <w:bottom w:val="nil"/>
              <w:right w:val="nil"/>
            </w:tcBorders>
            <w:noWrap/>
          </w:tcPr>
          <w:p w14:paraId="1659E5E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P1</w:t>
            </w:r>
          </w:p>
        </w:tc>
        <w:tc>
          <w:tcPr>
            <w:tcW w:w="711" w:type="dxa"/>
          </w:tcPr>
          <w:p w14:paraId="11D57D9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sz w:val="18"/>
                <w:szCs w:val="18"/>
              </w:rPr>
              <w:t>11.5</w:t>
            </w:r>
          </w:p>
        </w:tc>
        <w:tc>
          <w:tcPr>
            <w:tcW w:w="990" w:type="dxa"/>
            <w:tcBorders>
              <w:top w:val="nil"/>
              <w:left w:val="nil"/>
              <w:bottom w:val="nil"/>
              <w:right w:val="nil"/>
            </w:tcBorders>
            <w:noWrap/>
            <w:vAlign w:val="bottom"/>
          </w:tcPr>
          <w:p w14:paraId="464036A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52.08%</w:t>
            </w:r>
          </w:p>
        </w:tc>
        <w:tc>
          <w:tcPr>
            <w:tcW w:w="900" w:type="dxa"/>
            <w:tcBorders>
              <w:top w:val="nil"/>
              <w:left w:val="nil"/>
              <w:bottom w:val="nil"/>
              <w:right w:val="nil"/>
            </w:tcBorders>
            <w:noWrap/>
            <w:vAlign w:val="bottom"/>
          </w:tcPr>
          <w:p w14:paraId="287D062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9</w:t>
            </w:r>
          </w:p>
        </w:tc>
        <w:tc>
          <w:tcPr>
            <w:tcW w:w="955" w:type="dxa"/>
            <w:tcBorders>
              <w:top w:val="nil"/>
              <w:left w:val="nil"/>
              <w:bottom w:val="nil"/>
              <w:right w:val="nil"/>
            </w:tcBorders>
            <w:noWrap/>
            <w:vAlign w:val="bottom"/>
          </w:tcPr>
          <w:p w14:paraId="5F62A29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62.50%</w:t>
            </w:r>
          </w:p>
        </w:tc>
        <w:tc>
          <w:tcPr>
            <w:tcW w:w="1170" w:type="dxa"/>
            <w:tcBorders>
              <w:top w:val="nil"/>
              <w:left w:val="nil"/>
              <w:bottom w:val="nil"/>
              <w:right w:val="nil"/>
            </w:tcBorders>
            <w:noWrap/>
            <w:vAlign w:val="bottom"/>
          </w:tcPr>
          <w:p w14:paraId="66048E8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55" w:type="dxa"/>
            <w:tcBorders>
              <w:top w:val="nil"/>
              <w:left w:val="nil"/>
              <w:bottom w:val="nil"/>
              <w:right w:val="nil"/>
            </w:tcBorders>
            <w:noWrap/>
            <w:vAlign w:val="bottom"/>
          </w:tcPr>
          <w:p w14:paraId="57DD1E7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79" w:type="dxa"/>
            <w:tcBorders>
              <w:top w:val="nil"/>
              <w:left w:val="nil"/>
              <w:bottom w:val="nil"/>
              <w:right w:val="nil"/>
            </w:tcBorders>
            <w:noWrap/>
            <w:vAlign w:val="bottom"/>
          </w:tcPr>
          <w:p w14:paraId="58E7CA3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15</w:t>
            </w:r>
          </w:p>
        </w:tc>
        <w:tc>
          <w:tcPr>
            <w:tcW w:w="990" w:type="dxa"/>
            <w:tcBorders>
              <w:top w:val="nil"/>
              <w:left w:val="nil"/>
              <w:bottom w:val="nil"/>
              <w:right w:val="nil"/>
            </w:tcBorders>
            <w:noWrap/>
            <w:vAlign w:val="bottom"/>
          </w:tcPr>
          <w:p w14:paraId="4F45CF9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37.50%</w:t>
            </w:r>
          </w:p>
        </w:tc>
        <w:tc>
          <w:tcPr>
            <w:tcW w:w="900" w:type="dxa"/>
            <w:tcBorders>
              <w:top w:val="nil"/>
              <w:left w:val="nil"/>
              <w:bottom w:val="nil"/>
              <w:right w:val="nil"/>
            </w:tcBorders>
            <w:noWrap/>
            <w:vAlign w:val="bottom"/>
          </w:tcPr>
          <w:p w14:paraId="443A8AE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24</w:t>
            </w:r>
          </w:p>
        </w:tc>
      </w:tr>
      <w:tr w:rsidR="003801E8" w14:paraId="5A329281" w14:textId="77777777">
        <w:trPr>
          <w:trHeight w:val="288"/>
        </w:trPr>
        <w:tc>
          <w:tcPr>
            <w:tcW w:w="980" w:type="dxa"/>
            <w:tcBorders>
              <w:top w:val="nil"/>
              <w:left w:val="nil"/>
              <w:bottom w:val="nil"/>
              <w:right w:val="nil"/>
            </w:tcBorders>
            <w:noWrap/>
          </w:tcPr>
          <w:p w14:paraId="2A1D64D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P1</w:t>
            </w:r>
          </w:p>
        </w:tc>
        <w:tc>
          <w:tcPr>
            <w:tcW w:w="711" w:type="dxa"/>
          </w:tcPr>
          <w:p w14:paraId="44B386A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sz w:val="18"/>
                <w:szCs w:val="18"/>
              </w:rPr>
              <w:t>12</w:t>
            </w:r>
          </w:p>
        </w:tc>
        <w:tc>
          <w:tcPr>
            <w:tcW w:w="990" w:type="dxa"/>
            <w:tcBorders>
              <w:top w:val="nil"/>
              <w:left w:val="nil"/>
              <w:bottom w:val="nil"/>
              <w:right w:val="nil"/>
            </w:tcBorders>
            <w:noWrap/>
            <w:vAlign w:val="bottom"/>
          </w:tcPr>
          <w:p w14:paraId="3641344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52.00%</w:t>
            </w:r>
          </w:p>
        </w:tc>
        <w:tc>
          <w:tcPr>
            <w:tcW w:w="900" w:type="dxa"/>
            <w:tcBorders>
              <w:top w:val="nil"/>
              <w:left w:val="nil"/>
              <w:bottom w:val="nil"/>
              <w:right w:val="nil"/>
            </w:tcBorders>
            <w:noWrap/>
            <w:vAlign w:val="bottom"/>
          </w:tcPr>
          <w:p w14:paraId="7E7FFE9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w:t>
            </w:r>
          </w:p>
        </w:tc>
        <w:tc>
          <w:tcPr>
            <w:tcW w:w="955" w:type="dxa"/>
            <w:tcBorders>
              <w:top w:val="nil"/>
              <w:left w:val="nil"/>
              <w:bottom w:val="nil"/>
              <w:right w:val="nil"/>
            </w:tcBorders>
            <w:noWrap/>
            <w:vAlign w:val="bottom"/>
          </w:tcPr>
          <w:p w14:paraId="0F57669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68.00%</w:t>
            </w:r>
          </w:p>
        </w:tc>
        <w:tc>
          <w:tcPr>
            <w:tcW w:w="1170" w:type="dxa"/>
            <w:tcBorders>
              <w:top w:val="nil"/>
              <w:left w:val="nil"/>
              <w:bottom w:val="nil"/>
              <w:right w:val="nil"/>
            </w:tcBorders>
            <w:noWrap/>
            <w:vAlign w:val="bottom"/>
          </w:tcPr>
          <w:p w14:paraId="2707601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55" w:type="dxa"/>
            <w:tcBorders>
              <w:top w:val="nil"/>
              <w:left w:val="nil"/>
              <w:bottom w:val="nil"/>
              <w:right w:val="nil"/>
            </w:tcBorders>
            <w:noWrap/>
            <w:vAlign w:val="bottom"/>
          </w:tcPr>
          <w:p w14:paraId="60FDEC6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79" w:type="dxa"/>
            <w:tcBorders>
              <w:top w:val="nil"/>
              <w:left w:val="nil"/>
              <w:bottom w:val="nil"/>
              <w:right w:val="nil"/>
            </w:tcBorders>
            <w:noWrap/>
            <w:vAlign w:val="bottom"/>
          </w:tcPr>
          <w:p w14:paraId="086419E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14</w:t>
            </w:r>
          </w:p>
        </w:tc>
        <w:tc>
          <w:tcPr>
            <w:tcW w:w="990" w:type="dxa"/>
            <w:tcBorders>
              <w:top w:val="nil"/>
              <w:left w:val="nil"/>
              <w:bottom w:val="nil"/>
              <w:right w:val="nil"/>
            </w:tcBorders>
            <w:noWrap/>
            <w:vAlign w:val="bottom"/>
          </w:tcPr>
          <w:p w14:paraId="0342292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44.00%</w:t>
            </w:r>
          </w:p>
        </w:tc>
        <w:tc>
          <w:tcPr>
            <w:tcW w:w="900" w:type="dxa"/>
            <w:tcBorders>
              <w:top w:val="nil"/>
              <w:left w:val="nil"/>
              <w:bottom w:val="nil"/>
              <w:right w:val="nil"/>
            </w:tcBorders>
            <w:noWrap/>
            <w:vAlign w:val="bottom"/>
          </w:tcPr>
          <w:p w14:paraId="1C328C0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25</w:t>
            </w:r>
          </w:p>
        </w:tc>
      </w:tr>
      <w:tr w:rsidR="003801E8" w14:paraId="0AC214AB" w14:textId="77777777">
        <w:trPr>
          <w:trHeight w:val="288"/>
        </w:trPr>
        <w:tc>
          <w:tcPr>
            <w:tcW w:w="980" w:type="dxa"/>
            <w:tcBorders>
              <w:top w:val="nil"/>
              <w:left w:val="nil"/>
              <w:bottom w:val="nil"/>
              <w:right w:val="nil"/>
            </w:tcBorders>
            <w:noWrap/>
          </w:tcPr>
          <w:p w14:paraId="612B44E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P2</w:t>
            </w:r>
          </w:p>
        </w:tc>
        <w:tc>
          <w:tcPr>
            <w:tcW w:w="711" w:type="dxa"/>
          </w:tcPr>
          <w:p w14:paraId="53FFADF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sz w:val="18"/>
                <w:szCs w:val="18"/>
              </w:rPr>
              <w:t>14</w:t>
            </w:r>
          </w:p>
        </w:tc>
        <w:tc>
          <w:tcPr>
            <w:tcW w:w="990" w:type="dxa"/>
            <w:tcBorders>
              <w:top w:val="nil"/>
              <w:left w:val="nil"/>
              <w:bottom w:val="nil"/>
              <w:right w:val="nil"/>
            </w:tcBorders>
            <w:noWrap/>
            <w:vAlign w:val="bottom"/>
          </w:tcPr>
          <w:p w14:paraId="12C2626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42.86%</w:t>
            </w:r>
          </w:p>
        </w:tc>
        <w:tc>
          <w:tcPr>
            <w:tcW w:w="900" w:type="dxa"/>
            <w:tcBorders>
              <w:top w:val="nil"/>
              <w:left w:val="nil"/>
              <w:bottom w:val="nil"/>
              <w:right w:val="nil"/>
            </w:tcBorders>
            <w:noWrap/>
            <w:vAlign w:val="bottom"/>
          </w:tcPr>
          <w:p w14:paraId="4645082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7.5</w:t>
            </w:r>
          </w:p>
        </w:tc>
        <w:tc>
          <w:tcPr>
            <w:tcW w:w="955" w:type="dxa"/>
            <w:tcBorders>
              <w:top w:val="nil"/>
              <w:left w:val="nil"/>
              <w:bottom w:val="nil"/>
              <w:right w:val="nil"/>
            </w:tcBorders>
            <w:noWrap/>
            <w:vAlign w:val="bottom"/>
          </w:tcPr>
          <w:p w14:paraId="615726C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69.39%</w:t>
            </w:r>
          </w:p>
        </w:tc>
        <w:tc>
          <w:tcPr>
            <w:tcW w:w="1170" w:type="dxa"/>
            <w:tcBorders>
              <w:top w:val="nil"/>
              <w:left w:val="nil"/>
              <w:bottom w:val="nil"/>
              <w:right w:val="nil"/>
            </w:tcBorders>
            <w:noWrap/>
            <w:vAlign w:val="bottom"/>
          </w:tcPr>
          <w:p w14:paraId="67783D6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55" w:type="dxa"/>
            <w:tcBorders>
              <w:top w:val="nil"/>
              <w:left w:val="nil"/>
              <w:bottom w:val="nil"/>
              <w:right w:val="nil"/>
            </w:tcBorders>
            <w:noWrap/>
            <w:vAlign w:val="bottom"/>
          </w:tcPr>
          <w:p w14:paraId="0AD82B0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79" w:type="dxa"/>
            <w:tcBorders>
              <w:top w:val="nil"/>
              <w:left w:val="nil"/>
              <w:bottom w:val="nil"/>
              <w:right w:val="nil"/>
            </w:tcBorders>
            <w:noWrap/>
            <w:vAlign w:val="bottom"/>
          </w:tcPr>
          <w:p w14:paraId="21F67AA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10.5</w:t>
            </w:r>
          </w:p>
        </w:tc>
        <w:tc>
          <w:tcPr>
            <w:tcW w:w="990" w:type="dxa"/>
            <w:tcBorders>
              <w:top w:val="nil"/>
              <w:left w:val="nil"/>
              <w:bottom w:val="nil"/>
              <w:right w:val="nil"/>
            </w:tcBorders>
            <w:noWrap/>
            <w:vAlign w:val="bottom"/>
          </w:tcPr>
          <w:p w14:paraId="07CB9EA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57.14%</w:t>
            </w:r>
          </w:p>
        </w:tc>
        <w:tc>
          <w:tcPr>
            <w:tcW w:w="900" w:type="dxa"/>
            <w:tcBorders>
              <w:top w:val="nil"/>
              <w:left w:val="nil"/>
              <w:bottom w:val="nil"/>
              <w:right w:val="nil"/>
            </w:tcBorders>
            <w:noWrap/>
            <w:vAlign w:val="bottom"/>
          </w:tcPr>
          <w:p w14:paraId="2993160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24.5</w:t>
            </w:r>
          </w:p>
        </w:tc>
      </w:tr>
      <w:tr w:rsidR="003801E8" w14:paraId="4EF730F1" w14:textId="77777777">
        <w:trPr>
          <w:trHeight w:val="288"/>
        </w:trPr>
        <w:tc>
          <w:tcPr>
            <w:tcW w:w="980" w:type="dxa"/>
            <w:tcBorders>
              <w:top w:val="nil"/>
              <w:left w:val="nil"/>
              <w:bottom w:val="nil"/>
              <w:right w:val="nil"/>
            </w:tcBorders>
            <w:noWrap/>
          </w:tcPr>
          <w:p w14:paraId="529FA81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P2</w:t>
            </w:r>
          </w:p>
        </w:tc>
        <w:tc>
          <w:tcPr>
            <w:tcW w:w="711" w:type="dxa"/>
          </w:tcPr>
          <w:p w14:paraId="51FFFDC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sz w:val="18"/>
                <w:szCs w:val="18"/>
              </w:rPr>
              <w:t>14.5</w:t>
            </w:r>
          </w:p>
        </w:tc>
        <w:tc>
          <w:tcPr>
            <w:tcW w:w="990" w:type="dxa"/>
            <w:tcBorders>
              <w:top w:val="nil"/>
              <w:left w:val="nil"/>
              <w:bottom w:val="nil"/>
              <w:right w:val="nil"/>
            </w:tcBorders>
            <w:noWrap/>
            <w:vAlign w:val="bottom"/>
          </w:tcPr>
          <w:p w14:paraId="64B888F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43.14%</w:t>
            </w:r>
          </w:p>
        </w:tc>
        <w:tc>
          <w:tcPr>
            <w:tcW w:w="900" w:type="dxa"/>
            <w:tcBorders>
              <w:top w:val="nil"/>
              <w:left w:val="nil"/>
              <w:bottom w:val="nil"/>
              <w:right w:val="nil"/>
            </w:tcBorders>
            <w:noWrap/>
            <w:vAlign w:val="bottom"/>
          </w:tcPr>
          <w:p w14:paraId="166AA63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w:t>
            </w:r>
          </w:p>
        </w:tc>
        <w:tc>
          <w:tcPr>
            <w:tcW w:w="955" w:type="dxa"/>
            <w:tcBorders>
              <w:top w:val="nil"/>
              <w:left w:val="nil"/>
              <w:bottom w:val="nil"/>
              <w:right w:val="nil"/>
            </w:tcBorders>
            <w:noWrap/>
            <w:vAlign w:val="bottom"/>
          </w:tcPr>
          <w:p w14:paraId="1476B6C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60.78%</w:t>
            </w:r>
          </w:p>
        </w:tc>
        <w:tc>
          <w:tcPr>
            <w:tcW w:w="1170" w:type="dxa"/>
            <w:tcBorders>
              <w:top w:val="nil"/>
              <w:left w:val="nil"/>
              <w:bottom w:val="nil"/>
              <w:right w:val="nil"/>
            </w:tcBorders>
            <w:noWrap/>
            <w:vAlign w:val="bottom"/>
          </w:tcPr>
          <w:p w14:paraId="294F291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55" w:type="dxa"/>
            <w:tcBorders>
              <w:top w:val="nil"/>
              <w:left w:val="nil"/>
              <w:bottom w:val="nil"/>
              <w:right w:val="nil"/>
            </w:tcBorders>
            <w:noWrap/>
            <w:vAlign w:val="bottom"/>
          </w:tcPr>
          <w:p w14:paraId="5CE7482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79" w:type="dxa"/>
            <w:tcBorders>
              <w:top w:val="nil"/>
              <w:left w:val="nil"/>
              <w:bottom w:val="nil"/>
              <w:right w:val="nil"/>
            </w:tcBorders>
            <w:noWrap/>
            <w:vAlign w:val="bottom"/>
          </w:tcPr>
          <w:p w14:paraId="2FC86F0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14</w:t>
            </w:r>
          </w:p>
        </w:tc>
        <w:tc>
          <w:tcPr>
            <w:tcW w:w="990" w:type="dxa"/>
            <w:tcBorders>
              <w:top w:val="nil"/>
              <w:left w:val="nil"/>
              <w:bottom w:val="nil"/>
              <w:right w:val="nil"/>
            </w:tcBorders>
            <w:noWrap/>
            <w:vAlign w:val="bottom"/>
          </w:tcPr>
          <w:p w14:paraId="3758AF2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45.10%</w:t>
            </w:r>
          </w:p>
        </w:tc>
        <w:tc>
          <w:tcPr>
            <w:tcW w:w="900" w:type="dxa"/>
            <w:tcBorders>
              <w:top w:val="nil"/>
              <w:left w:val="nil"/>
              <w:bottom w:val="nil"/>
              <w:right w:val="nil"/>
            </w:tcBorders>
            <w:noWrap/>
            <w:vAlign w:val="bottom"/>
          </w:tcPr>
          <w:p w14:paraId="6044EAF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25.5</w:t>
            </w:r>
          </w:p>
        </w:tc>
      </w:tr>
      <w:tr w:rsidR="003801E8" w14:paraId="41FD78B6" w14:textId="77777777">
        <w:trPr>
          <w:trHeight w:val="288"/>
        </w:trPr>
        <w:tc>
          <w:tcPr>
            <w:tcW w:w="980" w:type="dxa"/>
            <w:tcBorders>
              <w:top w:val="nil"/>
              <w:left w:val="nil"/>
              <w:bottom w:val="nil"/>
              <w:right w:val="nil"/>
            </w:tcBorders>
            <w:noWrap/>
          </w:tcPr>
          <w:p w14:paraId="7C1D694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P2</w:t>
            </w:r>
          </w:p>
        </w:tc>
        <w:tc>
          <w:tcPr>
            <w:tcW w:w="711" w:type="dxa"/>
          </w:tcPr>
          <w:p w14:paraId="0F5C15C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sz w:val="18"/>
                <w:szCs w:val="18"/>
              </w:rPr>
              <w:t>12</w:t>
            </w:r>
          </w:p>
        </w:tc>
        <w:tc>
          <w:tcPr>
            <w:tcW w:w="990" w:type="dxa"/>
            <w:tcBorders>
              <w:top w:val="nil"/>
              <w:left w:val="nil"/>
              <w:bottom w:val="nil"/>
              <w:right w:val="nil"/>
            </w:tcBorders>
            <w:noWrap/>
            <w:vAlign w:val="bottom"/>
          </w:tcPr>
          <w:p w14:paraId="5ABBE5B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46.67%</w:t>
            </w:r>
          </w:p>
        </w:tc>
        <w:tc>
          <w:tcPr>
            <w:tcW w:w="900" w:type="dxa"/>
            <w:tcBorders>
              <w:top w:val="nil"/>
              <w:left w:val="nil"/>
              <w:bottom w:val="nil"/>
              <w:right w:val="nil"/>
            </w:tcBorders>
            <w:noWrap/>
            <w:vAlign w:val="bottom"/>
          </w:tcPr>
          <w:p w14:paraId="7569157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9.5</w:t>
            </w:r>
          </w:p>
        </w:tc>
        <w:tc>
          <w:tcPr>
            <w:tcW w:w="955" w:type="dxa"/>
            <w:tcBorders>
              <w:top w:val="nil"/>
              <w:left w:val="nil"/>
              <w:bottom w:val="nil"/>
              <w:right w:val="nil"/>
            </w:tcBorders>
            <w:noWrap/>
            <w:vAlign w:val="bottom"/>
          </w:tcPr>
          <w:p w14:paraId="5B6A657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57.78%</w:t>
            </w:r>
          </w:p>
        </w:tc>
        <w:tc>
          <w:tcPr>
            <w:tcW w:w="1170" w:type="dxa"/>
            <w:tcBorders>
              <w:top w:val="nil"/>
              <w:left w:val="nil"/>
              <w:bottom w:val="nil"/>
              <w:right w:val="nil"/>
            </w:tcBorders>
            <w:noWrap/>
            <w:vAlign w:val="bottom"/>
          </w:tcPr>
          <w:p w14:paraId="1BC2F58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55" w:type="dxa"/>
            <w:tcBorders>
              <w:top w:val="nil"/>
              <w:left w:val="nil"/>
              <w:bottom w:val="nil"/>
              <w:right w:val="nil"/>
            </w:tcBorders>
            <w:noWrap/>
            <w:vAlign w:val="bottom"/>
          </w:tcPr>
          <w:p w14:paraId="2151DC1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79" w:type="dxa"/>
            <w:tcBorders>
              <w:top w:val="nil"/>
              <w:left w:val="nil"/>
              <w:bottom w:val="nil"/>
              <w:right w:val="nil"/>
            </w:tcBorders>
            <w:noWrap/>
            <w:vAlign w:val="bottom"/>
          </w:tcPr>
          <w:p w14:paraId="5C76147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15.5</w:t>
            </w:r>
          </w:p>
        </w:tc>
        <w:tc>
          <w:tcPr>
            <w:tcW w:w="990" w:type="dxa"/>
            <w:tcBorders>
              <w:top w:val="nil"/>
              <w:left w:val="nil"/>
              <w:bottom w:val="nil"/>
              <w:right w:val="nil"/>
            </w:tcBorders>
            <w:noWrap/>
            <w:vAlign w:val="bottom"/>
          </w:tcPr>
          <w:p w14:paraId="38FCAB9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31.11%</w:t>
            </w:r>
          </w:p>
        </w:tc>
        <w:tc>
          <w:tcPr>
            <w:tcW w:w="900" w:type="dxa"/>
            <w:tcBorders>
              <w:top w:val="nil"/>
              <w:left w:val="nil"/>
              <w:bottom w:val="nil"/>
              <w:right w:val="nil"/>
            </w:tcBorders>
            <w:noWrap/>
            <w:vAlign w:val="bottom"/>
          </w:tcPr>
          <w:p w14:paraId="5050ACA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22.5</w:t>
            </w:r>
          </w:p>
        </w:tc>
      </w:tr>
      <w:tr w:rsidR="003801E8" w14:paraId="0E901CBF" w14:textId="77777777">
        <w:trPr>
          <w:trHeight w:val="288"/>
        </w:trPr>
        <w:tc>
          <w:tcPr>
            <w:tcW w:w="980" w:type="dxa"/>
            <w:tcBorders>
              <w:top w:val="nil"/>
              <w:left w:val="nil"/>
              <w:bottom w:val="nil"/>
              <w:right w:val="nil"/>
            </w:tcBorders>
            <w:noWrap/>
          </w:tcPr>
          <w:p w14:paraId="340CAE5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P2</w:t>
            </w:r>
          </w:p>
        </w:tc>
        <w:tc>
          <w:tcPr>
            <w:tcW w:w="711" w:type="dxa"/>
          </w:tcPr>
          <w:p w14:paraId="658A143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sz w:val="18"/>
                <w:szCs w:val="18"/>
              </w:rPr>
              <w:t>12</w:t>
            </w:r>
          </w:p>
        </w:tc>
        <w:tc>
          <w:tcPr>
            <w:tcW w:w="990" w:type="dxa"/>
            <w:tcBorders>
              <w:top w:val="nil"/>
              <w:left w:val="nil"/>
              <w:bottom w:val="nil"/>
              <w:right w:val="nil"/>
            </w:tcBorders>
            <w:noWrap/>
            <w:vAlign w:val="bottom"/>
          </w:tcPr>
          <w:p w14:paraId="7D36EB3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52.94%</w:t>
            </w:r>
          </w:p>
        </w:tc>
        <w:tc>
          <w:tcPr>
            <w:tcW w:w="900" w:type="dxa"/>
            <w:tcBorders>
              <w:top w:val="nil"/>
              <w:left w:val="nil"/>
              <w:bottom w:val="nil"/>
              <w:right w:val="nil"/>
            </w:tcBorders>
            <w:noWrap/>
            <w:vAlign w:val="bottom"/>
          </w:tcPr>
          <w:p w14:paraId="3EEB216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9</w:t>
            </w:r>
          </w:p>
        </w:tc>
        <w:tc>
          <w:tcPr>
            <w:tcW w:w="955" w:type="dxa"/>
            <w:tcBorders>
              <w:top w:val="nil"/>
              <w:left w:val="nil"/>
              <w:bottom w:val="nil"/>
              <w:right w:val="nil"/>
            </w:tcBorders>
            <w:noWrap/>
            <w:vAlign w:val="bottom"/>
          </w:tcPr>
          <w:p w14:paraId="5D6E617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64.71%</w:t>
            </w:r>
          </w:p>
        </w:tc>
        <w:tc>
          <w:tcPr>
            <w:tcW w:w="1170" w:type="dxa"/>
            <w:tcBorders>
              <w:top w:val="nil"/>
              <w:left w:val="nil"/>
              <w:bottom w:val="nil"/>
              <w:right w:val="nil"/>
            </w:tcBorders>
            <w:noWrap/>
            <w:vAlign w:val="bottom"/>
          </w:tcPr>
          <w:p w14:paraId="6E9EBAC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55" w:type="dxa"/>
            <w:tcBorders>
              <w:top w:val="nil"/>
              <w:left w:val="nil"/>
              <w:bottom w:val="nil"/>
              <w:right w:val="nil"/>
            </w:tcBorders>
            <w:noWrap/>
            <w:vAlign w:val="bottom"/>
          </w:tcPr>
          <w:p w14:paraId="5A70FB6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79" w:type="dxa"/>
            <w:tcBorders>
              <w:top w:val="nil"/>
              <w:left w:val="nil"/>
              <w:bottom w:val="nil"/>
              <w:right w:val="nil"/>
            </w:tcBorders>
            <w:noWrap/>
            <w:vAlign w:val="bottom"/>
          </w:tcPr>
          <w:p w14:paraId="3B69696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15</w:t>
            </w:r>
          </w:p>
        </w:tc>
        <w:tc>
          <w:tcPr>
            <w:tcW w:w="990" w:type="dxa"/>
            <w:tcBorders>
              <w:top w:val="nil"/>
              <w:left w:val="nil"/>
              <w:bottom w:val="nil"/>
              <w:right w:val="nil"/>
            </w:tcBorders>
            <w:noWrap/>
            <w:vAlign w:val="bottom"/>
          </w:tcPr>
          <w:p w14:paraId="55FE274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41.18%</w:t>
            </w:r>
          </w:p>
        </w:tc>
        <w:tc>
          <w:tcPr>
            <w:tcW w:w="900" w:type="dxa"/>
            <w:tcBorders>
              <w:top w:val="nil"/>
              <w:left w:val="nil"/>
              <w:bottom w:val="nil"/>
              <w:right w:val="nil"/>
            </w:tcBorders>
            <w:noWrap/>
            <w:vAlign w:val="bottom"/>
          </w:tcPr>
          <w:p w14:paraId="1234CC5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25.5</w:t>
            </w:r>
          </w:p>
        </w:tc>
      </w:tr>
      <w:tr w:rsidR="003801E8" w14:paraId="29F607E2" w14:textId="77777777">
        <w:trPr>
          <w:trHeight w:val="288"/>
        </w:trPr>
        <w:tc>
          <w:tcPr>
            <w:tcW w:w="980" w:type="dxa"/>
            <w:tcBorders>
              <w:top w:val="nil"/>
              <w:left w:val="nil"/>
              <w:bottom w:val="nil"/>
              <w:right w:val="nil"/>
            </w:tcBorders>
            <w:noWrap/>
          </w:tcPr>
          <w:p w14:paraId="49AB778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P3</w:t>
            </w:r>
          </w:p>
        </w:tc>
        <w:tc>
          <w:tcPr>
            <w:tcW w:w="711" w:type="dxa"/>
          </w:tcPr>
          <w:p w14:paraId="521502A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sz w:val="18"/>
                <w:szCs w:val="18"/>
              </w:rPr>
              <w:t>15</w:t>
            </w:r>
          </w:p>
        </w:tc>
        <w:tc>
          <w:tcPr>
            <w:tcW w:w="990" w:type="dxa"/>
            <w:tcBorders>
              <w:top w:val="nil"/>
              <w:left w:val="nil"/>
              <w:bottom w:val="nil"/>
              <w:right w:val="nil"/>
            </w:tcBorders>
            <w:noWrap/>
            <w:vAlign w:val="bottom"/>
          </w:tcPr>
          <w:p w14:paraId="0B12C81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43.40%</w:t>
            </w:r>
          </w:p>
        </w:tc>
        <w:tc>
          <w:tcPr>
            <w:tcW w:w="900" w:type="dxa"/>
            <w:tcBorders>
              <w:top w:val="nil"/>
              <w:left w:val="nil"/>
              <w:bottom w:val="nil"/>
              <w:right w:val="nil"/>
            </w:tcBorders>
            <w:noWrap/>
            <w:vAlign w:val="bottom"/>
          </w:tcPr>
          <w:p w14:paraId="6A93AA0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w:t>
            </w:r>
          </w:p>
        </w:tc>
        <w:tc>
          <w:tcPr>
            <w:tcW w:w="955" w:type="dxa"/>
            <w:tcBorders>
              <w:top w:val="nil"/>
              <w:left w:val="nil"/>
              <w:bottom w:val="nil"/>
              <w:right w:val="nil"/>
            </w:tcBorders>
            <w:noWrap/>
            <w:vAlign w:val="bottom"/>
          </w:tcPr>
          <w:p w14:paraId="3DEF59F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69.81%</w:t>
            </w:r>
          </w:p>
        </w:tc>
        <w:tc>
          <w:tcPr>
            <w:tcW w:w="1170" w:type="dxa"/>
            <w:tcBorders>
              <w:top w:val="nil"/>
              <w:left w:val="nil"/>
              <w:bottom w:val="nil"/>
              <w:right w:val="nil"/>
            </w:tcBorders>
            <w:noWrap/>
            <w:vAlign w:val="bottom"/>
          </w:tcPr>
          <w:p w14:paraId="225B16C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55" w:type="dxa"/>
            <w:tcBorders>
              <w:top w:val="nil"/>
              <w:left w:val="nil"/>
              <w:bottom w:val="nil"/>
              <w:right w:val="nil"/>
            </w:tcBorders>
            <w:noWrap/>
            <w:vAlign w:val="bottom"/>
          </w:tcPr>
          <w:p w14:paraId="1B856CB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79" w:type="dxa"/>
            <w:tcBorders>
              <w:top w:val="nil"/>
              <w:left w:val="nil"/>
              <w:bottom w:val="nil"/>
              <w:right w:val="nil"/>
            </w:tcBorders>
            <w:noWrap/>
            <w:vAlign w:val="bottom"/>
          </w:tcPr>
          <w:p w14:paraId="68A7961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16</w:t>
            </w:r>
          </w:p>
        </w:tc>
        <w:tc>
          <w:tcPr>
            <w:tcW w:w="990" w:type="dxa"/>
            <w:tcBorders>
              <w:top w:val="nil"/>
              <w:left w:val="nil"/>
              <w:bottom w:val="nil"/>
              <w:right w:val="nil"/>
            </w:tcBorders>
            <w:noWrap/>
            <w:vAlign w:val="bottom"/>
          </w:tcPr>
          <w:p w14:paraId="00350D3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39.62%</w:t>
            </w:r>
          </w:p>
        </w:tc>
        <w:tc>
          <w:tcPr>
            <w:tcW w:w="900" w:type="dxa"/>
            <w:tcBorders>
              <w:top w:val="nil"/>
              <w:left w:val="nil"/>
              <w:bottom w:val="nil"/>
              <w:right w:val="nil"/>
            </w:tcBorders>
            <w:noWrap/>
            <w:vAlign w:val="bottom"/>
          </w:tcPr>
          <w:p w14:paraId="0E49380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26.5</w:t>
            </w:r>
          </w:p>
        </w:tc>
      </w:tr>
      <w:tr w:rsidR="003801E8" w14:paraId="0EF10B53" w14:textId="77777777">
        <w:trPr>
          <w:trHeight w:val="288"/>
        </w:trPr>
        <w:tc>
          <w:tcPr>
            <w:tcW w:w="980" w:type="dxa"/>
            <w:tcBorders>
              <w:top w:val="nil"/>
              <w:left w:val="nil"/>
              <w:bottom w:val="nil"/>
              <w:right w:val="nil"/>
            </w:tcBorders>
            <w:noWrap/>
          </w:tcPr>
          <w:p w14:paraId="5E992D9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P3</w:t>
            </w:r>
          </w:p>
        </w:tc>
        <w:tc>
          <w:tcPr>
            <w:tcW w:w="711" w:type="dxa"/>
          </w:tcPr>
          <w:p w14:paraId="3575F62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sz w:val="18"/>
                <w:szCs w:val="18"/>
              </w:rPr>
              <w:t>11</w:t>
            </w:r>
          </w:p>
        </w:tc>
        <w:tc>
          <w:tcPr>
            <w:tcW w:w="990" w:type="dxa"/>
            <w:tcBorders>
              <w:top w:val="nil"/>
              <w:left w:val="nil"/>
              <w:bottom w:val="nil"/>
              <w:right w:val="nil"/>
            </w:tcBorders>
            <w:noWrap/>
            <w:vAlign w:val="bottom"/>
          </w:tcPr>
          <w:p w14:paraId="097043C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48.84%</w:t>
            </w:r>
          </w:p>
        </w:tc>
        <w:tc>
          <w:tcPr>
            <w:tcW w:w="900" w:type="dxa"/>
            <w:tcBorders>
              <w:top w:val="nil"/>
              <w:left w:val="nil"/>
              <w:bottom w:val="nil"/>
              <w:right w:val="nil"/>
            </w:tcBorders>
            <w:noWrap/>
            <w:vAlign w:val="bottom"/>
          </w:tcPr>
          <w:p w14:paraId="32E40EF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8.5</w:t>
            </w:r>
          </w:p>
        </w:tc>
        <w:tc>
          <w:tcPr>
            <w:tcW w:w="955" w:type="dxa"/>
            <w:tcBorders>
              <w:top w:val="nil"/>
              <w:left w:val="nil"/>
              <w:bottom w:val="nil"/>
              <w:right w:val="nil"/>
            </w:tcBorders>
            <w:noWrap/>
            <w:vAlign w:val="bottom"/>
          </w:tcPr>
          <w:p w14:paraId="721E067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60.47%</w:t>
            </w:r>
          </w:p>
        </w:tc>
        <w:tc>
          <w:tcPr>
            <w:tcW w:w="1170" w:type="dxa"/>
            <w:tcBorders>
              <w:top w:val="nil"/>
              <w:left w:val="nil"/>
              <w:bottom w:val="nil"/>
              <w:right w:val="nil"/>
            </w:tcBorders>
            <w:noWrap/>
            <w:vAlign w:val="bottom"/>
          </w:tcPr>
          <w:p w14:paraId="04EC12E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55" w:type="dxa"/>
            <w:tcBorders>
              <w:top w:val="nil"/>
              <w:left w:val="nil"/>
              <w:bottom w:val="nil"/>
              <w:right w:val="nil"/>
            </w:tcBorders>
            <w:noWrap/>
            <w:vAlign w:val="bottom"/>
          </w:tcPr>
          <w:p w14:paraId="6F9DD69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79" w:type="dxa"/>
            <w:tcBorders>
              <w:top w:val="nil"/>
              <w:left w:val="nil"/>
              <w:bottom w:val="nil"/>
              <w:right w:val="nil"/>
            </w:tcBorders>
            <w:noWrap/>
            <w:vAlign w:val="bottom"/>
          </w:tcPr>
          <w:p w14:paraId="153E8BA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13.5</w:t>
            </w:r>
          </w:p>
        </w:tc>
        <w:tc>
          <w:tcPr>
            <w:tcW w:w="990" w:type="dxa"/>
            <w:tcBorders>
              <w:top w:val="nil"/>
              <w:left w:val="nil"/>
              <w:bottom w:val="nil"/>
              <w:right w:val="nil"/>
            </w:tcBorders>
            <w:noWrap/>
            <w:vAlign w:val="bottom"/>
          </w:tcPr>
          <w:p w14:paraId="1B7FE75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37.21%</w:t>
            </w:r>
          </w:p>
        </w:tc>
        <w:tc>
          <w:tcPr>
            <w:tcW w:w="900" w:type="dxa"/>
            <w:tcBorders>
              <w:top w:val="nil"/>
              <w:left w:val="nil"/>
              <w:bottom w:val="nil"/>
              <w:right w:val="nil"/>
            </w:tcBorders>
            <w:noWrap/>
            <w:vAlign w:val="bottom"/>
          </w:tcPr>
          <w:p w14:paraId="14DA1F5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21.5</w:t>
            </w:r>
          </w:p>
        </w:tc>
      </w:tr>
      <w:tr w:rsidR="003801E8" w14:paraId="585E1258" w14:textId="77777777">
        <w:trPr>
          <w:trHeight w:val="288"/>
        </w:trPr>
        <w:tc>
          <w:tcPr>
            <w:tcW w:w="980" w:type="dxa"/>
            <w:tcBorders>
              <w:top w:val="nil"/>
              <w:left w:val="nil"/>
              <w:bottom w:val="nil"/>
              <w:right w:val="nil"/>
            </w:tcBorders>
            <w:noWrap/>
          </w:tcPr>
          <w:p w14:paraId="504C23E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P3</w:t>
            </w:r>
          </w:p>
        </w:tc>
        <w:tc>
          <w:tcPr>
            <w:tcW w:w="711" w:type="dxa"/>
          </w:tcPr>
          <w:p w14:paraId="140A29F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sz w:val="18"/>
                <w:szCs w:val="18"/>
              </w:rPr>
              <w:t>14</w:t>
            </w:r>
          </w:p>
        </w:tc>
        <w:tc>
          <w:tcPr>
            <w:tcW w:w="990" w:type="dxa"/>
            <w:tcBorders>
              <w:top w:val="nil"/>
              <w:left w:val="nil"/>
              <w:bottom w:val="nil"/>
              <w:right w:val="nil"/>
            </w:tcBorders>
            <w:noWrap/>
            <w:vAlign w:val="bottom"/>
          </w:tcPr>
          <w:p w14:paraId="64F8A26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37.78%</w:t>
            </w:r>
          </w:p>
        </w:tc>
        <w:tc>
          <w:tcPr>
            <w:tcW w:w="900" w:type="dxa"/>
            <w:tcBorders>
              <w:top w:val="nil"/>
              <w:left w:val="nil"/>
              <w:bottom w:val="nil"/>
              <w:right w:val="nil"/>
            </w:tcBorders>
            <w:noWrap/>
            <w:vAlign w:val="bottom"/>
          </w:tcPr>
          <w:p w14:paraId="317C043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w:t>
            </w:r>
          </w:p>
        </w:tc>
        <w:tc>
          <w:tcPr>
            <w:tcW w:w="955" w:type="dxa"/>
            <w:tcBorders>
              <w:top w:val="nil"/>
              <w:left w:val="nil"/>
              <w:bottom w:val="nil"/>
              <w:right w:val="nil"/>
            </w:tcBorders>
            <w:noWrap/>
            <w:vAlign w:val="bottom"/>
          </w:tcPr>
          <w:p w14:paraId="7DB9A86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68.89%</w:t>
            </w:r>
          </w:p>
        </w:tc>
        <w:tc>
          <w:tcPr>
            <w:tcW w:w="1170" w:type="dxa"/>
            <w:tcBorders>
              <w:top w:val="nil"/>
              <w:left w:val="nil"/>
              <w:bottom w:val="nil"/>
              <w:right w:val="nil"/>
            </w:tcBorders>
            <w:noWrap/>
            <w:vAlign w:val="bottom"/>
          </w:tcPr>
          <w:p w14:paraId="567EB17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55" w:type="dxa"/>
            <w:tcBorders>
              <w:top w:val="nil"/>
              <w:left w:val="nil"/>
              <w:bottom w:val="nil"/>
              <w:right w:val="nil"/>
            </w:tcBorders>
            <w:noWrap/>
            <w:vAlign w:val="bottom"/>
          </w:tcPr>
          <w:p w14:paraId="556AFCA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79" w:type="dxa"/>
            <w:tcBorders>
              <w:top w:val="nil"/>
              <w:left w:val="nil"/>
              <w:bottom w:val="nil"/>
              <w:right w:val="nil"/>
            </w:tcBorders>
            <w:noWrap/>
            <w:vAlign w:val="bottom"/>
          </w:tcPr>
          <w:p w14:paraId="046C0F2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12.5</w:t>
            </w:r>
          </w:p>
        </w:tc>
        <w:tc>
          <w:tcPr>
            <w:tcW w:w="990" w:type="dxa"/>
            <w:tcBorders>
              <w:top w:val="nil"/>
              <w:left w:val="nil"/>
              <w:bottom w:val="nil"/>
              <w:right w:val="nil"/>
            </w:tcBorders>
            <w:noWrap/>
            <w:vAlign w:val="bottom"/>
          </w:tcPr>
          <w:p w14:paraId="408F102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44.44%</w:t>
            </w:r>
          </w:p>
        </w:tc>
        <w:tc>
          <w:tcPr>
            <w:tcW w:w="900" w:type="dxa"/>
            <w:tcBorders>
              <w:top w:val="nil"/>
              <w:left w:val="nil"/>
              <w:bottom w:val="nil"/>
              <w:right w:val="nil"/>
            </w:tcBorders>
            <w:noWrap/>
            <w:vAlign w:val="bottom"/>
          </w:tcPr>
          <w:p w14:paraId="4B6AB99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22.5</w:t>
            </w:r>
          </w:p>
        </w:tc>
      </w:tr>
      <w:tr w:rsidR="003801E8" w14:paraId="216B70C7" w14:textId="77777777">
        <w:trPr>
          <w:trHeight w:val="288"/>
        </w:trPr>
        <w:tc>
          <w:tcPr>
            <w:tcW w:w="980" w:type="dxa"/>
            <w:tcBorders>
              <w:top w:val="nil"/>
              <w:left w:val="nil"/>
              <w:right w:val="nil"/>
            </w:tcBorders>
            <w:noWrap/>
          </w:tcPr>
          <w:p w14:paraId="2BF2A0E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P3</w:t>
            </w:r>
          </w:p>
        </w:tc>
        <w:tc>
          <w:tcPr>
            <w:tcW w:w="711" w:type="dxa"/>
          </w:tcPr>
          <w:p w14:paraId="1614473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hAnsi="Book Antiqua"/>
                <w:sz w:val="18"/>
                <w:szCs w:val="18"/>
              </w:rPr>
              <w:t>14</w:t>
            </w:r>
          </w:p>
        </w:tc>
        <w:tc>
          <w:tcPr>
            <w:tcW w:w="990" w:type="dxa"/>
            <w:tcBorders>
              <w:top w:val="nil"/>
              <w:left w:val="nil"/>
              <w:right w:val="nil"/>
            </w:tcBorders>
            <w:noWrap/>
            <w:vAlign w:val="bottom"/>
          </w:tcPr>
          <w:p w14:paraId="22FDD04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46.15%</w:t>
            </w:r>
          </w:p>
        </w:tc>
        <w:tc>
          <w:tcPr>
            <w:tcW w:w="900" w:type="dxa"/>
            <w:tcBorders>
              <w:top w:val="nil"/>
              <w:left w:val="nil"/>
              <w:right w:val="nil"/>
            </w:tcBorders>
            <w:noWrap/>
            <w:vAlign w:val="bottom"/>
          </w:tcPr>
          <w:p w14:paraId="7E2BAA2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w:t>
            </w:r>
          </w:p>
        </w:tc>
        <w:tc>
          <w:tcPr>
            <w:tcW w:w="955" w:type="dxa"/>
            <w:tcBorders>
              <w:top w:val="nil"/>
              <w:left w:val="nil"/>
              <w:right w:val="nil"/>
            </w:tcBorders>
            <w:noWrap/>
            <w:vAlign w:val="bottom"/>
          </w:tcPr>
          <w:p w14:paraId="6C2A7D4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69.23%</w:t>
            </w:r>
          </w:p>
        </w:tc>
        <w:tc>
          <w:tcPr>
            <w:tcW w:w="1170" w:type="dxa"/>
            <w:tcBorders>
              <w:top w:val="nil"/>
              <w:left w:val="nil"/>
              <w:right w:val="nil"/>
            </w:tcBorders>
            <w:noWrap/>
            <w:vAlign w:val="bottom"/>
          </w:tcPr>
          <w:p w14:paraId="35148C6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55" w:type="dxa"/>
            <w:tcBorders>
              <w:top w:val="nil"/>
              <w:left w:val="nil"/>
              <w:right w:val="nil"/>
            </w:tcBorders>
            <w:noWrap/>
            <w:vAlign w:val="bottom"/>
          </w:tcPr>
          <w:p w14:paraId="705BC24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79" w:type="dxa"/>
            <w:tcBorders>
              <w:top w:val="nil"/>
              <w:left w:val="nil"/>
              <w:right w:val="nil"/>
            </w:tcBorders>
            <w:noWrap/>
            <w:vAlign w:val="bottom"/>
          </w:tcPr>
          <w:p w14:paraId="0B3A179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11.5</w:t>
            </w:r>
          </w:p>
        </w:tc>
        <w:tc>
          <w:tcPr>
            <w:tcW w:w="990" w:type="dxa"/>
            <w:tcBorders>
              <w:top w:val="nil"/>
              <w:left w:val="nil"/>
              <w:right w:val="nil"/>
            </w:tcBorders>
            <w:noWrap/>
            <w:vAlign w:val="bottom"/>
          </w:tcPr>
          <w:p w14:paraId="4EA782A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55.77%</w:t>
            </w:r>
          </w:p>
        </w:tc>
        <w:tc>
          <w:tcPr>
            <w:tcW w:w="900" w:type="dxa"/>
            <w:tcBorders>
              <w:top w:val="nil"/>
              <w:left w:val="nil"/>
              <w:right w:val="nil"/>
            </w:tcBorders>
            <w:noWrap/>
            <w:vAlign w:val="bottom"/>
          </w:tcPr>
          <w:p w14:paraId="0B4CEEA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26</w:t>
            </w:r>
          </w:p>
        </w:tc>
      </w:tr>
      <w:tr w:rsidR="003801E8" w14:paraId="785D4685" w14:textId="77777777">
        <w:trPr>
          <w:trHeight w:val="288"/>
        </w:trPr>
        <w:tc>
          <w:tcPr>
            <w:tcW w:w="980" w:type="dxa"/>
            <w:tcBorders>
              <w:top w:val="nil"/>
              <w:left w:val="nil"/>
              <w:bottom w:val="single" w:sz="4" w:space="0" w:color="auto"/>
              <w:right w:val="nil"/>
            </w:tcBorders>
            <w:noWrap/>
            <w:vAlign w:val="bottom"/>
          </w:tcPr>
          <w:p w14:paraId="31D2576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Prosjek</w:t>
            </w:r>
          </w:p>
        </w:tc>
        <w:tc>
          <w:tcPr>
            <w:tcW w:w="711" w:type="dxa"/>
            <w:tcBorders>
              <w:bottom w:val="single" w:sz="4" w:space="0" w:color="auto"/>
            </w:tcBorders>
          </w:tcPr>
          <w:p w14:paraId="6D703E2B" w14:textId="77777777" w:rsidR="003801E8" w:rsidRDefault="003801E8">
            <w:pPr>
              <w:spacing w:after="0" w:line="240" w:lineRule="auto"/>
              <w:jc w:val="center"/>
              <w:rPr>
                <w:rFonts w:ascii="Book Antiqua" w:eastAsia="Times New Roman" w:hAnsi="Book Antiqua" w:cs="Calibri"/>
                <w:b/>
                <w:bCs/>
                <w:color w:val="000000"/>
                <w:sz w:val="18"/>
                <w:szCs w:val="18"/>
                <w:lang w:val="en-US"/>
              </w:rPr>
            </w:pPr>
          </w:p>
          <w:p w14:paraId="060DEE7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12.875</w:t>
            </w:r>
          </w:p>
        </w:tc>
        <w:tc>
          <w:tcPr>
            <w:tcW w:w="990" w:type="dxa"/>
            <w:tcBorders>
              <w:top w:val="nil"/>
              <w:left w:val="nil"/>
              <w:bottom w:val="single" w:sz="4" w:space="0" w:color="auto"/>
              <w:right w:val="nil"/>
            </w:tcBorders>
            <w:noWrap/>
            <w:vAlign w:val="bottom"/>
          </w:tcPr>
          <w:p w14:paraId="5F81DBA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47.00%</w:t>
            </w:r>
          </w:p>
        </w:tc>
        <w:tc>
          <w:tcPr>
            <w:tcW w:w="900" w:type="dxa"/>
            <w:tcBorders>
              <w:top w:val="nil"/>
              <w:left w:val="nil"/>
              <w:bottom w:val="single" w:sz="4" w:space="0" w:color="auto"/>
              <w:right w:val="nil"/>
            </w:tcBorders>
            <w:noWrap/>
            <w:vAlign w:val="bottom"/>
          </w:tcPr>
          <w:p w14:paraId="13D3F3F4"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8.41</w:t>
            </w:r>
          </w:p>
        </w:tc>
        <w:tc>
          <w:tcPr>
            <w:tcW w:w="955" w:type="dxa"/>
            <w:tcBorders>
              <w:top w:val="nil"/>
              <w:left w:val="nil"/>
              <w:bottom w:val="single" w:sz="4" w:space="0" w:color="auto"/>
              <w:right w:val="nil"/>
            </w:tcBorders>
            <w:noWrap/>
            <w:vAlign w:val="bottom"/>
          </w:tcPr>
          <w:p w14:paraId="4542952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65.23%</w:t>
            </w:r>
          </w:p>
        </w:tc>
        <w:tc>
          <w:tcPr>
            <w:tcW w:w="1170" w:type="dxa"/>
            <w:tcBorders>
              <w:top w:val="nil"/>
              <w:left w:val="nil"/>
              <w:bottom w:val="single" w:sz="4" w:space="0" w:color="auto"/>
              <w:right w:val="nil"/>
            </w:tcBorders>
            <w:noWrap/>
            <w:vAlign w:val="bottom"/>
          </w:tcPr>
          <w:p w14:paraId="2660FE3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0</w:t>
            </w:r>
          </w:p>
        </w:tc>
        <w:tc>
          <w:tcPr>
            <w:tcW w:w="955" w:type="dxa"/>
            <w:tcBorders>
              <w:top w:val="nil"/>
              <w:left w:val="nil"/>
              <w:bottom w:val="single" w:sz="4" w:space="0" w:color="auto"/>
              <w:right w:val="nil"/>
            </w:tcBorders>
            <w:noWrap/>
            <w:vAlign w:val="bottom"/>
          </w:tcPr>
          <w:p w14:paraId="72065AC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100.00%</w:t>
            </w:r>
          </w:p>
        </w:tc>
        <w:tc>
          <w:tcPr>
            <w:tcW w:w="1079" w:type="dxa"/>
            <w:tcBorders>
              <w:top w:val="nil"/>
              <w:left w:val="nil"/>
              <w:bottom w:val="single" w:sz="4" w:space="0" w:color="auto"/>
              <w:right w:val="nil"/>
            </w:tcBorders>
            <w:noWrap/>
            <w:vAlign w:val="bottom"/>
          </w:tcPr>
          <w:p w14:paraId="78D55E5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13.875</w:t>
            </w:r>
          </w:p>
        </w:tc>
        <w:tc>
          <w:tcPr>
            <w:tcW w:w="990" w:type="dxa"/>
            <w:tcBorders>
              <w:top w:val="nil"/>
              <w:left w:val="nil"/>
              <w:bottom w:val="single" w:sz="4" w:space="0" w:color="auto"/>
              <w:right w:val="nil"/>
            </w:tcBorders>
            <w:noWrap/>
            <w:vAlign w:val="bottom"/>
          </w:tcPr>
          <w:p w14:paraId="2C91AFC9"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42.63%</w:t>
            </w:r>
          </w:p>
        </w:tc>
        <w:tc>
          <w:tcPr>
            <w:tcW w:w="900" w:type="dxa"/>
            <w:tcBorders>
              <w:top w:val="nil"/>
              <w:left w:val="nil"/>
              <w:bottom w:val="single" w:sz="4" w:space="0" w:color="auto"/>
              <w:right w:val="nil"/>
            </w:tcBorders>
            <w:noWrap/>
            <w:vAlign w:val="bottom"/>
          </w:tcPr>
          <w:p w14:paraId="6C118D0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24.29</w:t>
            </w:r>
          </w:p>
        </w:tc>
      </w:tr>
    </w:tbl>
    <w:p w14:paraId="2D676703" w14:textId="77777777" w:rsidR="003801E8" w:rsidRDefault="00E44AAE">
      <w:pPr>
        <w:tabs>
          <w:tab w:val="left" w:pos="3315"/>
        </w:tabs>
        <w:spacing w:line="360" w:lineRule="auto"/>
        <w:jc w:val="both"/>
        <w:rPr>
          <w:rFonts w:ascii="Book Antiqua" w:hAnsi="Book Antiqua" w:cs="Times New Roman"/>
          <w:b/>
          <w:bCs/>
          <w:sz w:val="16"/>
          <w:szCs w:val="16"/>
          <w:lang w:val="sr-Latn-RS"/>
        </w:rPr>
      </w:pPr>
      <w:r>
        <w:rPr>
          <w:rFonts w:ascii="Book Antiqua" w:hAnsi="Book Antiqua" w:cs="Times New Roman"/>
          <w:b/>
          <w:bCs/>
          <w:sz w:val="16"/>
          <w:szCs w:val="16"/>
          <w:lang w:val="sr-Latn-RS"/>
        </w:rPr>
        <w:t>TA – T. atroviride SC1; TC- T. citrinoviride T-CG: Cu – bakar; K – Kontrola</w:t>
      </w:r>
    </w:p>
    <w:p w14:paraId="72E799F4" w14:textId="77777777" w:rsidR="003801E8" w:rsidRDefault="003801E8">
      <w:pPr>
        <w:tabs>
          <w:tab w:val="left" w:pos="3315"/>
        </w:tabs>
        <w:spacing w:line="360" w:lineRule="auto"/>
        <w:jc w:val="both"/>
        <w:rPr>
          <w:rFonts w:ascii="Book Antiqua" w:hAnsi="Book Antiqua" w:cs="Times New Roman"/>
          <w:b/>
          <w:bCs/>
          <w:sz w:val="16"/>
          <w:szCs w:val="16"/>
          <w:lang w:val="sr-Latn-RS"/>
        </w:rPr>
      </w:pPr>
    </w:p>
    <w:p w14:paraId="3A0A2ADD" w14:textId="77777777" w:rsidR="003801E8" w:rsidRDefault="00E44AAE">
      <w:pPr>
        <w:tabs>
          <w:tab w:val="left" w:pos="3315"/>
        </w:tabs>
        <w:spacing w:line="360" w:lineRule="auto"/>
        <w:jc w:val="both"/>
        <w:rPr>
          <w:rFonts w:ascii="Book Antiqua" w:hAnsi="Book Antiqua" w:cs="Times New Roman"/>
          <w:sz w:val="22"/>
          <w:szCs w:val="22"/>
          <w:lang w:val="sr-Latn-RS"/>
        </w:rPr>
      </w:pPr>
      <w:r>
        <w:rPr>
          <w:rFonts w:ascii="Book Antiqua" w:hAnsi="Book Antiqua" w:cs="Times New Roman"/>
          <w:b/>
          <w:bCs/>
          <w:sz w:val="22"/>
          <w:szCs w:val="22"/>
          <w:lang w:val="sr-Latn-RS"/>
        </w:rPr>
        <w:t xml:space="preserve">Tabela 23. </w:t>
      </w:r>
      <w:r>
        <w:rPr>
          <w:rFonts w:ascii="Book Antiqua" w:hAnsi="Book Antiqua" w:cs="Times New Roman"/>
          <w:sz w:val="22"/>
          <w:szCs w:val="22"/>
          <w:lang w:val="sr-Latn-RS"/>
        </w:rPr>
        <w:t xml:space="preserve">Rezultati indirektnog </w:t>
      </w:r>
      <w:r>
        <w:rPr>
          <w:rFonts w:ascii="Book Antiqua" w:hAnsi="Book Antiqua" w:cs="Times New Roman"/>
          <w:i/>
          <w:iCs/>
          <w:sz w:val="22"/>
          <w:szCs w:val="22"/>
          <w:lang w:val="sr-Latn-RS"/>
        </w:rPr>
        <w:t>in vitro</w:t>
      </w:r>
      <w:r>
        <w:rPr>
          <w:rFonts w:ascii="Book Antiqua" w:hAnsi="Book Antiqua" w:cs="Times New Roman"/>
          <w:sz w:val="22"/>
          <w:szCs w:val="22"/>
          <w:lang w:val="sr-Latn-RS"/>
        </w:rPr>
        <w:t xml:space="preserve"> testa prema izolatu </w:t>
      </w:r>
      <w:r>
        <w:rPr>
          <w:rFonts w:ascii="Book Antiqua" w:hAnsi="Book Antiqua" w:cs="Times New Roman"/>
          <w:i/>
          <w:iCs/>
          <w:sz w:val="22"/>
          <w:szCs w:val="22"/>
          <w:lang w:val="sr-Latn-RS"/>
        </w:rPr>
        <w:t>P. chlamydospora</w:t>
      </w:r>
      <w:r>
        <w:rPr>
          <w:rFonts w:ascii="Book Antiqua" w:hAnsi="Book Antiqua" w:cs="Times New Roman"/>
          <w:sz w:val="22"/>
          <w:szCs w:val="22"/>
          <w:lang w:val="sr-Latn-RS"/>
        </w:rPr>
        <w:t xml:space="preserve"> MN011</w:t>
      </w:r>
    </w:p>
    <w:tbl>
      <w:tblPr>
        <w:tblW w:w="9540" w:type="dxa"/>
        <w:tblLook w:val="04A0" w:firstRow="1" w:lastRow="0" w:firstColumn="1" w:lastColumn="0" w:noHBand="0" w:noVBand="1"/>
      </w:tblPr>
      <w:tblGrid>
        <w:gridCol w:w="900"/>
        <w:gridCol w:w="891"/>
        <w:gridCol w:w="1026"/>
        <w:gridCol w:w="854"/>
        <w:gridCol w:w="1170"/>
        <w:gridCol w:w="900"/>
        <w:gridCol w:w="1026"/>
        <w:gridCol w:w="1080"/>
        <w:gridCol w:w="1026"/>
        <w:gridCol w:w="845"/>
      </w:tblGrid>
      <w:tr w:rsidR="003801E8" w14:paraId="7DF78DD6" w14:textId="77777777">
        <w:trPr>
          <w:trHeight w:val="288"/>
        </w:trPr>
        <w:tc>
          <w:tcPr>
            <w:tcW w:w="900" w:type="dxa"/>
            <w:tcBorders>
              <w:top w:val="single" w:sz="4" w:space="0" w:color="auto"/>
              <w:left w:val="nil"/>
              <w:bottom w:val="single" w:sz="4" w:space="0" w:color="auto"/>
              <w:right w:val="nil"/>
            </w:tcBorders>
            <w:noWrap/>
            <w:vAlign w:val="bottom"/>
          </w:tcPr>
          <w:p w14:paraId="331B38A0" w14:textId="77777777" w:rsidR="003801E8" w:rsidRDefault="00E44AAE">
            <w:pPr>
              <w:spacing w:after="0" w:line="240" w:lineRule="auto"/>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 xml:space="preserve">Oznaka </w:t>
            </w:r>
          </w:p>
        </w:tc>
        <w:tc>
          <w:tcPr>
            <w:tcW w:w="891" w:type="dxa"/>
            <w:tcBorders>
              <w:top w:val="single" w:sz="4" w:space="0" w:color="auto"/>
              <w:left w:val="nil"/>
              <w:bottom w:val="single" w:sz="4" w:space="0" w:color="auto"/>
              <w:right w:val="nil"/>
            </w:tcBorders>
            <w:noWrap/>
            <w:vAlign w:val="bottom"/>
          </w:tcPr>
          <w:p w14:paraId="365831E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TA (mm)</w:t>
            </w:r>
          </w:p>
        </w:tc>
        <w:tc>
          <w:tcPr>
            <w:tcW w:w="955" w:type="dxa"/>
            <w:tcBorders>
              <w:top w:val="single" w:sz="4" w:space="0" w:color="auto"/>
              <w:left w:val="nil"/>
              <w:bottom w:val="single" w:sz="4" w:space="0" w:color="auto"/>
              <w:right w:val="nil"/>
            </w:tcBorders>
            <w:noWrap/>
            <w:vAlign w:val="bottom"/>
          </w:tcPr>
          <w:p w14:paraId="707E8A2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Inhibicija (%)</w:t>
            </w:r>
          </w:p>
        </w:tc>
        <w:tc>
          <w:tcPr>
            <w:tcW w:w="854" w:type="dxa"/>
            <w:tcBorders>
              <w:top w:val="single" w:sz="4" w:space="0" w:color="auto"/>
              <w:left w:val="nil"/>
              <w:bottom w:val="single" w:sz="4" w:space="0" w:color="auto"/>
              <w:right w:val="nil"/>
            </w:tcBorders>
            <w:noWrap/>
            <w:vAlign w:val="bottom"/>
          </w:tcPr>
          <w:p w14:paraId="41881A2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TC (mm)</w:t>
            </w:r>
          </w:p>
        </w:tc>
        <w:tc>
          <w:tcPr>
            <w:tcW w:w="1170" w:type="dxa"/>
            <w:tcBorders>
              <w:top w:val="single" w:sz="4" w:space="0" w:color="auto"/>
              <w:left w:val="nil"/>
              <w:bottom w:val="single" w:sz="4" w:space="0" w:color="auto"/>
              <w:right w:val="nil"/>
            </w:tcBorders>
            <w:noWrap/>
            <w:vAlign w:val="bottom"/>
          </w:tcPr>
          <w:p w14:paraId="1D60CF7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Inhibicija (%)</w:t>
            </w:r>
          </w:p>
        </w:tc>
        <w:tc>
          <w:tcPr>
            <w:tcW w:w="900" w:type="dxa"/>
            <w:tcBorders>
              <w:top w:val="single" w:sz="4" w:space="0" w:color="auto"/>
              <w:left w:val="nil"/>
              <w:bottom w:val="single" w:sz="4" w:space="0" w:color="auto"/>
              <w:right w:val="nil"/>
            </w:tcBorders>
            <w:noWrap/>
            <w:vAlign w:val="bottom"/>
          </w:tcPr>
          <w:p w14:paraId="26030A81"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Cu 0.5% (mm)</w:t>
            </w:r>
          </w:p>
        </w:tc>
        <w:tc>
          <w:tcPr>
            <w:tcW w:w="990" w:type="dxa"/>
            <w:tcBorders>
              <w:top w:val="single" w:sz="4" w:space="0" w:color="auto"/>
              <w:left w:val="nil"/>
              <w:bottom w:val="single" w:sz="4" w:space="0" w:color="auto"/>
              <w:right w:val="nil"/>
            </w:tcBorders>
            <w:noWrap/>
            <w:vAlign w:val="bottom"/>
          </w:tcPr>
          <w:p w14:paraId="5DB6B24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Inhibicija (%)</w:t>
            </w:r>
          </w:p>
        </w:tc>
        <w:tc>
          <w:tcPr>
            <w:tcW w:w="1080" w:type="dxa"/>
            <w:tcBorders>
              <w:top w:val="single" w:sz="4" w:space="0" w:color="auto"/>
              <w:left w:val="nil"/>
              <w:bottom w:val="single" w:sz="4" w:space="0" w:color="auto"/>
              <w:right w:val="nil"/>
            </w:tcBorders>
            <w:noWrap/>
            <w:vAlign w:val="bottom"/>
          </w:tcPr>
          <w:p w14:paraId="44E24F9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Cu 0.05% (mm)</w:t>
            </w:r>
          </w:p>
        </w:tc>
        <w:tc>
          <w:tcPr>
            <w:tcW w:w="955" w:type="dxa"/>
            <w:tcBorders>
              <w:top w:val="single" w:sz="4" w:space="0" w:color="auto"/>
              <w:left w:val="nil"/>
              <w:bottom w:val="single" w:sz="4" w:space="0" w:color="auto"/>
              <w:right w:val="nil"/>
            </w:tcBorders>
            <w:noWrap/>
            <w:vAlign w:val="bottom"/>
          </w:tcPr>
          <w:p w14:paraId="39135E9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Inhibicija (%)</w:t>
            </w:r>
          </w:p>
        </w:tc>
        <w:tc>
          <w:tcPr>
            <w:tcW w:w="845" w:type="dxa"/>
            <w:tcBorders>
              <w:top w:val="single" w:sz="4" w:space="0" w:color="auto"/>
              <w:left w:val="nil"/>
              <w:bottom w:val="single" w:sz="4" w:space="0" w:color="auto"/>
              <w:right w:val="nil"/>
            </w:tcBorders>
            <w:noWrap/>
            <w:vAlign w:val="bottom"/>
          </w:tcPr>
          <w:p w14:paraId="3720BCC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 (mm)</w:t>
            </w:r>
          </w:p>
        </w:tc>
      </w:tr>
      <w:tr w:rsidR="003801E8" w14:paraId="75FD3E2A" w14:textId="77777777">
        <w:trPr>
          <w:trHeight w:val="288"/>
        </w:trPr>
        <w:tc>
          <w:tcPr>
            <w:tcW w:w="900" w:type="dxa"/>
            <w:tcBorders>
              <w:top w:val="single" w:sz="4" w:space="0" w:color="auto"/>
              <w:left w:val="nil"/>
              <w:bottom w:val="nil"/>
              <w:right w:val="nil"/>
            </w:tcBorders>
            <w:noWrap/>
            <w:vAlign w:val="bottom"/>
          </w:tcPr>
          <w:p w14:paraId="1D093FA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P1</w:t>
            </w:r>
          </w:p>
        </w:tc>
        <w:tc>
          <w:tcPr>
            <w:tcW w:w="891" w:type="dxa"/>
            <w:tcBorders>
              <w:top w:val="single" w:sz="4" w:space="0" w:color="auto"/>
              <w:left w:val="nil"/>
              <w:bottom w:val="nil"/>
              <w:right w:val="nil"/>
            </w:tcBorders>
            <w:noWrap/>
            <w:vAlign w:val="bottom"/>
          </w:tcPr>
          <w:p w14:paraId="06DAEB1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955" w:type="dxa"/>
            <w:tcBorders>
              <w:top w:val="single" w:sz="4" w:space="0" w:color="auto"/>
              <w:left w:val="nil"/>
              <w:bottom w:val="nil"/>
              <w:right w:val="nil"/>
            </w:tcBorders>
            <w:noWrap/>
            <w:vAlign w:val="bottom"/>
          </w:tcPr>
          <w:p w14:paraId="177A996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50.00%</w:t>
            </w:r>
          </w:p>
        </w:tc>
        <w:tc>
          <w:tcPr>
            <w:tcW w:w="854" w:type="dxa"/>
            <w:tcBorders>
              <w:top w:val="single" w:sz="4" w:space="0" w:color="auto"/>
              <w:left w:val="nil"/>
              <w:bottom w:val="nil"/>
              <w:right w:val="nil"/>
            </w:tcBorders>
            <w:noWrap/>
            <w:vAlign w:val="bottom"/>
          </w:tcPr>
          <w:p w14:paraId="555B73B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w:t>
            </w:r>
          </w:p>
        </w:tc>
        <w:tc>
          <w:tcPr>
            <w:tcW w:w="1170" w:type="dxa"/>
            <w:tcBorders>
              <w:top w:val="single" w:sz="4" w:space="0" w:color="auto"/>
              <w:left w:val="nil"/>
              <w:bottom w:val="nil"/>
              <w:right w:val="nil"/>
            </w:tcBorders>
            <w:noWrap/>
            <w:vAlign w:val="bottom"/>
          </w:tcPr>
          <w:p w14:paraId="3072D38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41.67%</w:t>
            </w:r>
          </w:p>
        </w:tc>
        <w:tc>
          <w:tcPr>
            <w:tcW w:w="900" w:type="dxa"/>
            <w:tcBorders>
              <w:top w:val="single" w:sz="4" w:space="0" w:color="auto"/>
              <w:left w:val="nil"/>
              <w:bottom w:val="nil"/>
              <w:right w:val="nil"/>
            </w:tcBorders>
            <w:noWrap/>
            <w:vAlign w:val="bottom"/>
          </w:tcPr>
          <w:p w14:paraId="402A982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90" w:type="dxa"/>
            <w:tcBorders>
              <w:top w:val="single" w:sz="4" w:space="0" w:color="auto"/>
              <w:left w:val="nil"/>
              <w:bottom w:val="nil"/>
              <w:right w:val="nil"/>
            </w:tcBorders>
            <w:noWrap/>
            <w:vAlign w:val="bottom"/>
          </w:tcPr>
          <w:p w14:paraId="3D1CA28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80" w:type="dxa"/>
            <w:tcBorders>
              <w:top w:val="single" w:sz="4" w:space="0" w:color="auto"/>
              <w:left w:val="nil"/>
              <w:bottom w:val="nil"/>
              <w:right w:val="nil"/>
            </w:tcBorders>
            <w:noWrap/>
            <w:vAlign w:val="bottom"/>
          </w:tcPr>
          <w:p w14:paraId="0E9501D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11</w:t>
            </w:r>
          </w:p>
        </w:tc>
        <w:tc>
          <w:tcPr>
            <w:tcW w:w="955" w:type="dxa"/>
            <w:tcBorders>
              <w:top w:val="single" w:sz="4" w:space="0" w:color="auto"/>
              <w:left w:val="nil"/>
              <w:bottom w:val="nil"/>
              <w:right w:val="nil"/>
            </w:tcBorders>
            <w:noWrap/>
            <w:vAlign w:val="bottom"/>
          </w:tcPr>
          <w:p w14:paraId="05758B2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8.33%</w:t>
            </w:r>
          </w:p>
        </w:tc>
        <w:tc>
          <w:tcPr>
            <w:tcW w:w="845" w:type="dxa"/>
            <w:tcBorders>
              <w:top w:val="single" w:sz="4" w:space="0" w:color="auto"/>
              <w:left w:val="nil"/>
              <w:bottom w:val="nil"/>
              <w:right w:val="nil"/>
            </w:tcBorders>
            <w:noWrap/>
            <w:vAlign w:val="bottom"/>
          </w:tcPr>
          <w:p w14:paraId="0968010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12</w:t>
            </w:r>
          </w:p>
        </w:tc>
      </w:tr>
      <w:tr w:rsidR="003801E8" w14:paraId="2EEE7C52" w14:textId="77777777">
        <w:trPr>
          <w:trHeight w:val="288"/>
        </w:trPr>
        <w:tc>
          <w:tcPr>
            <w:tcW w:w="900" w:type="dxa"/>
            <w:tcBorders>
              <w:top w:val="nil"/>
              <w:left w:val="nil"/>
              <w:bottom w:val="nil"/>
              <w:right w:val="nil"/>
            </w:tcBorders>
            <w:noWrap/>
            <w:vAlign w:val="bottom"/>
          </w:tcPr>
          <w:p w14:paraId="0F46C76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P1</w:t>
            </w:r>
          </w:p>
        </w:tc>
        <w:tc>
          <w:tcPr>
            <w:tcW w:w="891" w:type="dxa"/>
            <w:tcBorders>
              <w:top w:val="nil"/>
              <w:left w:val="nil"/>
              <w:bottom w:val="nil"/>
              <w:right w:val="nil"/>
            </w:tcBorders>
            <w:noWrap/>
            <w:vAlign w:val="bottom"/>
          </w:tcPr>
          <w:p w14:paraId="295D3EF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955" w:type="dxa"/>
            <w:tcBorders>
              <w:top w:val="nil"/>
              <w:left w:val="nil"/>
              <w:bottom w:val="nil"/>
              <w:right w:val="nil"/>
            </w:tcBorders>
            <w:noWrap/>
            <w:vAlign w:val="bottom"/>
          </w:tcPr>
          <w:p w14:paraId="7944930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53.85%</w:t>
            </w:r>
          </w:p>
        </w:tc>
        <w:tc>
          <w:tcPr>
            <w:tcW w:w="854" w:type="dxa"/>
            <w:tcBorders>
              <w:top w:val="nil"/>
              <w:left w:val="nil"/>
              <w:bottom w:val="nil"/>
              <w:right w:val="nil"/>
            </w:tcBorders>
            <w:noWrap/>
            <w:vAlign w:val="bottom"/>
          </w:tcPr>
          <w:p w14:paraId="56C9F1A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1170" w:type="dxa"/>
            <w:tcBorders>
              <w:top w:val="nil"/>
              <w:left w:val="nil"/>
              <w:bottom w:val="nil"/>
              <w:right w:val="nil"/>
            </w:tcBorders>
            <w:noWrap/>
            <w:vAlign w:val="bottom"/>
          </w:tcPr>
          <w:p w14:paraId="1C475ED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53.85%</w:t>
            </w:r>
          </w:p>
        </w:tc>
        <w:tc>
          <w:tcPr>
            <w:tcW w:w="900" w:type="dxa"/>
            <w:tcBorders>
              <w:top w:val="nil"/>
              <w:left w:val="nil"/>
              <w:bottom w:val="nil"/>
              <w:right w:val="nil"/>
            </w:tcBorders>
            <w:noWrap/>
            <w:vAlign w:val="bottom"/>
          </w:tcPr>
          <w:p w14:paraId="790F390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90" w:type="dxa"/>
            <w:tcBorders>
              <w:top w:val="nil"/>
              <w:left w:val="nil"/>
              <w:bottom w:val="nil"/>
              <w:right w:val="nil"/>
            </w:tcBorders>
            <w:noWrap/>
            <w:vAlign w:val="bottom"/>
          </w:tcPr>
          <w:p w14:paraId="580B74D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80" w:type="dxa"/>
            <w:tcBorders>
              <w:top w:val="nil"/>
              <w:left w:val="nil"/>
              <w:bottom w:val="nil"/>
              <w:right w:val="nil"/>
            </w:tcBorders>
            <w:noWrap/>
            <w:vAlign w:val="bottom"/>
          </w:tcPr>
          <w:p w14:paraId="4A8F52D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13</w:t>
            </w:r>
          </w:p>
        </w:tc>
        <w:tc>
          <w:tcPr>
            <w:tcW w:w="955" w:type="dxa"/>
            <w:tcBorders>
              <w:top w:val="nil"/>
              <w:left w:val="nil"/>
              <w:bottom w:val="nil"/>
              <w:right w:val="nil"/>
            </w:tcBorders>
            <w:noWrap/>
            <w:vAlign w:val="bottom"/>
          </w:tcPr>
          <w:p w14:paraId="77692AE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0.00%</w:t>
            </w:r>
          </w:p>
        </w:tc>
        <w:tc>
          <w:tcPr>
            <w:tcW w:w="845" w:type="dxa"/>
            <w:tcBorders>
              <w:top w:val="nil"/>
              <w:left w:val="nil"/>
              <w:bottom w:val="nil"/>
              <w:right w:val="nil"/>
            </w:tcBorders>
            <w:noWrap/>
            <w:vAlign w:val="bottom"/>
          </w:tcPr>
          <w:p w14:paraId="189F363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13</w:t>
            </w:r>
          </w:p>
        </w:tc>
      </w:tr>
      <w:tr w:rsidR="003801E8" w14:paraId="70A7609E" w14:textId="77777777">
        <w:trPr>
          <w:trHeight w:val="288"/>
        </w:trPr>
        <w:tc>
          <w:tcPr>
            <w:tcW w:w="900" w:type="dxa"/>
            <w:tcBorders>
              <w:top w:val="nil"/>
              <w:left w:val="nil"/>
              <w:bottom w:val="nil"/>
              <w:right w:val="nil"/>
            </w:tcBorders>
            <w:noWrap/>
            <w:vAlign w:val="bottom"/>
          </w:tcPr>
          <w:p w14:paraId="0E24281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P1</w:t>
            </w:r>
          </w:p>
        </w:tc>
        <w:tc>
          <w:tcPr>
            <w:tcW w:w="891" w:type="dxa"/>
            <w:tcBorders>
              <w:top w:val="nil"/>
              <w:left w:val="nil"/>
              <w:bottom w:val="nil"/>
              <w:right w:val="nil"/>
            </w:tcBorders>
            <w:noWrap/>
            <w:vAlign w:val="bottom"/>
          </w:tcPr>
          <w:p w14:paraId="1C21B23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955" w:type="dxa"/>
            <w:tcBorders>
              <w:top w:val="nil"/>
              <w:left w:val="nil"/>
              <w:bottom w:val="nil"/>
              <w:right w:val="nil"/>
            </w:tcBorders>
            <w:noWrap/>
            <w:vAlign w:val="bottom"/>
          </w:tcPr>
          <w:p w14:paraId="53BF085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64.71%</w:t>
            </w:r>
          </w:p>
        </w:tc>
        <w:tc>
          <w:tcPr>
            <w:tcW w:w="854" w:type="dxa"/>
            <w:tcBorders>
              <w:top w:val="nil"/>
              <w:left w:val="nil"/>
              <w:bottom w:val="nil"/>
              <w:right w:val="nil"/>
            </w:tcBorders>
            <w:noWrap/>
            <w:vAlign w:val="bottom"/>
          </w:tcPr>
          <w:p w14:paraId="62AF4D4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1170" w:type="dxa"/>
            <w:tcBorders>
              <w:top w:val="nil"/>
              <w:left w:val="nil"/>
              <w:bottom w:val="nil"/>
              <w:right w:val="nil"/>
            </w:tcBorders>
            <w:noWrap/>
            <w:vAlign w:val="bottom"/>
          </w:tcPr>
          <w:p w14:paraId="7A33FFD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64.71%</w:t>
            </w:r>
          </w:p>
        </w:tc>
        <w:tc>
          <w:tcPr>
            <w:tcW w:w="900" w:type="dxa"/>
            <w:tcBorders>
              <w:top w:val="nil"/>
              <w:left w:val="nil"/>
              <w:bottom w:val="nil"/>
              <w:right w:val="nil"/>
            </w:tcBorders>
            <w:noWrap/>
            <w:vAlign w:val="bottom"/>
          </w:tcPr>
          <w:p w14:paraId="37EBE38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90" w:type="dxa"/>
            <w:tcBorders>
              <w:top w:val="nil"/>
              <w:left w:val="nil"/>
              <w:bottom w:val="nil"/>
              <w:right w:val="nil"/>
            </w:tcBorders>
            <w:noWrap/>
            <w:vAlign w:val="bottom"/>
          </w:tcPr>
          <w:p w14:paraId="6F83AF7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80" w:type="dxa"/>
            <w:tcBorders>
              <w:top w:val="nil"/>
              <w:left w:val="nil"/>
              <w:bottom w:val="nil"/>
              <w:right w:val="nil"/>
            </w:tcBorders>
            <w:noWrap/>
            <w:vAlign w:val="bottom"/>
          </w:tcPr>
          <w:p w14:paraId="29EE6B4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15</w:t>
            </w:r>
          </w:p>
        </w:tc>
        <w:tc>
          <w:tcPr>
            <w:tcW w:w="955" w:type="dxa"/>
            <w:tcBorders>
              <w:top w:val="nil"/>
              <w:left w:val="nil"/>
              <w:bottom w:val="nil"/>
              <w:right w:val="nil"/>
            </w:tcBorders>
            <w:noWrap/>
            <w:vAlign w:val="bottom"/>
          </w:tcPr>
          <w:p w14:paraId="3A9550F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11.76%</w:t>
            </w:r>
          </w:p>
        </w:tc>
        <w:tc>
          <w:tcPr>
            <w:tcW w:w="845" w:type="dxa"/>
            <w:tcBorders>
              <w:top w:val="nil"/>
              <w:left w:val="nil"/>
              <w:bottom w:val="nil"/>
              <w:right w:val="nil"/>
            </w:tcBorders>
            <w:noWrap/>
            <w:vAlign w:val="bottom"/>
          </w:tcPr>
          <w:p w14:paraId="0D50D27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17</w:t>
            </w:r>
          </w:p>
        </w:tc>
      </w:tr>
      <w:tr w:rsidR="003801E8" w14:paraId="66422584" w14:textId="77777777">
        <w:trPr>
          <w:trHeight w:val="288"/>
        </w:trPr>
        <w:tc>
          <w:tcPr>
            <w:tcW w:w="900" w:type="dxa"/>
            <w:tcBorders>
              <w:top w:val="nil"/>
              <w:left w:val="nil"/>
              <w:bottom w:val="nil"/>
              <w:right w:val="nil"/>
            </w:tcBorders>
            <w:noWrap/>
            <w:vAlign w:val="bottom"/>
          </w:tcPr>
          <w:p w14:paraId="6032867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P1</w:t>
            </w:r>
          </w:p>
        </w:tc>
        <w:tc>
          <w:tcPr>
            <w:tcW w:w="891" w:type="dxa"/>
            <w:tcBorders>
              <w:top w:val="nil"/>
              <w:left w:val="nil"/>
              <w:bottom w:val="nil"/>
              <w:right w:val="nil"/>
            </w:tcBorders>
            <w:noWrap/>
            <w:vAlign w:val="bottom"/>
          </w:tcPr>
          <w:p w14:paraId="0D5E0AE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w:t>
            </w:r>
          </w:p>
        </w:tc>
        <w:tc>
          <w:tcPr>
            <w:tcW w:w="955" w:type="dxa"/>
            <w:tcBorders>
              <w:top w:val="nil"/>
              <w:left w:val="nil"/>
              <w:bottom w:val="nil"/>
              <w:right w:val="nil"/>
            </w:tcBorders>
            <w:noWrap/>
            <w:vAlign w:val="bottom"/>
          </w:tcPr>
          <w:p w14:paraId="6BD5212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44.00%</w:t>
            </w:r>
          </w:p>
        </w:tc>
        <w:tc>
          <w:tcPr>
            <w:tcW w:w="854" w:type="dxa"/>
            <w:tcBorders>
              <w:top w:val="nil"/>
              <w:left w:val="nil"/>
              <w:bottom w:val="nil"/>
              <w:right w:val="nil"/>
            </w:tcBorders>
            <w:noWrap/>
            <w:vAlign w:val="bottom"/>
          </w:tcPr>
          <w:p w14:paraId="6A668C5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1170" w:type="dxa"/>
            <w:tcBorders>
              <w:top w:val="nil"/>
              <w:left w:val="nil"/>
              <w:bottom w:val="nil"/>
              <w:right w:val="nil"/>
            </w:tcBorders>
            <w:noWrap/>
            <w:vAlign w:val="bottom"/>
          </w:tcPr>
          <w:p w14:paraId="7B22F37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52.00%</w:t>
            </w:r>
          </w:p>
        </w:tc>
        <w:tc>
          <w:tcPr>
            <w:tcW w:w="900" w:type="dxa"/>
            <w:tcBorders>
              <w:top w:val="nil"/>
              <w:left w:val="nil"/>
              <w:bottom w:val="nil"/>
              <w:right w:val="nil"/>
            </w:tcBorders>
            <w:noWrap/>
            <w:vAlign w:val="bottom"/>
          </w:tcPr>
          <w:p w14:paraId="06E2305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90" w:type="dxa"/>
            <w:tcBorders>
              <w:top w:val="nil"/>
              <w:left w:val="nil"/>
              <w:bottom w:val="nil"/>
              <w:right w:val="nil"/>
            </w:tcBorders>
            <w:noWrap/>
            <w:vAlign w:val="bottom"/>
          </w:tcPr>
          <w:p w14:paraId="2E65178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80" w:type="dxa"/>
            <w:tcBorders>
              <w:top w:val="nil"/>
              <w:left w:val="nil"/>
              <w:bottom w:val="nil"/>
              <w:right w:val="nil"/>
            </w:tcBorders>
            <w:noWrap/>
            <w:vAlign w:val="bottom"/>
          </w:tcPr>
          <w:p w14:paraId="7743758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11.5</w:t>
            </w:r>
          </w:p>
        </w:tc>
        <w:tc>
          <w:tcPr>
            <w:tcW w:w="955" w:type="dxa"/>
            <w:tcBorders>
              <w:top w:val="nil"/>
              <w:left w:val="nil"/>
              <w:bottom w:val="nil"/>
              <w:right w:val="nil"/>
            </w:tcBorders>
            <w:noWrap/>
            <w:vAlign w:val="bottom"/>
          </w:tcPr>
          <w:p w14:paraId="720152D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8.00%</w:t>
            </w:r>
          </w:p>
        </w:tc>
        <w:tc>
          <w:tcPr>
            <w:tcW w:w="845" w:type="dxa"/>
            <w:tcBorders>
              <w:top w:val="nil"/>
              <w:left w:val="nil"/>
              <w:bottom w:val="nil"/>
              <w:right w:val="nil"/>
            </w:tcBorders>
            <w:noWrap/>
            <w:vAlign w:val="bottom"/>
          </w:tcPr>
          <w:p w14:paraId="37D44AB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12.5</w:t>
            </w:r>
          </w:p>
        </w:tc>
      </w:tr>
      <w:tr w:rsidR="003801E8" w14:paraId="503DF75B" w14:textId="77777777">
        <w:trPr>
          <w:trHeight w:val="288"/>
        </w:trPr>
        <w:tc>
          <w:tcPr>
            <w:tcW w:w="900" w:type="dxa"/>
            <w:tcBorders>
              <w:top w:val="nil"/>
              <w:left w:val="nil"/>
              <w:bottom w:val="nil"/>
              <w:right w:val="nil"/>
            </w:tcBorders>
            <w:noWrap/>
            <w:vAlign w:val="bottom"/>
          </w:tcPr>
          <w:p w14:paraId="12A6222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P2</w:t>
            </w:r>
          </w:p>
        </w:tc>
        <w:tc>
          <w:tcPr>
            <w:tcW w:w="891" w:type="dxa"/>
            <w:tcBorders>
              <w:top w:val="nil"/>
              <w:left w:val="nil"/>
              <w:bottom w:val="nil"/>
              <w:right w:val="nil"/>
            </w:tcBorders>
            <w:noWrap/>
            <w:vAlign w:val="bottom"/>
          </w:tcPr>
          <w:p w14:paraId="0A790CE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w:t>
            </w:r>
          </w:p>
        </w:tc>
        <w:tc>
          <w:tcPr>
            <w:tcW w:w="955" w:type="dxa"/>
            <w:tcBorders>
              <w:top w:val="nil"/>
              <w:left w:val="nil"/>
              <w:bottom w:val="nil"/>
              <w:right w:val="nil"/>
            </w:tcBorders>
            <w:noWrap/>
            <w:vAlign w:val="bottom"/>
          </w:tcPr>
          <w:p w14:paraId="60F0F8D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50.00%</w:t>
            </w:r>
          </w:p>
        </w:tc>
        <w:tc>
          <w:tcPr>
            <w:tcW w:w="854" w:type="dxa"/>
            <w:tcBorders>
              <w:top w:val="nil"/>
              <w:left w:val="nil"/>
              <w:bottom w:val="nil"/>
              <w:right w:val="nil"/>
            </w:tcBorders>
            <w:noWrap/>
            <w:vAlign w:val="bottom"/>
          </w:tcPr>
          <w:p w14:paraId="17876B2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1170" w:type="dxa"/>
            <w:tcBorders>
              <w:top w:val="nil"/>
              <w:left w:val="nil"/>
              <w:bottom w:val="nil"/>
              <w:right w:val="nil"/>
            </w:tcBorders>
            <w:noWrap/>
            <w:vAlign w:val="bottom"/>
          </w:tcPr>
          <w:p w14:paraId="4125CA1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57.14%</w:t>
            </w:r>
          </w:p>
        </w:tc>
        <w:tc>
          <w:tcPr>
            <w:tcW w:w="900" w:type="dxa"/>
            <w:tcBorders>
              <w:top w:val="nil"/>
              <w:left w:val="nil"/>
              <w:bottom w:val="nil"/>
              <w:right w:val="nil"/>
            </w:tcBorders>
            <w:noWrap/>
            <w:vAlign w:val="bottom"/>
          </w:tcPr>
          <w:p w14:paraId="61C602C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90" w:type="dxa"/>
            <w:tcBorders>
              <w:top w:val="nil"/>
              <w:left w:val="nil"/>
              <w:bottom w:val="nil"/>
              <w:right w:val="nil"/>
            </w:tcBorders>
            <w:noWrap/>
            <w:vAlign w:val="bottom"/>
          </w:tcPr>
          <w:p w14:paraId="0464ADB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80" w:type="dxa"/>
            <w:tcBorders>
              <w:top w:val="nil"/>
              <w:left w:val="nil"/>
              <w:bottom w:val="nil"/>
              <w:right w:val="nil"/>
            </w:tcBorders>
            <w:noWrap/>
            <w:vAlign w:val="bottom"/>
          </w:tcPr>
          <w:p w14:paraId="2569D64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10.5</w:t>
            </w:r>
          </w:p>
        </w:tc>
        <w:tc>
          <w:tcPr>
            <w:tcW w:w="955" w:type="dxa"/>
            <w:tcBorders>
              <w:top w:val="nil"/>
              <w:left w:val="nil"/>
              <w:bottom w:val="nil"/>
              <w:right w:val="nil"/>
            </w:tcBorders>
            <w:noWrap/>
            <w:vAlign w:val="bottom"/>
          </w:tcPr>
          <w:p w14:paraId="684EE2A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25.00%</w:t>
            </w:r>
          </w:p>
        </w:tc>
        <w:tc>
          <w:tcPr>
            <w:tcW w:w="845" w:type="dxa"/>
            <w:tcBorders>
              <w:top w:val="nil"/>
              <w:left w:val="nil"/>
              <w:bottom w:val="nil"/>
              <w:right w:val="nil"/>
            </w:tcBorders>
            <w:noWrap/>
            <w:vAlign w:val="bottom"/>
          </w:tcPr>
          <w:p w14:paraId="3559C74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14</w:t>
            </w:r>
          </w:p>
        </w:tc>
      </w:tr>
      <w:tr w:rsidR="003801E8" w14:paraId="7DA606E9" w14:textId="77777777">
        <w:trPr>
          <w:trHeight w:val="288"/>
        </w:trPr>
        <w:tc>
          <w:tcPr>
            <w:tcW w:w="900" w:type="dxa"/>
            <w:tcBorders>
              <w:top w:val="nil"/>
              <w:left w:val="nil"/>
              <w:bottom w:val="nil"/>
              <w:right w:val="nil"/>
            </w:tcBorders>
            <w:noWrap/>
            <w:vAlign w:val="bottom"/>
          </w:tcPr>
          <w:p w14:paraId="744749B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P2</w:t>
            </w:r>
          </w:p>
        </w:tc>
        <w:tc>
          <w:tcPr>
            <w:tcW w:w="891" w:type="dxa"/>
            <w:tcBorders>
              <w:top w:val="nil"/>
              <w:left w:val="nil"/>
              <w:bottom w:val="nil"/>
              <w:right w:val="nil"/>
            </w:tcBorders>
            <w:noWrap/>
            <w:vAlign w:val="bottom"/>
          </w:tcPr>
          <w:p w14:paraId="6DE4657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w:t>
            </w:r>
          </w:p>
        </w:tc>
        <w:tc>
          <w:tcPr>
            <w:tcW w:w="955" w:type="dxa"/>
            <w:tcBorders>
              <w:top w:val="nil"/>
              <w:left w:val="nil"/>
              <w:bottom w:val="nil"/>
              <w:right w:val="nil"/>
            </w:tcBorders>
            <w:noWrap/>
            <w:vAlign w:val="bottom"/>
          </w:tcPr>
          <w:p w14:paraId="6E14B06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54.84%</w:t>
            </w:r>
          </w:p>
        </w:tc>
        <w:tc>
          <w:tcPr>
            <w:tcW w:w="854" w:type="dxa"/>
            <w:tcBorders>
              <w:top w:val="nil"/>
              <w:left w:val="nil"/>
              <w:bottom w:val="nil"/>
              <w:right w:val="nil"/>
            </w:tcBorders>
            <w:noWrap/>
            <w:vAlign w:val="bottom"/>
          </w:tcPr>
          <w:p w14:paraId="2AC1936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1170" w:type="dxa"/>
            <w:tcBorders>
              <w:top w:val="nil"/>
              <w:left w:val="nil"/>
              <w:bottom w:val="nil"/>
              <w:right w:val="nil"/>
            </w:tcBorders>
            <w:noWrap/>
            <w:vAlign w:val="bottom"/>
          </w:tcPr>
          <w:p w14:paraId="5F41953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61.29%</w:t>
            </w:r>
          </w:p>
        </w:tc>
        <w:tc>
          <w:tcPr>
            <w:tcW w:w="900" w:type="dxa"/>
            <w:tcBorders>
              <w:top w:val="nil"/>
              <w:left w:val="nil"/>
              <w:bottom w:val="nil"/>
              <w:right w:val="nil"/>
            </w:tcBorders>
            <w:noWrap/>
            <w:vAlign w:val="bottom"/>
          </w:tcPr>
          <w:p w14:paraId="72071A6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90" w:type="dxa"/>
            <w:tcBorders>
              <w:top w:val="nil"/>
              <w:left w:val="nil"/>
              <w:bottom w:val="nil"/>
              <w:right w:val="nil"/>
            </w:tcBorders>
            <w:noWrap/>
            <w:vAlign w:val="bottom"/>
          </w:tcPr>
          <w:p w14:paraId="158DBC9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80" w:type="dxa"/>
            <w:tcBorders>
              <w:top w:val="nil"/>
              <w:left w:val="nil"/>
              <w:bottom w:val="nil"/>
              <w:right w:val="nil"/>
            </w:tcBorders>
            <w:noWrap/>
            <w:vAlign w:val="bottom"/>
          </w:tcPr>
          <w:p w14:paraId="7987A89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14</w:t>
            </w:r>
          </w:p>
        </w:tc>
        <w:tc>
          <w:tcPr>
            <w:tcW w:w="955" w:type="dxa"/>
            <w:tcBorders>
              <w:top w:val="nil"/>
              <w:left w:val="nil"/>
              <w:bottom w:val="nil"/>
              <w:right w:val="nil"/>
            </w:tcBorders>
            <w:noWrap/>
            <w:vAlign w:val="bottom"/>
          </w:tcPr>
          <w:p w14:paraId="645C9A1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9.68%</w:t>
            </w:r>
          </w:p>
        </w:tc>
        <w:tc>
          <w:tcPr>
            <w:tcW w:w="845" w:type="dxa"/>
            <w:tcBorders>
              <w:top w:val="nil"/>
              <w:left w:val="nil"/>
              <w:bottom w:val="nil"/>
              <w:right w:val="nil"/>
            </w:tcBorders>
            <w:noWrap/>
            <w:vAlign w:val="bottom"/>
          </w:tcPr>
          <w:p w14:paraId="4F90B61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15.5</w:t>
            </w:r>
          </w:p>
        </w:tc>
      </w:tr>
      <w:tr w:rsidR="003801E8" w14:paraId="5B9D6DAC" w14:textId="77777777">
        <w:trPr>
          <w:trHeight w:val="288"/>
        </w:trPr>
        <w:tc>
          <w:tcPr>
            <w:tcW w:w="900" w:type="dxa"/>
            <w:tcBorders>
              <w:top w:val="nil"/>
              <w:left w:val="nil"/>
              <w:bottom w:val="nil"/>
              <w:right w:val="nil"/>
            </w:tcBorders>
            <w:noWrap/>
            <w:vAlign w:val="bottom"/>
          </w:tcPr>
          <w:p w14:paraId="65641D3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P2</w:t>
            </w:r>
          </w:p>
        </w:tc>
        <w:tc>
          <w:tcPr>
            <w:tcW w:w="891" w:type="dxa"/>
            <w:tcBorders>
              <w:top w:val="nil"/>
              <w:left w:val="nil"/>
              <w:bottom w:val="nil"/>
              <w:right w:val="nil"/>
            </w:tcBorders>
            <w:noWrap/>
            <w:vAlign w:val="bottom"/>
          </w:tcPr>
          <w:p w14:paraId="4CC0C71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w:t>
            </w:r>
          </w:p>
        </w:tc>
        <w:tc>
          <w:tcPr>
            <w:tcW w:w="955" w:type="dxa"/>
            <w:tcBorders>
              <w:top w:val="nil"/>
              <w:left w:val="nil"/>
              <w:bottom w:val="nil"/>
              <w:right w:val="nil"/>
            </w:tcBorders>
            <w:noWrap/>
            <w:vAlign w:val="bottom"/>
          </w:tcPr>
          <w:p w14:paraId="1AA221C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48.39%</w:t>
            </w:r>
          </w:p>
        </w:tc>
        <w:tc>
          <w:tcPr>
            <w:tcW w:w="854" w:type="dxa"/>
            <w:tcBorders>
              <w:top w:val="nil"/>
              <w:left w:val="nil"/>
              <w:bottom w:val="nil"/>
              <w:right w:val="nil"/>
            </w:tcBorders>
            <w:noWrap/>
            <w:vAlign w:val="bottom"/>
          </w:tcPr>
          <w:p w14:paraId="58F6D57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w:t>
            </w:r>
          </w:p>
        </w:tc>
        <w:tc>
          <w:tcPr>
            <w:tcW w:w="1170" w:type="dxa"/>
            <w:tcBorders>
              <w:top w:val="nil"/>
              <w:left w:val="nil"/>
              <w:bottom w:val="nil"/>
              <w:right w:val="nil"/>
            </w:tcBorders>
            <w:noWrap/>
            <w:vAlign w:val="bottom"/>
          </w:tcPr>
          <w:p w14:paraId="1069027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54.84%</w:t>
            </w:r>
          </w:p>
        </w:tc>
        <w:tc>
          <w:tcPr>
            <w:tcW w:w="900" w:type="dxa"/>
            <w:tcBorders>
              <w:top w:val="nil"/>
              <w:left w:val="nil"/>
              <w:bottom w:val="nil"/>
              <w:right w:val="nil"/>
            </w:tcBorders>
            <w:noWrap/>
            <w:vAlign w:val="bottom"/>
          </w:tcPr>
          <w:p w14:paraId="279051D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90" w:type="dxa"/>
            <w:tcBorders>
              <w:top w:val="nil"/>
              <w:left w:val="nil"/>
              <w:bottom w:val="nil"/>
              <w:right w:val="nil"/>
            </w:tcBorders>
            <w:noWrap/>
            <w:vAlign w:val="bottom"/>
          </w:tcPr>
          <w:p w14:paraId="66A0914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80" w:type="dxa"/>
            <w:tcBorders>
              <w:top w:val="nil"/>
              <w:left w:val="nil"/>
              <w:bottom w:val="nil"/>
              <w:right w:val="nil"/>
            </w:tcBorders>
            <w:noWrap/>
            <w:vAlign w:val="bottom"/>
          </w:tcPr>
          <w:p w14:paraId="38F31BE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15.5</w:t>
            </w:r>
          </w:p>
        </w:tc>
        <w:tc>
          <w:tcPr>
            <w:tcW w:w="955" w:type="dxa"/>
            <w:tcBorders>
              <w:top w:val="nil"/>
              <w:left w:val="nil"/>
              <w:bottom w:val="nil"/>
              <w:right w:val="nil"/>
            </w:tcBorders>
            <w:noWrap/>
            <w:vAlign w:val="bottom"/>
          </w:tcPr>
          <w:p w14:paraId="61823A1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0.00%</w:t>
            </w:r>
          </w:p>
        </w:tc>
        <w:tc>
          <w:tcPr>
            <w:tcW w:w="845" w:type="dxa"/>
            <w:tcBorders>
              <w:top w:val="nil"/>
              <w:left w:val="nil"/>
              <w:bottom w:val="nil"/>
              <w:right w:val="nil"/>
            </w:tcBorders>
            <w:noWrap/>
            <w:vAlign w:val="bottom"/>
          </w:tcPr>
          <w:p w14:paraId="5BFB880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15.5</w:t>
            </w:r>
          </w:p>
        </w:tc>
      </w:tr>
      <w:tr w:rsidR="003801E8" w14:paraId="4A0B9DC4" w14:textId="77777777">
        <w:trPr>
          <w:trHeight w:val="288"/>
        </w:trPr>
        <w:tc>
          <w:tcPr>
            <w:tcW w:w="900" w:type="dxa"/>
            <w:tcBorders>
              <w:top w:val="nil"/>
              <w:left w:val="nil"/>
              <w:bottom w:val="nil"/>
              <w:right w:val="nil"/>
            </w:tcBorders>
            <w:noWrap/>
            <w:vAlign w:val="bottom"/>
          </w:tcPr>
          <w:p w14:paraId="41853B1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P2</w:t>
            </w:r>
          </w:p>
        </w:tc>
        <w:tc>
          <w:tcPr>
            <w:tcW w:w="891" w:type="dxa"/>
            <w:tcBorders>
              <w:top w:val="nil"/>
              <w:left w:val="nil"/>
              <w:bottom w:val="nil"/>
              <w:right w:val="nil"/>
            </w:tcBorders>
            <w:noWrap/>
            <w:vAlign w:val="bottom"/>
          </w:tcPr>
          <w:p w14:paraId="2F39F3B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955" w:type="dxa"/>
            <w:tcBorders>
              <w:top w:val="nil"/>
              <w:left w:val="nil"/>
              <w:bottom w:val="nil"/>
              <w:right w:val="nil"/>
            </w:tcBorders>
            <w:noWrap/>
            <w:vAlign w:val="bottom"/>
          </w:tcPr>
          <w:p w14:paraId="5D47C36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63.64%</w:t>
            </w:r>
          </w:p>
        </w:tc>
        <w:tc>
          <w:tcPr>
            <w:tcW w:w="854" w:type="dxa"/>
            <w:tcBorders>
              <w:top w:val="nil"/>
              <w:left w:val="nil"/>
              <w:bottom w:val="nil"/>
              <w:right w:val="nil"/>
            </w:tcBorders>
            <w:noWrap/>
            <w:vAlign w:val="bottom"/>
          </w:tcPr>
          <w:p w14:paraId="2520B71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1170" w:type="dxa"/>
            <w:tcBorders>
              <w:top w:val="nil"/>
              <w:left w:val="nil"/>
              <w:bottom w:val="nil"/>
              <w:right w:val="nil"/>
            </w:tcBorders>
            <w:noWrap/>
            <w:vAlign w:val="bottom"/>
          </w:tcPr>
          <w:p w14:paraId="731CB15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63.64%</w:t>
            </w:r>
          </w:p>
        </w:tc>
        <w:tc>
          <w:tcPr>
            <w:tcW w:w="900" w:type="dxa"/>
            <w:tcBorders>
              <w:top w:val="nil"/>
              <w:left w:val="nil"/>
              <w:bottom w:val="nil"/>
              <w:right w:val="nil"/>
            </w:tcBorders>
            <w:noWrap/>
            <w:vAlign w:val="bottom"/>
          </w:tcPr>
          <w:p w14:paraId="2ECB409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90" w:type="dxa"/>
            <w:tcBorders>
              <w:top w:val="nil"/>
              <w:left w:val="nil"/>
              <w:bottom w:val="nil"/>
              <w:right w:val="nil"/>
            </w:tcBorders>
            <w:noWrap/>
            <w:vAlign w:val="bottom"/>
          </w:tcPr>
          <w:p w14:paraId="467A153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80" w:type="dxa"/>
            <w:tcBorders>
              <w:top w:val="nil"/>
              <w:left w:val="nil"/>
              <w:bottom w:val="nil"/>
              <w:right w:val="nil"/>
            </w:tcBorders>
            <w:noWrap/>
            <w:vAlign w:val="bottom"/>
          </w:tcPr>
          <w:p w14:paraId="548C741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15</w:t>
            </w:r>
          </w:p>
        </w:tc>
        <w:tc>
          <w:tcPr>
            <w:tcW w:w="955" w:type="dxa"/>
            <w:tcBorders>
              <w:top w:val="nil"/>
              <w:left w:val="nil"/>
              <w:bottom w:val="nil"/>
              <w:right w:val="nil"/>
            </w:tcBorders>
            <w:noWrap/>
            <w:vAlign w:val="bottom"/>
          </w:tcPr>
          <w:p w14:paraId="2B4F388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9.09%</w:t>
            </w:r>
          </w:p>
        </w:tc>
        <w:tc>
          <w:tcPr>
            <w:tcW w:w="845" w:type="dxa"/>
            <w:tcBorders>
              <w:top w:val="nil"/>
              <w:left w:val="nil"/>
              <w:bottom w:val="nil"/>
              <w:right w:val="nil"/>
            </w:tcBorders>
            <w:noWrap/>
            <w:vAlign w:val="bottom"/>
          </w:tcPr>
          <w:p w14:paraId="1939660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16.5</w:t>
            </w:r>
          </w:p>
        </w:tc>
      </w:tr>
      <w:tr w:rsidR="003801E8" w14:paraId="76B218C0" w14:textId="77777777">
        <w:trPr>
          <w:trHeight w:val="288"/>
        </w:trPr>
        <w:tc>
          <w:tcPr>
            <w:tcW w:w="900" w:type="dxa"/>
            <w:tcBorders>
              <w:top w:val="nil"/>
              <w:left w:val="nil"/>
              <w:bottom w:val="nil"/>
              <w:right w:val="nil"/>
            </w:tcBorders>
            <w:noWrap/>
            <w:vAlign w:val="bottom"/>
          </w:tcPr>
          <w:p w14:paraId="3AB03AC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P3</w:t>
            </w:r>
          </w:p>
        </w:tc>
        <w:tc>
          <w:tcPr>
            <w:tcW w:w="891" w:type="dxa"/>
            <w:tcBorders>
              <w:top w:val="nil"/>
              <w:left w:val="nil"/>
              <w:bottom w:val="nil"/>
              <w:right w:val="nil"/>
            </w:tcBorders>
            <w:noWrap/>
            <w:vAlign w:val="bottom"/>
          </w:tcPr>
          <w:p w14:paraId="15CB9E3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955" w:type="dxa"/>
            <w:tcBorders>
              <w:top w:val="nil"/>
              <w:left w:val="nil"/>
              <w:bottom w:val="nil"/>
              <w:right w:val="nil"/>
            </w:tcBorders>
            <w:noWrap/>
            <w:vAlign w:val="bottom"/>
          </w:tcPr>
          <w:p w14:paraId="3F81671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52.00%</w:t>
            </w:r>
          </w:p>
        </w:tc>
        <w:tc>
          <w:tcPr>
            <w:tcW w:w="854" w:type="dxa"/>
            <w:tcBorders>
              <w:top w:val="nil"/>
              <w:left w:val="nil"/>
              <w:bottom w:val="nil"/>
              <w:right w:val="nil"/>
            </w:tcBorders>
            <w:noWrap/>
            <w:vAlign w:val="bottom"/>
          </w:tcPr>
          <w:p w14:paraId="625DBA2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1170" w:type="dxa"/>
            <w:tcBorders>
              <w:top w:val="nil"/>
              <w:left w:val="nil"/>
              <w:bottom w:val="nil"/>
              <w:right w:val="nil"/>
            </w:tcBorders>
            <w:noWrap/>
            <w:vAlign w:val="bottom"/>
          </w:tcPr>
          <w:p w14:paraId="40BB0BE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52.00%</w:t>
            </w:r>
          </w:p>
        </w:tc>
        <w:tc>
          <w:tcPr>
            <w:tcW w:w="900" w:type="dxa"/>
            <w:tcBorders>
              <w:top w:val="nil"/>
              <w:left w:val="nil"/>
              <w:bottom w:val="nil"/>
              <w:right w:val="nil"/>
            </w:tcBorders>
            <w:noWrap/>
            <w:vAlign w:val="bottom"/>
          </w:tcPr>
          <w:p w14:paraId="62C3D34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90" w:type="dxa"/>
            <w:tcBorders>
              <w:top w:val="nil"/>
              <w:left w:val="nil"/>
              <w:bottom w:val="nil"/>
              <w:right w:val="nil"/>
            </w:tcBorders>
            <w:noWrap/>
            <w:vAlign w:val="bottom"/>
          </w:tcPr>
          <w:p w14:paraId="0D8C9C5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80" w:type="dxa"/>
            <w:tcBorders>
              <w:top w:val="nil"/>
              <w:left w:val="nil"/>
              <w:bottom w:val="nil"/>
              <w:right w:val="nil"/>
            </w:tcBorders>
            <w:noWrap/>
            <w:vAlign w:val="bottom"/>
          </w:tcPr>
          <w:p w14:paraId="665677C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12</w:t>
            </w:r>
          </w:p>
        </w:tc>
        <w:tc>
          <w:tcPr>
            <w:tcW w:w="955" w:type="dxa"/>
            <w:tcBorders>
              <w:top w:val="nil"/>
              <w:left w:val="nil"/>
              <w:bottom w:val="nil"/>
              <w:right w:val="nil"/>
            </w:tcBorders>
            <w:noWrap/>
            <w:vAlign w:val="bottom"/>
          </w:tcPr>
          <w:p w14:paraId="1E3D82F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4.00%</w:t>
            </w:r>
          </w:p>
        </w:tc>
        <w:tc>
          <w:tcPr>
            <w:tcW w:w="845" w:type="dxa"/>
            <w:tcBorders>
              <w:top w:val="nil"/>
              <w:left w:val="nil"/>
              <w:bottom w:val="nil"/>
              <w:right w:val="nil"/>
            </w:tcBorders>
            <w:noWrap/>
            <w:vAlign w:val="bottom"/>
          </w:tcPr>
          <w:p w14:paraId="38D5A1E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12.5</w:t>
            </w:r>
          </w:p>
        </w:tc>
      </w:tr>
      <w:tr w:rsidR="003801E8" w14:paraId="6E2CDD81" w14:textId="77777777">
        <w:trPr>
          <w:trHeight w:val="288"/>
        </w:trPr>
        <w:tc>
          <w:tcPr>
            <w:tcW w:w="900" w:type="dxa"/>
            <w:tcBorders>
              <w:top w:val="nil"/>
              <w:left w:val="nil"/>
              <w:bottom w:val="nil"/>
              <w:right w:val="nil"/>
            </w:tcBorders>
            <w:noWrap/>
            <w:vAlign w:val="bottom"/>
          </w:tcPr>
          <w:p w14:paraId="296C702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P3</w:t>
            </w:r>
          </w:p>
        </w:tc>
        <w:tc>
          <w:tcPr>
            <w:tcW w:w="891" w:type="dxa"/>
            <w:tcBorders>
              <w:top w:val="nil"/>
              <w:left w:val="nil"/>
              <w:bottom w:val="nil"/>
              <w:right w:val="nil"/>
            </w:tcBorders>
            <w:noWrap/>
            <w:vAlign w:val="bottom"/>
          </w:tcPr>
          <w:p w14:paraId="4017E32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955" w:type="dxa"/>
            <w:tcBorders>
              <w:top w:val="nil"/>
              <w:left w:val="nil"/>
              <w:bottom w:val="nil"/>
              <w:right w:val="nil"/>
            </w:tcBorders>
            <w:noWrap/>
            <w:vAlign w:val="bottom"/>
          </w:tcPr>
          <w:p w14:paraId="6F73597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58.62%</w:t>
            </w:r>
          </w:p>
        </w:tc>
        <w:tc>
          <w:tcPr>
            <w:tcW w:w="854" w:type="dxa"/>
            <w:tcBorders>
              <w:top w:val="nil"/>
              <w:left w:val="nil"/>
              <w:bottom w:val="nil"/>
              <w:right w:val="nil"/>
            </w:tcBorders>
            <w:noWrap/>
            <w:vAlign w:val="bottom"/>
          </w:tcPr>
          <w:p w14:paraId="373B15F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w:t>
            </w:r>
          </w:p>
        </w:tc>
        <w:tc>
          <w:tcPr>
            <w:tcW w:w="1170" w:type="dxa"/>
            <w:tcBorders>
              <w:top w:val="nil"/>
              <w:left w:val="nil"/>
              <w:bottom w:val="nil"/>
              <w:right w:val="nil"/>
            </w:tcBorders>
            <w:noWrap/>
            <w:vAlign w:val="bottom"/>
          </w:tcPr>
          <w:p w14:paraId="70C5D34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51.72%</w:t>
            </w:r>
          </w:p>
        </w:tc>
        <w:tc>
          <w:tcPr>
            <w:tcW w:w="900" w:type="dxa"/>
            <w:tcBorders>
              <w:top w:val="nil"/>
              <w:left w:val="nil"/>
              <w:bottom w:val="nil"/>
              <w:right w:val="nil"/>
            </w:tcBorders>
            <w:noWrap/>
            <w:vAlign w:val="bottom"/>
          </w:tcPr>
          <w:p w14:paraId="7047605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90" w:type="dxa"/>
            <w:tcBorders>
              <w:top w:val="nil"/>
              <w:left w:val="nil"/>
              <w:bottom w:val="nil"/>
              <w:right w:val="nil"/>
            </w:tcBorders>
            <w:noWrap/>
            <w:vAlign w:val="bottom"/>
          </w:tcPr>
          <w:p w14:paraId="7D48257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80" w:type="dxa"/>
            <w:tcBorders>
              <w:top w:val="nil"/>
              <w:left w:val="nil"/>
              <w:bottom w:val="nil"/>
              <w:right w:val="nil"/>
            </w:tcBorders>
            <w:noWrap/>
            <w:vAlign w:val="bottom"/>
          </w:tcPr>
          <w:p w14:paraId="53D1950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13.5</w:t>
            </w:r>
          </w:p>
        </w:tc>
        <w:tc>
          <w:tcPr>
            <w:tcW w:w="955" w:type="dxa"/>
            <w:tcBorders>
              <w:top w:val="nil"/>
              <w:left w:val="nil"/>
              <w:bottom w:val="nil"/>
              <w:right w:val="nil"/>
            </w:tcBorders>
            <w:noWrap/>
            <w:vAlign w:val="bottom"/>
          </w:tcPr>
          <w:p w14:paraId="2A4E145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6.90%</w:t>
            </w:r>
          </w:p>
        </w:tc>
        <w:tc>
          <w:tcPr>
            <w:tcW w:w="845" w:type="dxa"/>
            <w:tcBorders>
              <w:top w:val="nil"/>
              <w:left w:val="nil"/>
              <w:bottom w:val="nil"/>
              <w:right w:val="nil"/>
            </w:tcBorders>
            <w:noWrap/>
            <w:vAlign w:val="bottom"/>
          </w:tcPr>
          <w:p w14:paraId="106E2FC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14.5</w:t>
            </w:r>
          </w:p>
        </w:tc>
      </w:tr>
      <w:tr w:rsidR="003801E8" w14:paraId="5E914B2D" w14:textId="77777777">
        <w:trPr>
          <w:trHeight w:val="288"/>
        </w:trPr>
        <w:tc>
          <w:tcPr>
            <w:tcW w:w="900" w:type="dxa"/>
            <w:tcBorders>
              <w:top w:val="nil"/>
              <w:left w:val="nil"/>
              <w:bottom w:val="nil"/>
              <w:right w:val="nil"/>
            </w:tcBorders>
            <w:noWrap/>
            <w:vAlign w:val="bottom"/>
          </w:tcPr>
          <w:p w14:paraId="4A3A9EB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P3</w:t>
            </w:r>
          </w:p>
        </w:tc>
        <w:tc>
          <w:tcPr>
            <w:tcW w:w="891" w:type="dxa"/>
            <w:tcBorders>
              <w:top w:val="nil"/>
              <w:left w:val="nil"/>
              <w:bottom w:val="nil"/>
              <w:right w:val="nil"/>
            </w:tcBorders>
            <w:noWrap/>
            <w:vAlign w:val="bottom"/>
          </w:tcPr>
          <w:p w14:paraId="45E8A2A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955" w:type="dxa"/>
            <w:tcBorders>
              <w:top w:val="nil"/>
              <w:left w:val="nil"/>
              <w:bottom w:val="nil"/>
              <w:right w:val="nil"/>
            </w:tcBorders>
            <w:noWrap/>
            <w:vAlign w:val="bottom"/>
          </w:tcPr>
          <w:p w14:paraId="08B5EE3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45.45%</w:t>
            </w:r>
          </w:p>
        </w:tc>
        <w:tc>
          <w:tcPr>
            <w:tcW w:w="854" w:type="dxa"/>
            <w:tcBorders>
              <w:top w:val="nil"/>
              <w:left w:val="nil"/>
              <w:bottom w:val="nil"/>
              <w:right w:val="nil"/>
            </w:tcBorders>
            <w:noWrap/>
            <w:vAlign w:val="bottom"/>
          </w:tcPr>
          <w:p w14:paraId="46816BC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w:t>
            </w:r>
          </w:p>
        </w:tc>
        <w:tc>
          <w:tcPr>
            <w:tcW w:w="1170" w:type="dxa"/>
            <w:tcBorders>
              <w:top w:val="nil"/>
              <w:left w:val="nil"/>
              <w:bottom w:val="nil"/>
              <w:right w:val="nil"/>
            </w:tcBorders>
            <w:noWrap/>
            <w:vAlign w:val="bottom"/>
          </w:tcPr>
          <w:p w14:paraId="6E0FC3E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36.36%</w:t>
            </w:r>
          </w:p>
        </w:tc>
        <w:tc>
          <w:tcPr>
            <w:tcW w:w="900" w:type="dxa"/>
            <w:tcBorders>
              <w:top w:val="nil"/>
              <w:left w:val="nil"/>
              <w:bottom w:val="nil"/>
              <w:right w:val="nil"/>
            </w:tcBorders>
            <w:noWrap/>
            <w:vAlign w:val="bottom"/>
          </w:tcPr>
          <w:p w14:paraId="6DDB20E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90" w:type="dxa"/>
            <w:tcBorders>
              <w:top w:val="nil"/>
              <w:left w:val="nil"/>
              <w:bottom w:val="nil"/>
              <w:right w:val="nil"/>
            </w:tcBorders>
            <w:noWrap/>
            <w:vAlign w:val="bottom"/>
          </w:tcPr>
          <w:p w14:paraId="0A8A096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80" w:type="dxa"/>
            <w:tcBorders>
              <w:top w:val="nil"/>
              <w:left w:val="nil"/>
              <w:bottom w:val="nil"/>
              <w:right w:val="nil"/>
            </w:tcBorders>
            <w:noWrap/>
            <w:vAlign w:val="bottom"/>
          </w:tcPr>
          <w:p w14:paraId="6C96580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10.5</w:t>
            </w:r>
          </w:p>
        </w:tc>
        <w:tc>
          <w:tcPr>
            <w:tcW w:w="955" w:type="dxa"/>
            <w:tcBorders>
              <w:top w:val="nil"/>
              <w:left w:val="nil"/>
              <w:bottom w:val="nil"/>
              <w:right w:val="nil"/>
            </w:tcBorders>
            <w:noWrap/>
            <w:vAlign w:val="bottom"/>
          </w:tcPr>
          <w:p w14:paraId="5EBCE30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4.55%</w:t>
            </w:r>
          </w:p>
        </w:tc>
        <w:tc>
          <w:tcPr>
            <w:tcW w:w="845" w:type="dxa"/>
            <w:tcBorders>
              <w:top w:val="nil"/>
              <w:left w:val="nil"/>
              <w:bottom w:val="nil"/>
              <w:right w:val="nil"/>
            </w:tcBorders>
            <w:noWrap/>
            <w:vAlign w:val="bottom"/>
          </w:tcPr>
          <w:p w14:paraId="0F5F858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11</w:t>
            </w:r>
          </w:p>
        </w:tc>
      </w:tr>
      <w:tr w:rsidR="003801E8" w14:paraId="177278F7" w14:textId="77777777">
        <w:trPr>
          <w:trHeight w:val="288"/>
        </w:trPr>
        <w:tc>
          <w:tcPr>
            <w:tcW w:w="900" w:type="dxa"/>
            <w:tcBorders>
              <w:top w:val="nil"/>
              <w:left w:val="nil"/>
              <w:right w:val="nil"/>
            </w:tcBorders>
            <w:noWrap/>
            <w:vAlign w:val="bottom"/>
          </w:tcPr>
          <w:p w14:paraId="06FDE8B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P3</w:t>
            </w:r>
          </w:p>
        </w:tc>
        <w:tc>
          <w:tcPr>
            <w:tcW w:w="891" w:type="dxa"/>
            <w:tcBorders>
              <w:top w:val="nil"/>
              <w:left w:val="nil"/>
              <w:right w:val="nil"/>
            </w:tcBorders>
            <w:noWrap/>
            <w:vAlign w:val="bottom"/>
          </w:tcPr>
          <w:p w14:paraId="55D5BFD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w:t>
            </w:r>
          </w:p>
        </w:tc>
        <w:tc>
          <w:tcPr>
            <w:tcW w:w="955" w:type="dxa"/>
            <w:tcBorders>
              <w:top w:val="nil"/>
              <w:left w:val="nil"/>
              <w:right w:val="nil"/>
            </w:tcBorders>
            <w:noWrap/>
            <w:vAlign w:val="bottom"/>
          </w:tcPr>
          <w:p w14:paraId="042DBBF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64.71%</w:t>
            </w:r>
          </w:p>
        </w:tc>
        <w:tc>
          <w:tcPr>
            <w:tcW w:w="854" w:type="dxa"/>
            <w:tcBorders>
              <w:top w:val="nil"/>
              <w:left w:val="nil"/>
              <w:right w:val="nil"/>
            </w:tcBorders>
            <w:noWrap/>
            <w:vAlign w:val="bottom"/>
          </w:tcPr>
          <w:p w14:paraId="69913EF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w:t>
            </w:r>
          </w:p>
        </w:tc>
        <w:tc>
          <w:tcPr>
            <w:tcW w:w="1170" w:type="dxa"/>
            <w:tcBorders>
              <w:top w:val="nil"/>
              <w:left w:val="nil"/>
              <w:right w:val="nil"/>
            </w:tcBorders>
            <w:noWrap/>
            <w:vAlign w:val="bottom"/>
          </w:tcPr>
          <w:p w14:paraId="042A293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52.94%</w:t>
            </w:r>
          </w:p>
        </w:tc>
        <w:tc>
          <w:tcPr>
            <w:tcW w:w="900" w:type="dxa"/>
            <w:tcBorders>
              <w:top w:val="nil"/>
              <w:left w:val="nil"/>
              <w:right w:val="nil"/>
            </w:tcBorders>
            <w:noWrap/>
            <w:vAlign w:val="bottom"/>
          </w:tcPr>
          <w:p w14:paraId="607C948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990" w:type="dxa"/>
            <w:tcBorders>
              <w:top w:val="nil"/>
              <w:left w:val="nil"/>
              <w:right w:val="nil"/>
            </w:tcBorders>
            <w:noWrap/>
            <w:vAlign w:val="bottom"/>
          </w:tcPr>
          <w:p w14:paraId="265BB01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1080" w:type="dxa"/>
            <w:tcBorders>
              <w:top w:val="nil"/>
              <w:left w:val="nil"/>
              <w:right w:val="nil"/>
            </w:tcBorders>
            <w:noWrap/>
            <w:vAlign w:val="bottom"/>
          </w:tcPr>
          <w:p w14:paraId="267EB45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11.5</w:t>
            </w:r>
          </w:p>
        </w:tc>
        <w:tc>
          <w:tcPr>
            <w:tcW w:w="955" w:type="dxa"/>
            <w:tcBorders>
              <w:top w:val="nil"/>
              <w:left w:val="nil"/>
              <w:right w:val="nil"/>
            </w:tcBorders>
            <w:noWrap/>
            <w:vAlign w:val="bottom"/>
          </w:tcPr>
          <w:p w14:paraId="65D9A64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32.35%</w:t>
            </w:r>
          </w:p>
        </w:tc>
        <w:tc>
          <w:tcPr>
            <w:tcW w:w="845" w:type="dxa"/>
            <w:tcBorders>
              <w:top w:val="nil"/>
              <w:left w:val="nil"/>
              <w:right w:val="nil"/>
            </w:tcBorders>
            <w:noWrap/>
            <w:vAlign w:val="bottom"/>
          </w:tcPr>
          <w:p w14:paraId="69CDCE5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17</w:t>
            </w:r>
          </w:p>
        </w:tc>
      </w:tr>
      <w:tr w:rsidR="003801E8" w14:paraId="537F0556" w14:textId="77777777">
        <w:trPr>
          <w:trHeight w:val="288"/>
        </w:trPr>
        <w:tc>
          <w:tcPr>
            <w:tcW w:w="900" w:type="dxa"/>
            <w:tcBorders>
              <w:top w:val="nil"/>
              <w:left w:val="nil"/>
              <w:bottom w:val="single" w:sz="4" w:space="0" w:color="auto"/>
              <w:right w:val="nil"/>
            </w:tcBorders>
            <w:noWrap/>
            <w:vAlign w:val="bottom"/>
          </w:tcPr>
          <w:p w14:paraId="1D97518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Prosjek</w:t>
            </w:r>
          </w:p>
        </w:tc>
        <w:tc>
          <w:tcPr>
            <w:tcW w:w="891" w:type="dxa"/>
            <w:tcBorders>
              <w:top w:val="nil"/>
              <w:left w:val="nil"/>
              <w:bottom w:val="single" w:sz="4" w:space="0" w:color="auto"/>
              <w:right w:val="nil"/>
            </w:tcBorders>
            <w:noWrap/>
            <w:vAlign w:val="bottom"/>
          </w:tcPr>
          <w:p w14:paraId="511F91EA"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6.41</w:t>
            </w:r>
          </w:p>
        </w:tc>
        <w:tc>
          <w:tcPr>
            <w:tcW w:w="955" w:type="dxa"/>
            <w:tcBorders>
              <w:top w:val="nil"/>
              <w:left w:val="nil"/>
              <w:bottom w:val="single" w:sz="4" w:space="0" w:color="auto"/>
              <w:right w:val="nil"/>
            </w:tcBorders>
            <w:noWrap/>
            <w:vAlign w:val="bottom"/>
          </w:tcPr>
          <w:p w14:paraId="432DB119"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53.23%</w:t>
            </w:r>
          </w:p>
        </w:tc>
        <w:tc>
          <w:tcPr>
            <w:tcW w:w="854" w:type="dxa"/>
            <w:tcBorders>
              <w:top w:val="nil"/>
              <w:left w:val="nil"/>
              <w:bottom w:val="single" w:sz="4" w:space="0" w:color="auto"/>
              <w:right w:val="nil"/>
            </w:tcBorders>
            <w:noWrap/>
            <w:vAlign w:val="bottom"/>
          </w:tcPr>
          <w:p w14:paraId="4AEFE5E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6.5</w:t>
            </w:r>
          </w:p>
        </w:tc>
        <w:tc>
          <w:tcPr>
            <w:tcW w:w="1170" w:type="dxa"/>
            <w:tcBorders>
              <w:top w:val="nil"/>
              <w:left w:val="nil"/>
              <w:bottom w:val="single" w:sz="4" w:space="0" w:color="auto"/>
              <w:right w:val="nil"/>
            </w:tcBorders>
            <w:noWrap/>
            <w:vAlign w:val="bottom"/>
          </w:tcPr>
          <w:p w14:paraId="7054606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53.51%</w:t>
            </w:r>
          </w:p>
        </w:tc>
        <w:tc>
          <w:tcPr>
            <w:tcW w:w="900" w:type="dxa"/>
            <w:tcBorders>
              <w:top w:val="nil"/>
              <w:left w:val="nil"/>
              <w:bottom w:val="single" w:sz="4" w:space="0" w:color="auto"/>
              <w:right w:val="nil"/>
            </w:tcBorders>
            <w:noWrap/>
            <w:vAlign w:val="bottom"/>
          </w:tcPr>
          <w:p w14:paraId="70034F2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0</w:t>
            </w:r>
          </w:p>
        </w:tc>
        <w:tc>
          <w:tcPr>
            <w:tcW w:w="990" w:type="dxa"/>
            <w:tcBorders>
              <w:top w:val="nil"/>
              <w:left w:val="nil"/>
              <w:bottom w:val="single" w:sz="4" w:space="0" w:color="auto"/>
              <w:right w:val="nil"/>
            </w:tcBorders>
            <w:noWrap/>
            <w:vAlign w:val="bottom"/>
          </w:tcPr>
          <w:p w14:paraId="4A011949"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100.00%</w:t>
            </w:r>
          </w:p>
        </w:tc>
        <w:tc>
          <w:tcPr>
            <w:tcW w:w="1080" w:type="dxa"/>
            <w:tcBorders>
              <w:top w:val="nil"/>
              <w:left w:val="nil"/>
              <w:bottom w:val="single" w:sz="4" w:space="0" w:color="auto"/>
              <w:right w:val="nil"/>
            </w:tcBorders>
            <w:noWrap/>
            <w:vAlign w:val="bottom"/>
          </w:tcPr>
          <w:p w14:paraId="2733D851"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12.75</w:t>
            </w:r>
          </w:p>
        </w:tc>
        <w:tc>
          <w:tcPr>
            <w:tcW w:w="955" w:type="dxa"/>
            <w:tcBorders>
              <w:top w:val="nil"/>
              <w:left w:val="nil"/>
              <w:bottom w:val="single" w:sz="4" w:space="0" w:color="auto"/>
              <w:right w:val="nil"/>
            </w:tcBorders>
            <w:noWrap/>
            <w:vAlign w:val="bottom"/>
          </w:tcPr>
          <w:p w14:paraId="0AFE6A41"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9.97%</w:t>
            </w:r>
          </w:p>
        </w:tc>
        <w:tc>
          <w:tcPr>
            <w:tcW w:w="845" w:type="dxa"/>
            <w:tcBorders>
              <w:top w:val="nil"/>
              <w:left w:val="nil"/>
              <w:bottom w:val="single" w:sz="4" w:space="0" w:color="auto"/>
              <w:right w:val="nil"/>
            </w:tcBorders>
            <w:noWrap/>
            <w:vAlign w:val="bottom"/>
          </w:tcPr>
          <w:p w14:paraId="5D3EF662"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14.25</w:t>
            </w:r>
          </w:p>
        </w:tc>
      </w:tr>
    </w:tbl>
    <w:p w14:paraId="4AFC981F" w14:textId="77777777" w:rsidR="003801E8" w:rsidRDefault="00E44AAE">
      <w:pPr>
        <w:tabs>
          <w:tab w:val="left" w:pos="3315"/>
        </w:tabs>
        <w:spacing w:line="360" w:lineRule="auto"/>
        <w:jc w:val="both"/>
        <w:rPr>
          <w:rFonts w:ascii="Book Antiqua" w:hAnsi="Book Antiqua" w:cs="Times New Roman"/>
          <w:b/>
          <w:bCs/>
          <w:sz w:val="16"/>
          <w:szCs w:val="16"/>
          <w:lang w:val="sr-Latn-RS"/>
        </w:rPr>
      </w:pPr>
      <w:r>
        <w:rPr>
          <w:rFonts w:ascii="Book Antiqua" w:hAnsi="Book Antiqua" w:cs="Times New Roman"/>
          <w:b/>
          <w:bCs/>
          <w:sz w:val="16"/>
          <w:szCs w:val="16"/>
          <w:lang w:val="sr-Latn-RS"/>
        </w:rPr>
        <w:t>TA – T. atroviride SC1; TC- T. citrinoviride T-CG: Cu – bakar; K - Kontrola</w:t>
      </w:r>
    </w:p>
    <w:p w14:paraId="5764BBF8" w14:textId="77777777" w:rsidR="003801E8" w:rsidRDefault="003801E8">
      <w:pPr>
        <w:tabs>
          <w:tab w:val="left" w:pos="3315"/>
        </w:tabs>
        <w:spacing w:line="360" w:lineRule="auto"/>
        <w:jc w:val="both"/>
        <w:rPr>
          <w:rFonts w:ascii="Book Antiqua" w:hAnsi="Book Antiqua" w:cs="Times New Roman"/>
          <w:b/>
          <w:bCs/>
          <w:sz w:val="22"/>
          <w:szCs w:val="22"/>
          <w:lang w:val="sr-Latn-RS"/>
        </w:rPr>
      </w:pPr>
    </w:p>
    <w:p w14:paraId="4E8C09B6" w14:textId="77777777" w:rsidR="003801E8" w:rsidRDefault="003801E8">
      <w:pPr>
        <w:tabs>
          <w:tab w:val="left" w:pos="3315"/>
        </w:tabs>
        <w:spacing w:line="360" w:lineRule="auto"/>
        <w:jc w:val="both"/>
        <w:rPr>
          <w:rFonts w:ascii="Book Antiqua" w:hAnsi="Book Antiqua" w:cs="Times New Roman"/>
          <w:b/>
          <w:bCs/>
          <w:sz w:val="22"/>
          <w:szCs w:val="22"/>
          <w:lang w:val="sr-Latn-RS"/>
        </w:rPr>
      </w:pPr>
    </w:p>
    <w:p w14:paraId="6D5D652E" w14:textId="77777777" w:rsidR="008F43EF" w:rsidRDefault="008F43EF">
      <w:pPr>
        <w:tabs>
          <w:tab w:val="left" w:pos="3315"/>
        </w:tabs>
        <w:spacing w:line="360" w:lineRule="auto"/>
        <w:jc w:val="both"/>
        <w:rPr>
          <w:rFonts w:ascii="Book Antiqua" w:hAnsi="Book Antiqua" w:cs="Times New Roman"/>
          <w:b/>
          <w:bCs/>
          <w:sz w:val="22"/>
          <w:szCs w:val="22"/>
          <w:lang w:val="sr-Latn-RS"/>
        </w:rPr>
      </w:pPr>
    </w:p>
    <w:p w14:paraId="32FF7C4A" w14:textId="77777777" w:rsidR="003801E8" w:rsidRDefault="003801E8">
      <w:pPr>
        <w:tabs>
          <w:tab w:val="left" w:pos="3315"/>
        </w:tabs>
        <w:spacing w:line="360" w:lineRule="auto"/>
        <w:jc w:val="both"/>
        <w:rPr>
          <w:rFonts w:ascii="Book Antiqua" w:hAnsi="Book Antiqua" w:cs="Times New Roman"/>
          <w:b/>
          <w:bCs/>
          <w:sz w:val="22"/>
          <w:szCs w:val="22"/>
          <w:lang w:val="sr-Latn-RS"/>
        </w:rPr>
      </w:pPr>
    </w:p>
    <w:p w14:paraId="0E4FEFFD" w14:textId="77777777" w:rsidR="003801E8" w:rsidRDefault="00E44AAE">
      <w:pPr>
        <w:tabs>
          <w:tab w:val="left" w:pos="3315"/>
        </w:tabs>
        <w:spacing w:line="360" w:lineRule="auto"/>
        <w:jc w:val="both"/>
        <w:rPr>
          <w:rFonts w:ascii="Book Antiqua" w:hAnsi="Book Antiqua" w:cs="Times New Roman"/>
          <w:sz w:val="22"/>
          <w:szCs w:val="22"/>
          <w:lang w:val="sr-Latn-RS"/>
        </w:rPr>
      </w:pPr>
      <w:r>
        <w:rPr>
          <w:rFonts w:ascii="Book Antiqua" w:hAnsi="Book Antiqua" w:cs="Times New Roman"/>
          <w:b/>
          <w:bCs/>
          <w:sz w:val="22"/>
          <w:szCs w:val="22"/>
          <w:lang w:val="sr-Latn-RS"/>
        </w:rPr>
        <w:lastRenderedPageBreak/>
        <w:t xml:space="preserve">Tabela 24. </w:t>
      </w:r>
      <w:r>
        <w:rPr>
          <w:rFonts w:ascii="Book Antiqua" w:hAnsi="Book Antiqua" w:cs="Times New Roman"/>
          <w:sz w:val="22"/>
          <w:szCs w:val="22"/>
          <w:lang w:val="sr-Latn-RS"/>
        </w:rPr>
        <w:t xml:space="preserve">Rezultati indirektnog </w:t>
      </w:r>
      <w:r>
        <w:rPr>
          <w:rFonts w:ascii="Book Antiqua" w:hAnsi="Book Antiqua" w:cs="Times New Roman"/>
          <w:i/>
          <w:iCs/>
          <w:sz w:val="22"/>
          <w:szCs w:val="22"/>
          <w:lang w:val="sr-Latn-RS"/>
        </w:rPr>
        <w:t>in vitro</w:t>
      </w:r>
      <w:r>
        <w:rPr>
          <w:rFonts w:ascii="Book Antiqua" w:hAnsi="Book Antiqua" w:cs="Times New Roman"/>
          <w:sz w:val="22"/>
          <w:szCs w:val="22"/>
          <w:lang w:val="sr-Latn-RS"/>
        </w:rPr>
        <w:t xml:space="preserve"> testa prema izolatu </w:t>
      </w:r>
      <w:r>
        <w:rPr>
          <w:rFonts w:ascii="Book Antiqua" w:hAnsi="Book Antiqua" w:cs="Times New Roman"/>
          <w:i/>
          <w:iCs/>
          <w:sz w:val="22"/>
          <w:szCs w:val="22"/>
          <w:lang w:val="sr-Latn-RS"/>
        </w:rPr>
        <w:t>F. mediterranea</w:t>
      </w:r>
      <w:r>
        <w:rPr>
          <w:rFonts w:ascii="Book Antiqua" w:hAnsi="Book Antiqua" w:cs="Times New Roman"/>
          <w:sz w:val="22"/>
          <w:szCs w:val="22"/>
          <w:lang w:val="sr-Latn-RS"/>
        </w:rPr>
        <w:t xml:space="preserve"> MN008</w:t>
      </w:r>
    </w:p>
    <w:tbl>
      <w:tblPr>
        <w:tblW w:w="9450" w:type="dxa"/>
        <w:tblLook w:val="04A0" w:firstRow="1" w:lastRow="0" w:firstColumn="1" w:lastColumn="0" w:noHBand="0" w:noVBand="1"/>
      </w:tblPr>
      <w:tblGrid>
        <w:gridCol w:w="897"/>
        <w:gridCol w:w="891"/>
        <w:gridCol w:w="1026"/>
        <w:gridCol w:w="857"/>
        <w:gridCol w:w="1026"/>
        <w:gridCol w:w="935"/>
        <w:gridCol w:w="1080"/>
        <w:gridCol w:w="990"/>
        <w:gridCol w:w="1026"/>
        <w:gridCol w:w="935"/>
      </w:tblGrid>
      <w:tr w:rsidR="003801E8" w14:paraId="448010C4" w14:textId="77777777">
        <w:trPr>
          <w:trHeight w:val="288"/>
        </w:trPr>
        <w:tc>
          <w:tcPr>
            <w:tcW w:w="897" w:type="dxa"/>
            <w:tcBorders>
              <w:top w:val="single" w:sz="4" w:space="0" w:color="auto"/>
              <w:left w:val="nil"/>
              <w:bottom w:val="single" w:sz="4" w:space="0" w:color="auto"/>
              <w:right w:val="nil"/>
            </w:tcBorders>
            <w:noWrap/>
            <w:vAlign w:val="bottom"/>
          </w:tcPr>
          <w:p w14:paraId="2BB66CDE" w14:textId="77777777" w:rsidR="003801E8" w:rsidRDefault="00E44AAE">
            <w:pPr>
              <w:spacing w:after="0" w:line="240" w:lineRule="auto"/>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Oznaka</w:t>
            </w:r>
          </w:p>
        </w:tc>
        <w:tc>
          <w:tcPr>
            <w:tcW w:w="891" w:type="dxa"/>
            <w:tcBorders>
              <w:top w:val="single" w:sz="4" w:space="0" w:color="auto"/>
              <w:left w:val="nil"/>
              <w:bottom w:val="single" w:sz="4" w:space="0" w:color="auto"/>
              <w:right w:val="nil"/>
            </w:tcBorders>
            <w:noWrap/>
            <w:vAlign w:val="bottom"/>
          </w:tcPr>
          <w:p w14:paraId="107B3DB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TA (mm)</w:t>
            </w:r>
          </w:p>
        </w:tc>
        <w:tc>
          <w:tcPr>
            <w:tcW w:w="955" w:type="dxa"/>
            <w:tcBorders>
              <w:top w:val="single" w:sz="4" w:space="0" w:color="auto"/>
              <w:left w:val="nil"/>
              <w:bottom w:val="single" w:sz="4" w:space="0" w:color="auto"/>
              <w:right w:val="nil"/>
            </w:tcBorders>
            <w:noWrap/>
            <w:vAlign w:val="bottom"/>
          </w:tcPr>
          <w:p w14:paraId="62FB70B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Inhibicija (%)</w:t>
            </w:r>
          </w:p>
        </w:tc>
        <w:tc>
          <w:tcPr>
            <w:tcW w:w="857" w:type="dxa"/>
            <w:tcBorders>
              <w:top w:val="single" w:sz="4" w:space="0" w:color="auto"/>
              <w:left w:val="nil"/>
              <w:bottom w:val="single" w:sz="4" w:space="0" w:color="auto"/>
              <w:right w:val="nil"/>
            </w:tcBorders>
            <w:noWrap/>
            <w:vAlign w:val="bottom"/>
          </w:tcPr>
          <w:p w14:paraId="63210C00"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TC (mm)</w:t>
            </w:r>
          </w:p>
        </w:tc>
        <w:tc>
          <w:tcPr>
            <w:tcW w:w="955" w:type="dxa"/>
            <w:tcBorders>
              <w:top w:val="single" w:sz="4" w:space="0" w:color="auto"/>
              <w:left w:val="nil"/>
              <w:bottom w:val="single" w:sz="4" w:space="0" w:color="auto"/>
              <w:right w:val="nil"/>
            </w:tcBorders>
            <w:noWrap/>
            <w:vAlign w:val="bottom"/>
          </w:tcPr>
          <w:p w14:paraId="05D65A2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Inhibicija (%)</w:t>
            </w:r>
          </w:p>
        </w:tc>
        <w:tc>
          <w:tcPr>
            <w:tcW w:w="935" w:type="dxa"/>
            <w:tcBorders>
              <w:top w:val="single" w:sz="4" w:space="0" w:color="auto"/>
              <w:left w:val="nil"/>
              <w:bottom w:val="single" w:sz="4" w:space="0" w:color="auto"/>
              <w:right w:val="nil"/>
            </w:tcBorders>
            <w:noWrap/>
            <w:vAlign w:val="bottom"/>
          </w:tcPr>
          <w:p w14:paraId="0B4E6C0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Cu 0.5% (mm)</w:t>
            </w:r>
          </w:p>
        </w:tc>
        <w:tc>
          <w:tcPr>
            <w:tcW w:w="1080" w:type="dxa"/>
            <w:tcBorders>
              <w:top w:val="single" w:sz="4" w:space="0" w:color="auto"/>
              <w:left w:val="nil"/>
              <w:bottom w:val="single" w:sz="4" w:space="0" w:color="auto"/>
              <w:right w:val="nil"/>
            </w:tcBorders>
            <w:noWrap/>
            <w:vAlign w:val="bottom"/>
          </w:tcPr>
          <w:p w14:paraId="5A942AA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Inhibicija (%)</w:t>
            </w:r>
          </w:p>
        </w:tc>
        <w:tc>
          <w:tcPr>
            <w:tcW w:w="990" w:type="dxa"/>
            <w:tcBorders>
              <w:top w:val="single" w:sz="4" w:space="0" w:color="auto"/>
              <w:left w:val="nil"/>
              <w:bottom w:val="single" w:sz="4" w:space="0" w:color="auto"/>
              <w:right w:val="nil"/>
            </w:tcBorders>
            <w:noWrap/>
            <w:vAlign w:val="bottom"/>
          </w:tcPr>
          <w:p w14:paraId="01353325"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Cu 0.05% (mm)</w:t>
            </w:r>
          </w:p>
        </w:tc>
        <w:tc>
          <w:tcPr>
            <w:tcW w:w="955" w:type="dxa"/>
            <w:tcBorders>
              <w:top w:val="single" w:sz="4" w:space="0" w:color="auto"/>
              <w:left w:val="nil"/>
              <w:bottom w:val="single" w:sz="4" w:space="0" w:color="auto"/>
              <w:right w:val="nil"/>
            </w:tcBorders>
            <w:noWrap/>
            <w:vAlign w:val="bottom"/>
          </w:tcPr>
          <w:p w14:paraId="70F7CA2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Inhibicija (%)</w:t>
            </w:r>
          </w:p>
        </w:tc>
        <w:tc>
          <w:tcPr>
            <w:tcW w:w="935" w:type="dxa"/>
            <w:tcBorders>
              <w:top w:val="single" w:sz="4" w:space="0" w:color="auto"/>
              <w:left w:val="nil"/>
              <w:bottom w:val="single" w:sz="4" w:space="0" w:color="auto"/>
              <w:right w:val="nil"/>
            </w:tcBorders>
            <w:noWrap/>
            <w:vAlign w:val="bottom"/>
          </w:tcPr>
          <w:p w14:paraId="6D1472AC"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K (mm)</w:t>
            </w:r>
          </w:p>
        </w:tc>
      </w:tr>
      <w:tr w:rsidR="003801E8" w14:paraId="1EDD9544" w14:textId="77777777">
        <w:trPr>
          <w:trHeight w:val="288"/>
        </w:trPr>
        <w:tc>
          <w:tcPr>
            <w:tcW w:w="897" w:type="dxa"/>
            <w:tcBorders>
              <w:top w:val="single" w:sz="4" w:space="0" w:color="auto"/>
              <w:left w:val="nil"/>
              <w:bottom w:val="nil"/>
              <w:right w:val="nil"/>
            </w:tcBorders>
            <w:noWrap/>
            <w:vAlign w:val="bottom"/>
          </w:tcPr>
          <w:p w14:paraId="001018C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P1</w:t>
            </w:r>
          </w:p>
        </w:tc>
        <w:tc>
          <w:tcPr>
            <w:tcW w:w="891" w:type="dxa"/>
            <w:tcBorders>
              <w:top w:val="single" w:sz="4" w:space="0" w:color="auto"/>
              <w:left w:val="nil"/>
              <w:bottom w:val="nil"/>
              <w:right w:val="nil"/>
            </w:tcBorders>
            <w:noWrap/>
            <w:vAlign w:val="bottom"/>
          </w:tcPr>
          <w:p w14:paraId="0493618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25</w:t>
            </w:r>
          </w:p>
        </w:tc>
        <w:tc>
          <w:tcPr>
            <w:tcW w:w="955" w:type="dxa"/>
            <w:tcBorders>
              <w:top w:val="single" w:sz="4" w:space="0" w:color="auto"/>
              <w:left w:val="nil"/>
              <w:bottom w:val="nil"/>
              <w:right w:val="nil"/>
            </w:tcBorders>
            <w:noWrap/>
            <w:vAlign w:val="bottom"/>
          </w:tcPr>
          <w:p w14:paraId="2510A28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32.43%</w:t>
            </w:r>
          </w:p>
        </w:tc>
        <w:tc>
          <w:tcPr>
            <w:tcW w:w="857" w:type="dxa"/>
            <w:tcBorders>
              <w:top w:val="single" w:sz="4" w:space="0" w:color="auto"/>
              <w:left w:val="nil"/>
              <w:bottom w:val="nil"/>
              <w:right w:val="nil"/>
            </w:tcBorders>
            <w:noWrap/>
            <w:vAlign w:val="bottom"/>
          </w:tcPr>
          <w:p w14:paraId="0A38D90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w:t>
            </w:r>
          </w:p>
        </w:tc>
        <w:tc>
          <w:tcPr>
            <w:tcW w:w="955" w:type="dxa"/>
            <w:tcBorders>
              <w:top w:val="single" w:sz="4" w:space="0" w:color="auto"/>
              <w:left w:val="nil"/>
              <w:bottom w:val="nil"/>
              <w:right w:val="nil"/>
            </w:tcBorders>
            <w:noWrap/>
            <w:vAlign w:val="bottom"/>
          </w:tcPr>
          <w:p w14:paraId="41EBA99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72.97%</w:t>
            </w:r>
          </w:p>
        </w:tc>
        <w:tc>
          <w:tcPr>
            <w:tcW w:w="935" w:type="dxa"/>
            <w:tcBorders>
              <w:top w:val="single" w:sz="4" w:space="0" w:color="auto"/>
              <w:left w:val="nil"/>
              <w:bottom w:val="nil"/>
              <w:right w:val="nil"/>
            </w:tcBorders>
            <w:noWrap/>
            <w:vAlign w:val="bottom"/>
          </w:tcPr>
          <w:p w14:paraId="08D5752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1080" w:type="dxa"/>
            <w:tcBorders>
              <w:top w:val="single" w:sz="4" w:space="0" w:color="auto"/>
              <w:left w:val="nil"/>
              <w:bottom w:val="nil"/>
              <w:right w:val="nil"/>
            </w:tcBorders>
            <w:noWrap/>
            <w:vAlign w:val="bottom"/>
          </w:tcPr>
          <w:p w14:paraId="7FFBF93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990" w:type="dxa"/>
            <w:tcBorders>
              <w:top w:val="single" w:sz="4" w:space="0" w:color="auto"/>
              <w:left w:val="nil"/>
              <w:bottom w:val="nil"/>
              <w:right w:val="nil"/>
            </w:tcBorders>
            <w:noWrap/>
            <w:vAlign w:val="bottom"/>
          </w:tcPr>
          <w:p w14:paraId="0095691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25.5</w:t>
            </w:r>
          </w:p>
        </w:tc>
        <w:tc>
          <w:tcPr>
            <w:tcW w:w="955" w:type="dxa"/>
            <w:tcBorders>
              <w:top w:val="single" w:sz="4" w:space="0" w:color="auto"/>
              <w:left w:val="nil"/>
              <w:bottom w:val="nil"/>
              <w:right w:val="nil"/>
            </w:tcBorders>
            <w:noWrap/>
            <w:vAlign w:val="bottom"/>
          </w:tcPr>
          <w:p w14:paraId="7EEE29D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31.08%</w:t>
            </w:r>
          </w:p>
        </w:tc>
        <w:tc>
          <w:tcPr>
            <w:tcW w:w="935" w:type="dxa"/>
            <w:tcBorders>
              <w:top w:val="single" w:sz="4" w:space="0" w:color="auto"/>
              <w:left w:val="nil"/>
              <w:bottom w:val="nil"/>
              <w:right w:val="nil"/>
            </w:tcBorders>
            <w:noWrap/>
            <w:vAlign w:val="bottom"/>
          </w:tcPr>
          <w:p w14:paraId="11C71E2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37</w:t>
            </w:r>
          </w:p>
        </w:tc>
      </w:tr>
      <w:tr w:rsidR="003801E8" w14:paraId="25EB7602" w14:textId="77777777">
        <w:trPr>
          <w:trHeight w:val="288"/>
        </w:trPr>
        <w:tc>
          <w:tcPr>
            <w:tcW w:w="897" w:type="dxa"/>
            <w:tcBorders>
              <w:top w:val="nil"/>
              <w:left w:val="nil"/>
              <w:bottom w:val="nil"/>
              <w:right w:val="nil"/>
            </w:tcBorders>
            <w:noWrap/>
            <w:vAlign w:val="bottom"/>
          </w:tcPr>
          <w:p w14:paraId="35B4214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P1</w:t>
            </w:r>
          </w:p>
        </w:tc>
        <w:tc>
          <w:tcPr>
            <w:tcW w:w="891" w:type="dxa"/>
            <w:tcBorders>
              <w:top w:val="nil"/>
              <w:left w:val="nil"/>
              <w:bottom w:val="nil"/>
              <w:right w:val="nil"/>
            </w:tcBorders>
            <w:noWrap/>
            <w:vAlign w:val="bottom"/>
          </w:tcPr>
          <w:p w14:paraId="5A6D76E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23.5</w:t>
            </w:r>
          </w:p>
        </w:tc>
        <w:tc>
          <w:tcPr>
            <w:tcW w:w="955" w:type="dxa"/>
            <w:tcBorders>
              <w:top w:val="nil"/>
              <w:left w:val="nil"/>
              <w:bottom w:val="nil"/>
              <w:right w:val="nil"/>
            </w:tcBorders>
            <w:noWrap/>
            <w:vAlign w:val="bottom"/>
          </w:tcPr>
          <w:p w14:paraId="3476B0F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38.16%</w:t>
            </w:r>
          </w:p>
        </w:tc>
        <w:tc>
          <w:tcPr>
            <w:tcW w:w="857" w:type="dxa"/>
            <w:tcBorders>
              <w:top w:val="nil"/>
              <w:left w:val="nil"/>
              <w:bottom w:val="nil"/>
              <w:right w:val="nil"/>
            </w:tcBorders>
            <w:noWrap/>
            <w:vAlign w:val="bottom"/>
          </w:tcPr>
          <w:p w14:paraId="4870C18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12</w:t>
            </w:r>
          </w:p>
        </w:tc>
        <w:tc>
          <w:tcPr>
            <w:tcW w:w="955" w:type="dxa"/>
            <w:tcBorders>
              <w:top w:val="nil"/>
              <w:left w:val="nil"/>
              <w:bottom w:val="nil"/>
              <w:right w:val="nil"/>
            </w:tcBorders>
            <w:noWrap/>
            <w:vAlign w:val="bottom"/>
          </w:tcPr>
          <w:p w14:paraId="28BD86A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68.42%</w:t>
            </w:r>
          </w:p>
        </w:tc>
        <w:tc>
          <w:tcPr>
            <w:tcW w:w="935" w:type="dxa"/>
            <w:tcBorders>
              <w:top w:val="nil"/>
              <w:left w:val="nil"/>
              <w:bottom w:val="nil"/>
              <w:right w:val="nil"/>
            </w:tcBorders>
            <w:noWrap/>
            <w:vAlign w:val="bottom"/>
          </w:tcPr>
          <w:p w14:paraId="09E28A8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1080" w:type="dxa"/>
            <w:tcBorders>
              <w:top w:val="nil"/>
              <w:left w:val="nil"/>
              <w:bottom w:val="nil"/>
              <w:right w:val="nil"/>
            </w:tcBorders>
            <w:noWrap/>
            <w:vAlign w:val="bottom"/>
          </w:tcPr>
          <w:p w14:paraId="52E863A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990" w:type="dxa"/>
            <w:tcBorders>
              <w:top w:val="nil"/>
              <w:left w:val="nil"/>
              <w:bottom w:val="nil"/>
              <w:right w:val="nil"/>
            </w:tcBorders>
            <w:noWrap/>
            <w:vAlign w:val="bottom"/>
          </w:tcPr>
          <w:p w14:paraId="38441A5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24.5</w:t>
            </w:r>
          </w:p>
        </w:tc>
        <w:tc>
          <w:tcPr>
            <w:tcW w:w="955" w:type="dxa"/>
            <w:tcBorders>
              <w:top w:val="nil"/>
              <w:left w:val="nil"/>
              <w:bottom w:val="nil"/>
              <w:right w:val="nil"/>
            </w:tcBorders>
            <w:noWrap/>
            <w:vAlign w:val="bottom"/>
          </w:tcPr>
          <w:p w14:paraId="27B3748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35.53%</w:t>
            </w:r>
          </w:p>
        </w:tc>
        <w:tc>
          <w:tcPr>
            <w:tcW w:w="935" w:type="dxa"/>
            <w:tcBorders>
              <w:top w:val="nil"/>
              <w:left w:val="nil"/>
              <w:bottom w:val="nil"/>
              <w:right w:val="nil"/>
            </w:tcBorders>
            <w:noWrap/>
            <w:vAlign w:val="bottom"/>
          </w:tcPr>
          <w:p w14:paraId="2A8AB26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38</w:t>
            </w:r>
          </w:p>
        </w:tc>
      </w:tr>
      <w:tr w:rsidR="003801E8" w14:paraId="2D794C86" w14:textId="77777777">
        <w:trPr>
          <w:trHeight w:val="288"/>
        </w:trPr>
        <w:tc>
          <w:tcPr>
            <w:tcW w:w="897" w:type="dxa"/>
            <w:tcBorders>
              <w:top w:val="nil"/>
              <w:left w:val="nil"/>
              <w:bottom w:val="nil"/>
              <w:right w:val="nil"/>
            </w:tcBorders>
            <w:noWrap/>
            <w:vAlign w:val="bottom"/>
          </w:tcPr>
          <w:p w14:paraId="551AFAF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P1</w:t>
            </w:r>
          </w:p>
        </w:tc>
        <w:tc>
          <w:tcPr>
            <w:tcW w:w="891" w:type="dxa"/>
            <w:tcBorders>
              <w:top w:val="nil"/>
              <w:left w:val="nil"/>
              <w:bottom w:val="nil"/>
              <w:right w:val="nil"/>
            </w:tcBorders>
            <w:noWrap/>
            <w:vAlign w:val="bottom"/>
          </w:tcPr>
          <w:p w14:paraId="071B10E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26</w:t>
            </w:r>
          </w:p>
        </w:tc>
        <w:tc>
          <w:tcPr>
            <w:tcW w:w="955" w:type="dxa"/>
            <w:tcBorders>
              <w:top w:val="nil"/>
              <w:left w:val="nil"/>
              <w:bottom w:val="nil"/>
              <w:right w:val="nil"/>
            </w:tcBorders>
            <w:noWrap/>
            <w:vAlign w:val="bottom"/>
          </w:tcPr>
          <w:p w14:paraId="34643DB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35.80%</w:t>
            </w:r>
          </w:p>
        </w:tc>
        <w:tc>
          <w:tcPr>
            <w:tcW w:w="857" w:type="dxa"/>
            <w:tcBorders>
              <w:top w:val="nil"/>
              <w:left w:val="nil"/>
              <w:bottom w:val="nil"/>
              <w:right w:val="nil"/>
            </w:tcBorders>
            <w:noWrap/>
            <w:vAlign w:val="bottom"/>
          </w:tcPr>
          <w:p w14:paraId="04A0807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11</w:t>
            </w:r>
          </w:p>
        </w:tc>
        <w:tc>
          <w:tcPr>
            <w:tcW w:w="955" w:type="dxa"/>
            <w:tcBorders>
              <w:top w:val="nil"/>
              <w:left w:val="nil"/>
              <w:bottom w:val="nil"/>
              <w:right w:val="nil"/>
            </w:tcBorders>
            <w:noWrap/>
            <w:vAlign w:val="bottom"/>
          </w:tcPr>
          <w:p w14:paraId="1C6DB0D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72.84%</w:t>
            </w:r>
          </w:p>
        </w:tc>
        <w:tc>
          <w:tcPr>
            <w:tcW w:w="935" w:type="dxa"/>
            <w:tcBorders>
              <w:top w:val="nil"/>
              <w:left w:val="nil"/>
              <w:bottom w:val="nil"/>
              <w:right w:val="nil"/>
            </w:tcBorders>
            <w:noWrap/>
            <w:vAlign w:val="bottom"/>
          </w:tcPr>
          <w:p w14:paraId="3726373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1080" w:type="dxa"/>
            <w:tcBorders>
              <w:top w:val="nil"/>
              <w:left w:val="nil"/>
              <w:bottom w:val="nil"/>
              <w:right w:val="nil"/>
            </w:tcBorders>
            <w:noWrap/>
            <w:vAlign w:val="bottom"/>
          </w:tcPr>
          <w:p w14:paraId="502136A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990" w:type="dxa"/>
            <w:tcBorders>
              <w:top w:val="nil"/>
              <w:left w:val="nil"/>
              <w:bottom w:val="nil"/>
              <w:right w:val="nil"/>
            </w:tcBorders>
            <w:noWrap/>
            <w:vAlign w:val="bottom"/>
          </w:tcPr>
          <w:p w14:paraId="2539D62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25.5</w:t>
            </w:r>
          </w:p>
        </w:tc>
        <w:tc>
          <w:tcPr>
            <w:tcW w:w="955" w:type="dxa"/>
            <w:tcBorders>
              <w:top w:val="nil"/>
              <w:left w:val="nil"/>
              <w:bottom w:val="nil"/>
              <w:right w:val="nil"/>
            </w:tcBorders>
            <w:noWrap/>
            <w:vAlign w:val="bottom"/>
          </w:tcPr>
          <w:p w14:paraId="36D9157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37.04%</w:t>
            </w:r>
          </w:p>
        </w:tc>
        <w:tc>
          <w:tcPr>
            <w:tcW w:w="935" w:type="dxa"/>
            <w:tcBorders>
              <w:top w:val="nil"/>
              <w:left w:val="nil"/>
              <w:bottom w:val="nil"/>
              <w:right w:val="nil"/>
            </w:tcBorders>
            <w:noWrap/>
            <w:vAlign w:val="bottom"/>
          </w:tcPr>
          <w:p w14:paraId="411A6AA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40.5</w:t>
            </w:r>
          </w:p>
        </w:tc>
      </w:tr>
      <w:tr w:rsidR="003801E8" w14:paraId="78B69F25" w14:textId="77777777">
        <w:trPr>
          <w:trHeight w:val="288"/>
        </w:trPr>
        <w:tc>
          <w:tcPr>
            <w:tcW w:w="897" w:type="dxa"/>
            <w:tcBorders>
              <w:top w:val="nil"/>
              <w:left w:val="nil"/>
              <w:bottom w:val="nil"/>
              <w:right w:val="nil"/>
            </w:tcBorders>
            <w:noWrap/>
            <w:vAlign w:val="bottom"/>
          </w:tcPr>
          <w:p w14:paraId="217986B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P1</w:t>
            </w:r>
          </w:p>
        </w:tc>
        <w:tc>
          <w:tcPr>
            <w:tcW w:w="891" w:type="dxa"/>
            <w:tcBorders>
              <w:top w:val="nil"/>
              <w:left w:val="nil"/>
              <w:bottom w:val="nil"/>
              <w:right w:val="nil"/>
            </w:tcBorders>
            <w:noWrap/>
            <w:vAlign w:val="bottom"/>
          </w:tcPr>
          <w:p w14:paraId="4E31489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27</w:t>
            </w:r>
          </w:p>
        </w:tc>
        <w:tc>
          <w:tcPr>
            <w:tcW w:w="955" w:type="dxa"/>
            <w:tcBorders>
              <w:top w:val="nil"/>
              <w:left w:val="nil"/>
              <w:bottom w:val="nil"/>
              <w:right w:val="nil"/>
            </w:tcBorders>
            <w:noWrap/>
            <w:vAlign w:val="bottom"/>
          </w:tcPr>
          <w:p w14:paraId="53BA67E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34.15%</w:t>
            </w:r>
          </w:p>
        </w:tc>
        <w:tc>
          <w:tcPr>
            <w:tcW w:w="857" w:type="dxa"/>
            <w:tcBorders>
              <w:top w:val="nil"/>
              <w:left w:val="nil"/>
              <w:bottom w:val="nil"/>
              <w:right w:val="nil"/>
            </w:tcBorders>
            <w:noWrap/>
            <w:vAlign w:val="bottom"/>
          </w:tcPr>
          <w:p w14:paraId="312FDDD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w:t>
            </w:r>
          </w:p>
        </w:tc>
        <w:tc>
          <w:tcPr>
            <w:tcW w:w="955" w:type="dxa"/>
            <w:tcBorders>
              <w:top w:val="nil"/>
              <w:left w:val="nil"/>
              <w:bottom w:val="nil"/>
              <w:right w:val="nil"/>
            </w:tcBorders>
            <w:noWrap/>
            <w:vAlign w:val="bottom"/>
          </w:tcPr>
          <w:p w14:paraId="145F007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80.49%</w:t>
            </w:r>
          </w:p>
        </w:tc>
        <w:tc>
          <w:tcPr>
            <w:tcW w:w="935" w:type="dxa"/>
            <w:tcBorders>
              <w:top w:val="nil"/>
              <w:left w:val="nil"/>
              <w:bottom w:val="nil"/>
              <w:right w:val="nil"/>
            </w:tcBorders>
            <w:noWrap/>
            <w:vAlign w:val="bottom"/>
          </w:tcPr>
          <w:p w14:paraId="1BA189E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1080" w:type="dxa"/>
            <w:tcBorders>
              <w:top w:val="nil"/>
              <w:left w:val="nil"/>
              <w:bottom w:val="nil"/>
              <w:right w:val="nil"/>
            </w:tcBorders>
            <w:noWrap/>
            <w:vAlign w:val="bottom"/>
          </w:tcPr>
          <w:p w14:paraId="1F34575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990" w:type="dxa"/>
            <w:tcBorders>
              <w:top w:val="nil"/>
              <w:left w:val="nil"/>
              <w:bottom w:val="nil"/>
              <w:right w:val="nil"/>
            </w:tcBorders>
            <w:noWrap/>
            <w:vAlign w:val="bottom"/>
          </w:tcPr>
          <w:p w14:paraId="3608223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22.5</w:t>
            </w:r>
          </w:p>
        </w:tc>
        <w:tc>
          <w:tcPr>
            <w:tcW w:w="955" w:type="dxa"/>
            <w:tcBorders>
              <w:top w:val="nil"/>
              <w:left w:val="nil"/>
              <w:bottom w:val="nil"/>
              <w:right w:val="nil"/>
            </w:tcBorders>
            <w:noWrap/>
            <w:vAlign w:val="bottom"/>
          </w:tcPr>
          <w:p w14:paraId="7116526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45.12%</w:t>
            </w:r>
          </w:p>
        </w:tc>
        <w:tc>
          <w:tcPr>
            <w:tcW w:w="935" w:type="dxa"/>
            <w:tcBorders>
              <w:top w:val="nil"/>
              <w:left w:val="nil"/>
              <w:bottom w:val="nil"/>
              <w:right w:val="nil"/>
            </w:tcBorders>
            <w:noWrap/>
            <w:vAlign w:val="bottom"/>
          </w:tcPr>
          <w:p w14:paraId="0063336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41</w:t>
            </w:r>
          </w:p>
        </w:tc>
      </w:tr>
      <w:tr w:rsidR="003801E8" w14:paraId="73EA9A40" w14:textId="77777777">
        <w:trPr>
          <w:trHeight w:val="288"/>
        </w:trPr>
        <w:tc>
          <w:tcPr>
            <w:tcW w:w="897" w:type="dxa"/>
            <w:tcBorders>
              <w:top w:val="nil"/>
              <w:left w:val="nil"/>
              <w:bottom w:val="nil"/>
              <w:right w:val="nil"/>
            </w:tcBorders>
            <w:noWrap/>
            <w:vAlign w:val="bottom"/>
          </w:tcPr>
          <w:p w14:paraId="1104544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P2</w:t>
            </w:r>
          </w:p>
        </w:tc>
        <w:tc>
          <w:tcPr>
            <w:tcW w:w="891" w:type="dxa"/>
            <w:tcBorders>
              <w:top w:val="nil"/>
              <w:left w:val="nil"/>
              <w:bottom w:val="nil"/>
              <w:right w:val="nil"/>
            </w:tcBorders>
            <w:noWrap/>
            <w:vAlign w:val="bottom"/>
          </w:tcPr>
          <w:p w14:paraId="6E21864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24</w:t>
            </w:r>
          </w:p>
        </w:tc>
        <w:tc>
          <w:tcPr>
            <w:tcW w:w="955" w:type="dxa"/>
            <w:tcBorders>
              <w:top w:val="nil"/>
              <w:left w:val="nil"/>
              <w:bottom w:val="nil"/>
              <w:right w:val="nil"/>
            </w:tcBorders>
            <w:noWrap/>
            <w:vAlign w:val="bottom"/>
          </w:tcPr>
          <w:p w14:paraId="172A0A6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42.86%</w:t>
            </w:r>
          </w:p>
        </w:tc>
        <w:tc>
          <w:tcPr>
            <w:tcW w:w="857" w:type="dxa"/>
            <w:tcBorders>
              <w:top w:val="nil"/>
              <w:left w:val="nil"/>
              <w:bottom w:val="nil"/>
              <w:right w:val="nil"/>
            </w:tcBorders>
            <w:noWrap/>
            <w:vAlign w:val="bottom"/>
          </w:tcPr>
          <w:p w14:paraId="42DD970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9</w:t>
            </w:r>
          </w:p>
        </w:tc>
        <w:tc>
          <w:tcPr>
            <w:tcW w:w="955" w:type="dxa"/>
            <w:tcBorders>
              <w:top w:val="nil"/>
              <w:left w:val="nil"/>
              <w:bottom w:val="nil"/>
              <w:right w:val="nil"/>
            </w:tcBorders>
            <w:noWrap/>
            <w:vAlign w:val="bottom"/>
          </w:tcPr>
          <w:p w14:paraId="49F8260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78.57%</w:t>
            </w:r>
          </w:p>
        </w:tc>
        <w:tc>
          <w:tcPr>
            <w:tcW w:w="935" w:type="dxa"/>
            <w:tcBorders>
              <w:top w:val="nil"/>
              <w:left w:val="nil"/>
              <w:bottom w:val="nil"/>
              <w:right w:val="nil"/>
            </w:tcBorders>
            <w:noWrap/>
            <w:vAlign w:val="bottom"/>
          </w:tcPr>
          <w:p w14:paraId="4FD7109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1080" w:type="dxa"/>
            <w:tcBorders>
              <w:top w:val="nil"/>
              <w:left w:val="nil"/>
              <w:bottom w:val="nil"/>
              <w:right w:val="nil"/>
            </w:tcBorders>
            <w:noWrap/>
            <w:vAlign w:val="bottom"/>
          </w:tcPr>
          <w:p w14:paraId="08A43FF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990" w:type="dxa"/>
            <w:tcBorders>
              <w:top w:val="nil"/>
              <w:left w:val="nil"/>
              <w:bottom w:val="nil"/>
              <w:right w:val="nil"/>
            </w:tcBorders>
            <w:noWrap/>
            <w:vAlign w:val="bottom"/>
          </w:tcPr>
          <w:p w14:paraId="203752D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24.5</w:t>
            </w:r>
          </w:p>
        </w:tc>
        <w:tc>
          <w:tcPr>
            <w:tcW w:w="955" w:type="dxa"/>
            <w:tcBorders>
              <w:top w:val="nil"/>
              <w:left w:val="nil"/>
              <w:bottom w:val="nil"/>
              <w:right w:val="nil"/>
            </w:tcBorders>
            <w:noWrap/>
            <w:vAlign w:val="bottom"/>
          </w:tcPr>
          <w:p w14:paraId="0571764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41.67%</w:t>
            </w:r>
          </w:p>
        </w:tc>
        <w:tc>
          <w:tcPr>
            <w:tcW w:w="935" w:type="dxa"/>
            <w:tcBorders>
              <w:top w:val="nil"/>
              <w:left w:val="nil"/>
              <w:bottom w:val="nil"/>
              <w:right w:val="nil"/>
            </w:tcBorders>
            <w:noWrap/>
            <w:vAlign w:val="bottom"/>
          </w:tcPr>
          <w:p w14:paraId="6CD2F41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42</w:t>
            </w:r>
          </w:p>
        </w:tc>
      </w:tr>
      <w:tr w:rsidR="003801E8" w14:paraId="6D6F1FE8" w14:textId="77777777">
        <w:trPr>
          <w:trHeight w:val="288"/>
        </w:trPr>
        <w:tc>
          <w:tcPr>
            <w:tcW w:w="897" w:type="dxa"/>
            <w:tcBorders>
              <w:top w:val="nil"/>
              <w:left w:val="nil"/>
              <w:bottom w:val="nil"/>
              <w:right w:val="nil"/>
            </w:tcBorders>
            <w:noWrap/>
            <w:vAlign w:val="bottom"/>
          </w:tcPr>
          <w:p w14:paraId="0A2C742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P2</w:t>
            </w:r>
          </w:p>
        </w:tc>
        <w:tc>
          <w:tcPr>
            <w:tcW w:w="891" w:type="dxa"/>
            <w:tcBorders>
              <w:top w:val="nil"/>
              <w:left w:val="nil"/>
              <w:bottom w:val="nil"/>
              <w:right w:val="nil"/>
            </w:tcBorders>
            <w:noWrap/>
            <w:vAlign w:val="bottom"/>
          </w:tcPr>
          <w:p w14:paraId="66719D9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22</w:t>
            </w:r>
          </w:p>
        </w:tc>
        <w:tc>
          <w:tcPr>
            <w:tcW w:w="955" w:type="dxa"/>
            <w:tcBorders>
              <w:top w:val="nil"/>
              <w:left w:val="nil"/>
              <w:bottom w:val="nil"/>
              <w:right w:val="nil"/>
            </w:tcBorders>
            <w:noWrap/>
            <w:vAlign w:val="bottom"/>
          </w:tcPr>
          <w:p w14:paraId="2FB883E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42.86%</w:t>
            </w:r>
          </w:p>
        </w:tc>
        <w:tc>
          <w:tcPr>
            <w:tcW w:w="857" w:type="dxa"/>
            <w:tcBorders>
              <w:top w:val="nil"/>
              <w:left w:val="nil"/>
              <w:bottom w:val="nil"/>
              <w:right w:val="nil"/>
            </w:tcBorders>
            <w:noWrap/>
            <w:vAlign w:val="bottom"/>
          </w:tcPr>
          <w:p w14:paraId="54A7FB2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11</w:t>
            </w:r>
          </w:p>
        </w:tc>
        <w:tc>
          <w:tcPr>
            <w:tcW w:w="955" w:type="dxa"/>
            <w:tcBorders>
              <w:top w:val="nil"/>
              <w:left w:val="nil"/>
              <w:bottom w:val="nil"/>
              <w:right w:val="nil"/>
            </w:tcBorders>
            <w:noWrap/>
            <w:vAlign w:val="bottom"/>
          </w:tcPr>
          <w:p w14:paraId="4B5B95C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71.43%</w:t>
            </w:r>
          </w:p>
        </w:tc>
        <w:tc>
          <w:tcPr>
            <w:tcW w:w="935" w:type="dxa"/>
            <w:tcBorders>
              <w:top w:val="nil"/>
              <w:left w:val="nil"/>
              <w:bottom w:val="nil"/>
              <w:right w:val="nil"/>
            </w:tcBorders>
            <w:noWrap/>
            <w:vAlign w:val="bottom"/>
          </w:tcPr>
          <w:p w14:paraId="138F035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1080" w:type="dxa"/>
            <w:tcBorders>
              <w:top w:val="nil"/>
              <w:left w:val="nil"/>
              <w:bottom w:val="nil"/>
              <w:right w:val="nil"/>
            </w:tcBorders>
            <w:noWrap/>
            <w:vAlign w:val="bottom"/>
          </w:tcPr>
          <w:p w14:paraId="707FCB9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990" w:type="dxa"/>
            <w:tcBorders>
              <w:top w:val="nil"/>
              <w:left w:val="nil"/>
              <w:bottom w:val="nil"/>
              <w:right w:val="nil"/>
            </w:tcBorders>
            <w:noWrap/>
            <w:vAlign w:val="bottom"/>
          </w:tcPr>
          <w:p w14:paraId="71B329E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27</w:t>
            </w:r>
          </w:p>
        </w:tc>
        <w:tc>
          <w:tcPr>
            <w:tcW w:w="955" w:type="dxa"/>
            <w:tcBorders>
              <w:top w:val="nil"/>
              <w:left w:val="nil"/>
              <w:bottom w:val="nil"/>
              <w:right w:val="nil"/>
            </w:tcBorders>
            <w:noWrap/>
            <w:vAlign w:val="bottom"/>
          </w:tcPr>
          <w:p w14:paraId="015BD4C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29.87%</w:t>
            </w:r>
          </w:p>
        </w:tc>
        <w:tc>
          <w:tcPr>
            <w:tcW w:w="935" w:type="dxa"/>
            <w:tcBorders>
              <w:top w:val="nil"/>
              <w:left w:val="nil"/>
              <w:bottom w:val="nil"/>
              <w:right w:val="nil"/>
            </w:tcBorders>
            <w:noWrap/>
            <w:vAlign w:val="bottom"/>
          </w:tcPr>
          <w:p w14:paraId="3AFF410B"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38.5</w:t>
            </w:r>
          </w:p>
        </w:tc>
      </w:tr>
      <w:tr w:rsidR="003801E8" w14:paraId="3BD8F83B" w14:textId="77777777">
        <w:trPr>
          <w:trHeight w:val="288"/>
        </w:trPr>
        <w:tc>
          <w:tcPr>
            <w:tcW w:w="897" w:type="dxa"/>
            <w:tcBorders>
              <w:top w:val="nil"/>
              <w:left w:val="nil"/>
              <w:bottom w:val="nil"/>
              <w:right w:val="nil"/>
            </w:tcBorders>
            <w:noWrap/>
            <w:vAlign w:val="bottom"/>
          </w:tcPr>
          <w:p w14:paraId="5B27F59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P2</w:t>
            </w:r>
          </w:p>
        </w:tc>
        <w:tc>
          <w:tcPr>
            <w:tcW w:w="891" w:type="dxa"/>
            <w:tcBorders>
              <w:top w:val="nil"/>
              <w:left w:val="nil"/>
              <w:bottom w:val="nil"/>
              <w:right w:val="nil"/>
            </w:tcBorders>
            <w:noWrap/>
            <w:vAlign w:val="bottom"/>
          </w:tcPr>
          <w:p w14:paraId="2704F0A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26</w:t>
            </w:r>
          </w:p>
        </w:tc>
        <w:tc>
          <w:tcPr>
            <w:tcW w:w="955" w:type="dxa"/>
            <w:tcBorders>
              <w:top w:val="nil"/>
              <w:left w:val="nil"/>
              <w:bottom w:val="nil"/>
              <w:right w:val="nil"/>
            </w:tcBorders>
            <w:noWrap/>
            <w:vAlign w:val="bottom"/>
          </w:tcPr>
          <w:p w14:paraId="03901D5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29.73%</w:t>
            </w:r>
          </w:p>
        </w:tc>
        <w:tc>
          <w:tcPr>
            <w:tcW w:w="857" w:type="dxa"/>
            <w:tcBorders>
              <w:top w:val="nil"/>
              <w:left w:val="nil"/>
              <w:bottom w:val="nil"/>
              <w:right w:val="nil"/>
            </w:tcBorders>
            <w:noWrap/>
            <w:vAlign w:val="bottom"/>
          </w:tcPr>
          <w:p w14:paraId="4AC3608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9</w:t>
            </w:r>
          </w:p>
        </w:tc>
        <w:tc>
          <w:tcPr>
            <w:tcW w:w="955" w:type="dxa"/>
            <w:tcBorders>
              <w:top w:val="nil"/>
              <w:left w:val="nil"/>
              <w:bottom w:val="nil"/>
              <w:right w:val="nil"/>
            </w:tcBorders>
            <w:noWrap/>
            <w:vAlign w:val="bottom"/>
          </w:tcPr>
          <w:p w14:paraId="445C3DB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75.68%</w:t>
            </w:r>
          </w:p>
        </w:tc>
        <w:tc>
          <w:tcPr>
            <w:tcW w:w="935" w:type="dxa"/>
            <w:tcBorders>
              <w:top w:val="nil"/>
              <w:left w:val="nil"/>
              <w:bottom w:val="nil"/>
              <w:right w:val="nil"/>
            </w:tcBorders>
            <w:noWrap/>
            <w:vAlign w:val="bottom"/>
          </w:tcPr>
          <w:p w14:paraId="21B97C2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1080" w:type="dxa"/>
            <w:tcBorders>
              <w:top w:val="nil"/>
              <w:left w:val="nil"/>
              <w:bottom w:val="nil"/>
              <w:right w:val="nil"/>
            </w:tcBorders>
            <w:noWrap/>
            <w:vAlign w:val="bottom"/>
          </w:tcPr>
          <w:p w14:paraId="63DD1E7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990" w:type="dxa"/>
            <w:tcBorders>
              <w:top w:val="nil"/>
              <w:left w:val="nil"/>
              <w:bottom w:val="nil"/>
              <w:right w:val="nil"/>
            </w:tcBorders>
            <w:noWrap/>
            <w:vAlign w:val="bottom"/>
          </w:tcPr>
          <w:p w14:paraId="34E59DF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28</w:t>
            </w:r>
          </w:p>
        </w:tc>
        <w:tc>
          <w:tcPr>
            <w:tcW w:w="955" w:type="dxa"/>
            <w:tcBorders>
              <w:top w:val="nil"/>
              <w:left w:val="nil"/>
              <w:bottom w:val="nil"/>
              <w:right w:val="nil"/>
            </w:tcBorders>
            <w:noWrap/>
            <w:vAlign w:val="bottom"/>
          </w:tcPr>
          <w:p w14:paraId="67E98FB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24.32%</w:t>
            </w:r>
          </w:p>
        </w:tc>
        <w:tc>
          <w:tcPr>
            <w:tcW w:w="935" w:type="dxa"/>
            <w:tcBorders>
              <w:top w:val="nil"/>
              <w:left w:val="nil"/>
              <w:bottom w:val="nil"/>
              <w:right w:val="nil"/>
            </w:tcBorders>
            <w:noWrap/>
            <w:vAlign w:val="bottom"/>
          </w:tcPr>
          <w:p w14:paraId="063BB69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37</w:t>
            </w:r>
          </w:p>
        </w:tc>
      </w:tr>
      <w:tr w:rsidR="003801E8" w14:paraId="4AD9BA98" w14:textId="77777777">
        <w:trPr>
          <w:trHeight w:val="288"/>
        </w:trPr>
        <w:tc>
          <w:tcPr>
            <w:tcW w:w="897" w:type="dxa"/>
            <w:tcBorders>
              <w:top w:val="nil"/>
              <w:left w:val="nil"/>
              <w:bottom w:val="nil"/>
              <w:right w:val="nil"/>
            </w:tcBorders>
            <w:noWrap/>
            <w:vAlign w:val="bottom"/>
          </w:tcPr>
          <w:p w14:paraId="0DB7B17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P2</w:t>
            </w:r>
          </w:p>
        </w:tc>
        <w:tc>
          <w:tcPr>
            <w:tcW w:w="891" w:type="dxa"/>
            <w:tcBorders>
              <w:top w:val="nil"/>
              <w:left w:val="nil"/>
              <w:bottom w:val="nil"/>
              <w:right w:val="nil"/>
            </w:tcBorders>
            <w:noWrap/>
            <w:vAlign w:val="bottom"/>
          </w:tcPr>
          <w:p w14:paraId="5B1F3D3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24.5</w:t>
            </w:r>
          </w:p>
        </w:tc>
        <w:tc>
          <w:tcPr>
            <w:tcW w:w="955" w:type="dxa"/>
            <w:tcBorders>
              <w:top w:val="nil"/>
              <w:left w:val="nil"/>
              <w:bottom w:val="nil"/>
              <w:right w:val="nil"/>
            </w:tcBorders>
            <w:noWrap/>
            <w:vAlign w:val="bottom"/>
          </w:tcPr>
          <w:p w14:paraId="587CB99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30.00%</w:t>
            </w:r>
          </w:p>
        </w:tc>
        <w:tc>
          <w:tcPr>
            <w:tcW w:w="857" w:type="dxa"/>
            <w:tcBorders>
              <w:top w:val="nil"/>
              <w:left w:val="nil"/>
              <w:bottom w:val="nil"/>
              <w:right w:val="nil"/>
            </w:tcBorders>
            <w:noWrap/>
            <w:vAlign w:val="bottom"/>
          </w:tcPr>
          <w:p w14:paraId="43E9397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w:t>
            </w:r>
          </w:p>
        </w:tc>
        <w:tc>
          <w:tcPr>
            <w:tcW w:w="955" w:type="dxa"/>
            <w:tcBorders>
              <w:top w:val="nil"/>
              <w:left w:val="nil"/>
              <w:bottom w:val="nil"/>
              <w:right w:val="nil"/>
            </w:tcBorders>
            <w:noWrap/>
            <w:vAlign w:val="bottom"/>
          </w:tcPr>
          <w:p w14:paraId="654F438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80.00%</w:t>
            </w:r>
          </w:p>
        </w:tc>
        <w:tc>
          <w:tcPr>
            <w:tcW w:w="935" w:type="dxa"/>
            <w:tcBorders>
              <w:top w:val="nil"/>
              <w:left w:val="nil"/>
              <w:bottom w:val="nil"/>
              <w:right w:val="nil"/>
            </w:tcBorders>
            <w:noWrap/>
            <w:vAlign w:val="bottom"/>
          </w:tcPr>
          <w:p w14:paraId="2CDD969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1080" w:type="dxa"/>
            <w:tcBorders>
              <w:top w:val="nil"/>
              <w:left w:val="nil"/>
              <w:bottom w:val="nil"/>
              <w:right w:val="nil"/>
            </w:tcBorders>
            <w:noWrap/>
            <w:vAlign w:val="bottom"/>
          </w:tcPr>
          <w:p w14:paraId="4BE5DEF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990" w:type="dxa"/>
            <w:tcBorders>
              <w:top w:val="nil"/>
              <w:left w:val="nil"/>
              <w:bottom w:val="nil"/>
              <w:right w:val="nil"/>
            </w:tcBorders>
            <w:noWrap/>
            <w:vAlign w:val="bottom"/>
          </w:tcPr>
          <w:p w14:paraId="4CA77C9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25.5</w:t>
            </w:r>
          </w:p>
        </w:tc>
        <w:tc>
          <w:tcPr>
            <w:tcW w:w="955" w:type="dxa"/>
            <w:tcBorders>
              <w:top w:val="nil"/>
              <w:left w:val="nil"/>
              <w:bottom w:val="nil"/>
              <w:right w:val="nil"/>
            </w:tcBorders>
            <w:noWrap/>
            <w:vAlign w:val="bottom"/>
          </w:tcPr>
          <w:p w14:paraId="5063F5B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27.14%</w:t>
            </w:r>
          </w:p>
        </w:tc>
        <w:tc>
          <w:tcPr>
            <w:tcW w:w="935" w:type="dxa"/>
            <w:tcBorders>
              <w:top w:val="nil"/>
              <w:left w:val="nil"/>
              <w:bottom w:val="nil"/>
              <w:right w:val="nil"/>
            </w:tcBorders>
            <w:noWrap/>
            <w:vAlign w:val="bottom"/>
          </w:tcPr>
          <w:p w14:paraId="25D72CA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35</w:t>
            </w:r>
          </w:p>
        </w:tc>
      </w:tr>
      <w:tr w:rsidR="003801E8" w14:paraId="2F287857" w14:textId="77777777">
        <w:trPr>
          <w:trHeight w:val="288"/>
        </w:trPr>
        <w:tc>
          <w:tcPr>
            <w:tcW w:w="897" w:type="dxa"/>
            <w:tcBorders>
              <w:top w:val="nil"/>
              <w:left w:val="nil"/>
              <w:bottom w:val="nil"/>
              <w:right w:val="nil"/>
            </w:tcBorders>
            <w:noWrap/>
            <w:vAlign w:val="bottom"/>
          </w:tcPr>
          <w:p w14:paraId="1DD8399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P3</w:t>
            </w:r>
          </w:p>
        </w:tc>
        <w:tc>
          <w:tcPr>
            <w:tcW w:w="891" w:type="dxa"/>
            <w:tcBorders>
              <w:top w:val="nil"/>
              <w:left w:val="nil"/>
              <w:bottom w:val="nil"/>
              <w:right w:val="nil"/>
            </w:tcBorders>
            <w:noWrap/>
            <w:vAlign w:val="bottom"/>
          </w:tcPr>
          <w:p w14:paraId="0B25ACE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25.5</w:t>
            </w:r>
          </w:p>
        </w:tc>
        <w:tc>
          <w:tcPr>
            <w:tcW w:w="955" w:type="dxa"/>
            <w:tcBorders>
              <w:top w:val="nil"/>
              <w:left w:val="nil"/>
              <w:bottom w:val="nil"/>
              <w:right w:val="nil"/>
            </w:tcBorders>
            <w:noWrap/>
            <w:vAlign w:val="bottom"/>
          </w:tcPr>
          <w:p w14:paraId="3F65B32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40.00%</w:t>
            </w:r>
          </w:p>
        </w:tc>
        <w:tc>
          <w:tcPr>
            <w:tcW w:w="857" w:type="dxa"/>
            <w:tcBorders>
              <w:top w:val="nil"/>
              <w:left w:val="nil"/>
              <w:bottom w:val="nil"/>
              <w:right w:val="nil"/>
            </w:tcBorders>
            <w:noWrap/>
            <w:vAlign w:val="bottom"/>
          </w:tcPr>
          <w:p w14:paraId="3B96348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w:t>
            </w:r>
          </w:p>
        </w:tc>
        <w:tc>
          <w:tcPr>
            <w:tcW w:w="955" w:type="dxa"/>
            <w:tcBorders>
              <w:top w:val="nil"/>
              <w:left w:val="nil"/>
              <w:bottom w:val="nil"/>
              <w:right w:val="nil"/>
            </w:tcBorders>
            <w:noWrap/>
            <w:vAlign w:val="bottom"/>
          </w:tcPr>
          <w:p w14:paraId="0C6A380D"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83.53%</w:t>
            </w:r>
          </w:p>
        </w:tc>
        <w:tc>
          <w:tcPr>
            <w:tcW w:w="935" w:type="dxa"/>
            <w:tcBorders>
              <w:top w:val="nil"/>
              <w:left w:val="nil"/>
              <w:bottom w:val="nil"/>
              <w:right w:val="nil"/>
            </w:tcBorders>
            <w:noWrap/>
            <w:vAlign w:val="bottom"/>
          </w:tcPr>
          <w:p w14:paraId="61F4FAC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1080" w:type="dxa"/>
            <w:tcBorders>
              <w:top w:val="nil"/>
              <w:left w:val="nil"/>
              <w:bottom w:val="nil"/>
              <w:right w:val="nil"/>
            </w:tcBorders>
            <w:noWrap/>
            <w:vAlign w:val="bottom"/>
          </w:tcPr>
          <w:p w14:paraId="0E44822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990" w:type="dxa"/>
            <w:tcBorders>
              <w:top w:val="nil"/>
              <w:left w:val="nil"/>
              <w:bottom w:val="nil"/>
              <w:right w:val="nil"/>
            </w:tcBorders>
            <w:noWrap/>
            <w:vAlign w:val="bottom"/>
          </w:tcPr>
          <w:p w14:paraId="7541C2F2"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25</w:t>
            </w:r>
          </w:p>
        </w:tc>
        <w:tc>
          <w:tcPr>
            <w:tcW w:w="955" w:type="dxa"/>
            <w:tcBorders>
              <w:top w:val="nil"/>
              <w:left w:val="nil"/>
              <w:bottom w:val="nil"/>
              <w:right w:val="nil"/>
            </w:tcBorders>
            <w:noWrap/>
            <w:vAlign w:val="bottom"/>
          </w:tcPr>
          <w:p w14:paraId="76E0A14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41.18%</w:t>
            </w:r>
          </w:p>
        </w:tc>
        <w:tc>
          <w:tcPr>
            <w:tcW w:w="935" w:type="dxa"/>
            <w:tcBorders>
              <w:top w:val="nil"/>
              <w:left w:val="nil"/>
              <w:bottom w:val="nil"/>
              <w:right w:val="nil"/>
            </w:tcBorders>
            <w:noWrap/>
            <w:vAlign w:val="bottom"/>
          </w:tcPr>
          <w:p w14:paraId="2297A88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42.5</w:t>
            </w:r>
          </w:p>
        </w:tc>
      </w:tr>
      <w:tr w:rsidR="003801E8" w14:paraId="4EA529A6" w14:textId="77777777">
        <w:trPr>
          <w:trHeight w:val="288"/>
        </w:trPr>
        <w:tc>
          <w:tcPr>
            <w:tcW w:w="897" w:type="dxa"/>
            <w:tcBorders>
              <w:top w:val="nil"/>
              <w:left w:val="nil"/>
              <w:bottom w:val="nil"/>
              <w:right w:val="nil"/>
            </w:tcBorders>
            <w:noWrap/>
            <w:vAlign w:val="bottom"/>
          </w:tcPr>
          <w:p w14:paraId="3E9D77C6"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P3</w:t>
            </w:r>
          </w:p>
        </w:tc>
        <w:tc>
          <w:tcPr>
            <w:tcW w:w="891" w:type="dxa"/>
            <w:tcBorders>
              <w:top w:val="nil"/>
              <w:left w:val="nil"/>
              <w:bottom w:val="nil"/>
              <w:right w:val="nil"/>
            </w:tcBorders>
            <w:noWrap/>
            <w:vAlign w:val="bottom"/>
          </w:tcPr>
          <w:p w14:paraId="3A08BC6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21.5</w:t>
            </w:r>
          </w:p>
        </w:tc>
        <w:tc>
          <w:tcPr>
            <w:tcW w:w="955" w:type="dxa"/>
            <w:tcBorders>
              <w:top w:val="nil"/>
              <w:left w:val="nil"/>
              <w:bottom w:val="nil"/>
              <w:right w:val="nil"/>
            </w:tcBorders>
            <w:noWrap/>
            <w:vAlign w:val="bottom"/>
          </w:tcPr>
          <w:p w14:paraId="7C315EBC"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47.56%</w:t>
            </w:r>
          </w:p>
        </w:tc>
        <w:tc>
          <w:tcPr>
            <w:tcW w:w="857" w:type="dxa"/>
            <w:tcBorders>
              <w:top w:val="nil"/>
              <w:left w:val="nil"/>
              <w:bottom w:val="nil"/>
              <w:right w:val="nil"/>
            </w:tcBorders>
            <w:noWrap/>
            <w:vAlign w:val="bottom"/>
          </w:tcPr>
          <w:p w14:paraId="0D0C5AE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9</w:t>
            </w:r>
          </w:p>
        </w:tc>
        <w:tc>
          <w:tcPr>
            <w:tcW w:w="955" w:type="dxa"/>
            <w:tcBorders>
              <w:top w:val="nil"/>
              <w:left w:val="nil"/>
              <w:bottom w:val="nil"/>
              <w:right w:val="nil"/>
            </w:tcBorders>
            <w:noWrap/>
            <w:vAlign w:val="bottom"/>
          </w:tcPr>
          <w:p w14:paraId="2E07BBC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78.05%</w:t>
            </w:r>
          </w:p>
        </w:tc>
        <w:tc>
          <w:tcPr>
            <w:tcW w:w="935" w:type="dxa"/>
            <w:tcBorders>
              <w:top w:val="nil"/>
              <w:left w:val="nil"/>
              <w:bottom w:val="nil"/>
              <w:right w:val="nil"/>
            </w:tcBorders>
            <w:noWrap/>
            <w:vAlign w:val="bottom"/>
          </w:tcPr>
          <w:p w14:paraId="79BB06F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1080" w:type="dxa"/>
            <w:tcBorders>
              <w:top w:val="nil"/>
              <w:left w:val="nil"/>
              <w:bottom w:val="nil"/>
              <w:right w:val="nil"/>
            </w:tcBorders>
            <w:noWrap/>
            <w:vAlign w:val="bottom"/>
          </w:tcPr>
          <w:p w14:paraId="170858B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990" w:type="dxa"/>
            <w:tcBorders>
              <w:top w:val="nil"/>
              <w:left w:val="nil"/>
              <w:bottom w:val="nil"/>
              <w:right w:val="nil"/>
            </w:tcBorders>
            <w:noWrap/>
            <w:vAlign w:val="bottom"/>
          </w:tcPr>
          <w:p w14:paraId="363FB2CE"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24.5</w:t>
            </w:r>
          </w:p>
        </w:tc>
        <w:tc>
          <w:tcPr>
            <w:tcW w:w="955" w:type="dxa"/>
            <w:tcBorders>
              <w:top w:val="nil"/>
              <w:left w:val="nil"/>
              <w:bottom w:val="nil"/>
              <w:right w:val="nil"/>
            </w:tcBorders>
            <w:noWrap/>
            <w:vAlign w:val="bottom"/>
          </w:tcPr>
          <w:p w14:paraId="44BB524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40.24%</w:t>
            </w:r>
          </w:p>
        </w:tc>
        <w:tc>
          <w:tcPr>
            <w:tcW w:w="935" w:type="dxa"/>
            <w:tcBorders>
              <w:top w:val="nil"/>
              <w:left w:val="nil"/>
              <w:bottom w:val="nil"/>
              <w:right w:val="nil"/>
            </w:tcBorders>
            <w:noWrap/>
            <w:vAlign w:val="bottom"/>
          </w:tcPr>
          <w:p w14:paraId="614FD4D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41</w:t>
            </w:r>
          </w:p>
        </w:tc>
      </w:tr>
      <w:tr w:rsidR="003801E8" w14:paraId="2AE362AD" w14:textId="77777777">
        <w:trPr>
          <w:trHeight w:val="288"/>
        </w:trPr>
        <w:tc>
          <w:tcPr>
            <w:tcW w:w="897" w:type="dxa"/>
            <w:tcBorders>
              <w:top w:val="nil"/>
              <w:left w:val="nil"/>
              <w:bottom w:val="nil"/>
              <w:right w:val="nil"/>
            </w:tcBorders>
            <w:noWrap/>
            <w:vAlign w:val="bottom"/>
          </w:tcPr>
          <w:p w14:paraId="313BB49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P3</w:t>
            </w:r>
          </w:p>
        </w:tc>
        <w:tc>
          <w:tcPr>
            <w:tcW w:w="891" w:type="dxa"/>
            <w:tcBorders>
              <w:top w:val="nil"/>
              <w:left w:val="nil"/>
              <w:bottom w:val="nil"/>
              <w:right w:val="nil"/>
            </w:tcBorders>
            <w:noWrap/>
            <w:vAlign w:val="bottom"/>
          </w:tcPr>
          <w:p w14:paraId="5A8B3B2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28</w:t>
            </w:r>
          </w:p>
        </w:tc>
        <w:tc>
          <w:tcPr>
            <w:tcW w:w="955" w:type="dxa"/>
            <w:tcBorders>
              <w:top w:val="nil"/>
              <w:left w:val="nil"/>
              <w:bottom w:val="nil"/>
              <w:right w:val="nil"/>
            </w:tcBorders>
            <w:noWrap/>
            <w:vAlign w:val="bottom"/>
          </w:tcPr>
          <w:p w14:paraId="2A681EA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30.00%</w:t>
            </w:r>
          </w:p>
        </w:tc>
        <w:tc>
          <w:tcPr>
            <w:tcW w:w="857" w:type="dxa"/>
            <w:tcBorders>
              <w:top w:val="nil"/>
              <w:left w:val="nil"/>
              <w:bottom w:val="nil"/>
              <w:right w:val="nil"/>
            </w:tcBorders>
            <w:noWrap/>
            <w:vAlign w:val="bottom"/>
          </w:tcPr>
          <w:p w14:paraId="776CD95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7.5</w:t>
            </w:r>
          </w:p>
        </w:tc>
        <w:tc>
          <w:tcPr>
            <w:tcW w:w="955" w:type="dxa"/>
            <w:tcBorders>
              <w:top w:val="nil"/>
              <w:left w:val="nil"/>
              <w:bottom w:val="nil"/>
              <w:right w:val="nil"/>
            </w:tcBorders>
            <w:noWrap/>
            <w:vAlign w:val="bottom"/>
          </w:tcPr>
          <w:p w14:paraId="25D9BA71"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81.25%</w:t>
            </w:r>
          </w:p>
        </w:tc>
        <w:tc>
          <w:tcPr>
            <w:tcW w:w="935" w:type="dxa"/>
            <w:tcBorders>
              <w:top w:val="nil"/>
              <w:left w:val="nil"/>
              <w:bottom w:val="nil"/>
              <w:right w:val="nil"/>
            </w:tcBorders>
            <w:noWrap/>
            <w:vAlign w:val="bottom"/>
          </w:tcPr>
          <w:p w14:paraId="2CD23594"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1080" w:type="dxa"/>
            <w:tcBorders>
              <w:top w:val="nil"/>
              <w:left w:val="nil"/>
              <w:bottom w:val="nil"/>
              <w:right w:val="nil"/>
            </w:tcBorders>
            <w:noWrap/>
            <w:vAlign w:val="bottom"/>
          </w:tcPr>
          <w:p w14:paraId="175E2EE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990" w:type="dxa"/>
            <w:tcBorders>
              <w:top w:val="nil"/>
              <w:left w:val="nil"/>
              <w:bottom w:val="nil"/>
              <w:right w:val="nil"/>
            </w:tcBorders>
            <w:noWrap/>
            <w:vAlign w:val="bottom"/>
          </w:tcPr>
          <w:p w14:paraId="133A4058"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23.5</w:t>
            </w:r>
          </w:p>
        </w:tc>
        <w:tc>
          <w:tcPr>
            <w:tcW w:w="955" w:type="dxa"/>
            <w:tcBorders>
              <w:top w:val="nil"/>
              <w:left w:val="nil"/>
              <w:bottom w:val="nil"/>
              <w:right w:val="nil"/>
            </w:tcBorders>
            <w:noWrap/>
            <w:vAlign w:val="bottom"/>
          </w:tcPr>
          <w:p w14:paraId="3CC31D1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41.25%</w:t>
            </w:r>
          </w:p>
        </w:tc>
        <w:tc>
          <w:tcPr>
            <w:tcW w:w="935" w:type="dxa"/>
            <w:tcBorders>
              <w:top w:val="nil"/>
              <w:left w:val="nil"/>
              <w:bottom w:val="nil"/>
              <w:right w:val="nil"/>
            </w:tcBorders>
            <w:noWrap/>
            <w:vAlign w:val="bottom"/>
          </w:tcPr>
          <w:p w14:paraId="243F491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40</w:t>
            </w:r>
          </w:p>
        </w:tc>
      </w:tr>
      <w:tr w:rsidR="003801E8" w14:paraId="6228593F" w14:textId="77777777">
        <w:trPr>
          <w:trHeight w:val="288"/>
        </w:trPr>
        <w:tc>
          <w:tcPr>
            <w:tcW w:w="897" w:type="dxa"/>
            <w:tcBorders>
              <w:top w:val="nil"/>
              <w:left w:val="nil"/>
              <w:right w:val="nil"/>
            </w:tcBorders>
            <w:noWrap/>
            <w:vAlign w:val="bottom"/>
          </w:tcPr>
          <w:p w14:paraId="704D5B9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P3</w:t>
            </w:r>
          </w:p>
        </w:tc>
        <w:tc>
          <w:tcPr>
            <w:tcW w:w="891" w:type="dxa"/>
            <w:tcBorders>
              <w:top w:val="nil"/>
              <w:left w:val="nil"/>
              <w:right w:val="nil"/>
            </w:tcBorders>
            <w:noWrap/>
            <w:vAlign w:val="bottom"/>
          </w:tcPr>
          <w:p w14:paraId="62BF9A67"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26</w:t>
            </w:r>
          </w:p>
        </w:tc>
        <w:tc>
          <w:tcPr>
            <w:tcW w:w="955" w:type="dxa"/>
            <w:tcBorders>
              <w:top w:val="nil"/>
              <w:left w:val="nil"/>
              <w:right w:val="nil"/>
            </w:tcBorders>
            <w:noWrap/>
            <w:vAlign w:val="bottom"/>
          </w:tcPr>
          <w:p w14:paraId="6B9346A5"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32.47%</w:t>
            </w:r>
          </w:p>
        </w:tc>
        <w:tc>
          <w:tcPr>
            <w:tcW w:w="857" w:type="dxa"/>
            <w:tcBorders>
              <w:top w:val="nil"/>
              <w:left w:val="nil"/>
              <w:right w:val="nil"/>
            </w:tcBorders>
            <w:noWrap/>
            <w:vAlign w:val="bottom"/>
          </w:tcPr>
          <w:p w14:paraId="0C0A10FF"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9</w:t>
            </w:r>
          </w:p>
        </w:tc>
        <w:tc>
          <w:tcPr>
            <w:tcW w:w="955" w:type="dxa"/>
            <w:tcBorders>
              <w:top w:val="nil"/>
              <w:left w:val="nil"/>
              <w:right w:val="nil"/>
            </w:tcBorders>
            <w:noWrap/>
            <w:vAlign w:val="bottom"/>
          </w:tcPr>
          <w:p w14:paraId="793AAD3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76.62%</w:t>
            </w:r>
          </w:p>
        </w:tc>
        <w:tc>
          <w:tcPr>
            <w:tcW w:w="935" w:type="dxa"/>
            <w:tcBorders>
              <w:top w:val="nil"/>
              <w:left w:val="nil"/>
              <w:right w:val="nil"/>
            </w:tcBorders>
            <w:noWrap/>
            <w:vAlign w:val="bottom"/>
          </w:tcPr>
          <w:p w14:paraId="5B145273"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0</w:t>
            </w:r>
          </w:p>
        </w:tc>
        <w:tc>
          <w:tcPr>
            <w:tcW w:w="1080" w:type="dxa"/>
            <w:tcBorders>
              <w:top w:val="nil"/>
              <w:left w:val="nil"/>
              <w:right w:val="nil"/>
            </w:tcBorders>
            <w:noWrap/>
            <w:vAlign w:val="bottom"/>
          </w:tcPr>
          <w:p w14:paraId="35ABF19A"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100.00%</w:t>
            </w:r>
          </w:p>
        </w:tc>
        <w:tc>
          <w:tcPr>
            <w:tcW w:w="990" w:type="dxa"/>
            <w:tcBorders>
              <w:top w:val="nil"/>
              <w:left w:val="nil"/>
              <w:right w:val="nil"/>
            </w:tcBorders>
            <w:noWrap/>
            <w:vAlign w:val="bottom"/>
          </w:tcPr>
          <w:p w14:paraId="2060630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22</w:t>
            </w:r>
          </w:p>
        </w:tc>
        <w:tc>
          <w:tcPr>
            <w:tcW w:w="955" w:type="dxa"/>
            <w:tcBorders>
              <w:top w:val="nil"/>
              <w:left w:val="nil"/>
              <w:right w:val="nil"/>
            </w:tcBorders>
            <w:noWrap/>
            <w:vAlign w:val="bottom"/>
          </w:tcPr>
          <w:p w14:paraId="2CC40BB0"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42.86%</w:t>
            </w:r>
          </w:p>
        </w:tc>
        <w:tc>
          <w:tcPr>
            <w:tcW w:w="935" w:type="dxa"/>
            <w:tcBorders>
              <w:top w:val="nil"/>
              <w:left w:val="nil"/>
              <w:right w:val="nil"/>
            </w:tcBorders>
            <w:noWrap/>
            <w:vAlign w:val="bottom"/>
          </w:tcPr>
          <w:p w14:paraId="78013A59" w14:textId="77777777" w:rsidR="003801E8" w:rsidRDefault="00E44AAE">
            <w:pPr>
              <w:spacing w:after="0" w:line="240" w:lineRule="auto"/>
              <w:jc w:val="center"/>
              <w:rPr>
                <w:rFonts w:ascii="Book Antiqua" w:eastAsia="Times New Roman" w:hAnsi="Book Antiqua" w:cs="Calibri"/>
                <w:color w:val="000000"/>
                <w:sz w:val="18"/>
                <w:szCs w:val="18"/>
                <w:lang w:val="en-US"/>
              </w:rPr>
            </w:pPr>
            <w:r>
              <w:rPr>
                <w:rFonts w:ascii="Book Antiqua" w:eastAsia="Times New Roman" w:hAnsi="Book Antiqua" w:cs="Calibri"/>
                <w:color w:val="000000"/>
                <w:sz w:val="18"/>
                <w:szCs w:val="18"/>
                <w:lang w:val="en-US"/>
              </w:rPr>
              <w:t>38.5</w:t>
            </w:r>
          </w:p>
        </w:tc>
      </w:tr>
      <w:tr w:rsidR="003801E8" w14:paraId="5CD75957" w14:textId="77777777">
        <w:trPr>
          <w:trHeight w:val="288"/>
        </w:trPr>
        <w:tc>
          <w:tcPr>
            <w:tcW w:w="897" w:type="dxa"/>
            <w:tcBorders>
              <w:top w:val="nil"/>
              <w:left w:val="nil"/>
              <w:bottom w:val="single" w:sz="4" w:space="0" w:color="auto"/>
              <w:right w:val="nil"/>
            </w:tcBorders>
            <w:noWrap/>
            <w:vAlign w:val="bottom"/>
          </w:tcPr>
          <w:p w14:paraId="40F4BBE6"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Prosjek</w:t>
            </w:r>
          </w:p>
        </w:tc>
        <w:tc>
          <w:tcPr>
            <w:tcW w:w="891" w:type="dxa"/>
            <w:tcBorders>
              <w:top w:val="nil"/>
              <w:left w:val="nil"/>
              <w:bottom w:val="single" w:sz="4" w:space="0" w:color="auto"/>
              <w:right w:val="nil"/>
            </w:tcBorders>
            <w:noWrap/>
            <w:vAlign w:val="bottom"/>
          </w:tcPr>
          <w:p w14:paraId="07D9439F"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24.91</w:t>
            </w:r>
          </w:p>
        </w:tc>
        <w:tc>
          <w:tcPr>
            <w:tcW w:w="955" w:type="dxa"/>
            <w:tcBorders>
              <w:top w:val="nil"/>
              <w:left w:val="nil"/>
              <w:bottom w:val="single" w:sz="4" w:space="0" w:color="auto"/>
              <w:right w:val="nil"/>
            </w:tcBorders>
            <w:noWrap/>
            <w:vAlign w:val="bottom"/>
          </w:tcPr>
          <w:p w14:paraId="3503CEC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36.69%</w:t>
            </w:r>
          </w:p>
        </w:tc>
        <w:tc>
          <w:tcPr>
            <w:tcW w:w="857" w:type="dxa"/>
            <w:tcBorders>
              <w:top w:val="nil"/>
              <w:left w:val="nil"/>
              <w:bottom w:val="single" w:sz="4" w:space="0" w:color="auto"/>
              <w:right w:val="nil"/>
            </w:tcBorders>
            <w:noWrap/>
            <w:vAlign w:val="bottom"/>
          </w:tcPr>
          <w:p w14:paraId="6E217678"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9.125</w:t>
            </w:r>
          </w:p>
        </w:tc>
        <w:tc>
          <w:tcPr>
            <w:tcW w:w="955" w:type="dxa"/>
            <w:tcBorders>
              <w:top w:val="nil"/>
              <w:left w:val="nil"/>
              <w:bottom w:val="single" w:sz="4" w:space="0" w:color="auto"/>
              <w:right w:val="nil"/>
            </w:tcBorders>
            <w:noWrap/>
            <w:vAlign w:val="bottom"/>
          </w:tcPr>
          <w:p w14:paraId="14CADE4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76.65%</w:t>
            </w:r>
          </w:p>
        </w:tc>
        <w:tc>
          <w:tcPr>
            <w:tcW w:w="935" w:type="dxa"/>
            <w:tcBorders>
              <w:top w:val="nil"/>
              <w:left w:val="nil"/>
              <w:bottom w:val="single" w:sz="4" w:space="0" w:color="auto"/>
              <w:right w:val="nil"/>
            </w:tcBorders>
            <w:noWrap/>
            <w:vAlign w:val="bottom"/>
          </w:tcPr>
          <w:p w14:paraId="45BEB119"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0</w:t>
            </w:r>
          </w:p>
        </w:tc>
        <w:tc>
          <w:tcPr>
            <w:tcW w:w="1080" w:type="dxa"/>
            <w:tcBorders>
              <w:top w:val="nil"/>
              <w:left w:val="nil"/>
              <w:bottom w:val="single" w:sz="4" w:space="0" w:color="auto"/>
              <w:right w:val="nil"/>
            </w:tcBorders>
            <w:noWrap/>
            <w:vAlign w:val="bottom"/>
          </w:tcPr>
          <w:p w14:paraId="3F9CDB5B"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100.00%</w:t>
            </w:r>
          </w:p>
        </w:tc>
        <w:tc>
          <w:tcPr>
            <w:tcW w:w="990" w:type="dxa"/>
            <w:tcBorders>
              <w:top w:val="nil"/>
              <w:left w:val="nil"/>
              <w:bottom w:val="single" w:sz="4" w:space="0" w:color="auto"/>
              <w:right w:val="nil"/>
            </w:tcBorders>
            <w:noWrap/>
            <w:vAlign w:val="bottom"/>
          </w:tcPr>
          <w:p w14:paraId="7F9812A3"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24.83</w:t>
            </w:r>
          </w:p>
        </w:tc>
        <w:tc>
          <w:tcPr>
            <w:tcW w:w="955" w:type="dxa"/>
            <w:tcBorders>
              <w:top w:val="nil"/>
              <w:left w:val="nil"/>
              <w:bottom w:val="single" w:sz="4" w:space="0" w:color="auto"/>
              <w:right w:val="nil"/>
            </w:tcBorders>
            <w:noWrap/>
            <w:vAlign w:val="bottom"/>
          </w:tcPr>
          <w:p w14:paraId="080FFC97"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36.44%</w:t>
            </w:r>
          </w:p>
        </w:tc>
        <w:tc>
          <w:tcPr>
            <w:tcW w:w="935" w:type="dxa"/>
            <w:tcBorders>
              <w:top w:val="nil"/>
              <w:left w:val="nil"/>
              <w:bottom w:val="single" w:sz="4" w:space="0" w:color="auto"/>
              <w:right w:val="nil"/>
            </w:tcBorders>
            <w:noWrap/>
            <w:vAlign w:val="bottom"/>
          </w:tcPr>
          <w:p w14:paraId="6859EC9E" w14:textId="77777777" w:rsidR="003801E8" w:rsidRDefault="00E44AAE">
            <w:pPr>
              <w:spacing w:after="0" w:line="240" w:lineRule="auto"/>
              <w:jc w:val="center"/>
              <w:rPr>
                <w:rFonts w:ascii="Book Antiqua" w:eastAsia="Times New Roman" w:hAnsi="Book Antiqua" w:cs="Calibri"/>
                <w:b/>
                <w:bCs/>
                <w:color w:val="000000"/>
                <w:sz w:val="18"/>
                <w:szCs w:val="18"/>
                <w:lang w:val="en-US"/>
              </w:rPr>
            </w:pPr>
            <w:r>
              <w:rPr>
                <w:rFonts w:ascii="Book Antiqua" w:eastAsia="Times New Roman" w:hAnsi="Book Antiqua" w:cs="Calibri"/>
                <w:b/>
                <w:bCs/>
                <w:color w:val="000000"/>
                <w:sz w:val="18"/>
                <w:szCs w:val="18"/>
                <w:lang w:val="en-US"/>
              </w:rPr>
              <w:t>39.25</w:t>
            </w:r>
          </w:p>
        </w:tc>
      </w:tr>
    </w:tbl>
    <w:p w14:paraId="4C8B46AE" w14:textId="77777777" w:rsidR="003801E8" w:rsidRDefault="00E44AAE">
      <w:pPr>
        <w:tabs>
          <w:tab w:val="left" w:pos="3315"/>
        </w:tabs>
        <w:spacing w:line="360" w:lineRule="auto"/>
        <w:jc w:val="both"/>
        <w:rPr>
          <w:rFonts w:ascii="Book Antiqua" w:hAnsi="Book Antiqua" w:cs="Times New Roman"/>
          <w:b/>
          <w:bCs/>
          <w:sz w:val="16"/>
          <w:szCs w:val="16"/>
          <w:lang w:val="sr-Latn-RS"/>
        </w:rPr>
      </w:pPr>
      <w:r>
        <w:rPr>
          <w:rFonts w:ascii="Book Antiqua" w:hAnsi="Book Antiqua" w:cs="Times New Roman"/>
          <w:b/>
          <w:bCs/>
          <w:sz w:val="16"/>
          <w:szCs w:val="16"/>
          <w:lang w:val="sr-Latn-RS"/>
        </w:rPr>
        <w:t>TA – T. atroviride SC1; TC- T. citrinoviride T-CG: Cu – bakar; K - Kontrola</w:t>
      </w:r>
    </w:p>
    <w:p w14:paraId="16236684" w14:textId="77777777" w:rsidR="003801E8" w:rsidRDefault="003801E8">
      <w:pPr>
        <w:tabs>
          <w:tab w:val="left" w:pos="3315"/>
        </w:tabs>
        <w:spacing w:line="360" w:lineRule="auto"/>
        <w:jc w:val="both"/>
        <w:rPr>
          <w:rFonts w:ascii="Book Antiqua" w:hAnsi="Book Antiqua" w:cs="Times New Roman"/>
          <w:sz w:val="22"/>
          <w:szCs w:val="22"/>
          <w:lang w:val="sr-Latn-RS"/>
        </w:rPr>
      </w:pPr>
    </w:p>
    <w:p w14:paraId="67209F9B" w14:textId="77777777" w:rsidR="003801E8" w:rsidRDefault="00E44AAE">
      <w:pPr>
        <w:tabs>
          <w:tab w:val="left" w:pos="3315"/>
        </w:tabs>
        <w:spacing w:line="360" w:lineRule="auto"/>
        <w:jc w:val="both"/>
        <w:rPr>
          <w:rFonts w:ascii="Book Antiqua" w:hAnsi="Book Antiqua" w:cs="Times New Roman"/>
          <w:b/>
          <w:bCs/>
          <w:sz w:val="24"/>
          <w:szCs w:val="24"/>
          <w:lang w:val="sr-Latn-RS"/>
        </w:rPr>
      </w:pPr>
      <w:r>
        <w:rPr>
          <w:rFonts w:ascii="Book Antiqua" w:hAnsi="Book Antiqua" w:cs="Times New Roman"/>
          <w:b/>
          <w:bCs/>
          <w:sz w:val="24"/>
          <w:szCs w:val="24"/>
          <w:lang w:val="sr-Latn-RS"/>
        </w:rPr>
        <w:t xml:space="preserve">5.11 Direktan </w:t>
      </w:r>
      <w:r>
        <w:rPr>
          <w:rFonts w:ascii="Book Antiqua" w:hAnsi="Book Antiqua" w:cs="Times New Roman"/>
          <w:b/>
          <w:bCs/>
          <w:i/>
          <w:iCs/>
          <w:sz w:val="24"/>
          <w:szCs w:val="24"/>
          <w:lang w:val="sr-Latn-RS"/>
        </w:rPr>
        <w:t>in vitro</w:t>
      </w:r>
      <w:r>
        <w:rPr>
          <w:rFonts w:ascii="Book Antiqua" w:hAnsi="Book Antiqua" w:cs="Times New Roman"/>
          <w:b/>
          <w:bCs/>
          <w:sz w:val="24"/>
          <w:szCs w:val="24"/>
          <w:lang w:val="sr-Latn-RS"/>
        </w:rPr>
        <w:t xml:space="preserve"> test </w:t>
      </w:r>
      <w:r>
        <w:rPr>
          <w:rFonts w:ascii="Book Antiqua" w:hAnsi="Book Antiqua" w:cs="Times New Roman"/>
          <w:b/>
          <w:bCs/>
          <w:i/>
          <w:iCs/>
          <w:sz w:val="24"/>
          <w:szCs w:val="24"/>
          <w:lang w:val="sr-Latn-RS"/>
        </w:rPr>
        <w:t>T. citrinoviride</w:t>
      </w:r>
      <w:r>
        <w:rPr>
          <w:rFonts w:ascii="Book Antiqua" w:hAnsi="Book Antiqua" w:cs="Times New Roman"/>
          <w:b/>
          <w:bCs/>
          <w:sz w:val="24"/>
          <w:szCs w:val="24"/>
          <w:lang w:val="sr-Latn-RS"/>
        </w:rPr>
        <w:t xml:space="preserve"> T-CG i </w:t>
      </w:r>
      <w:r>
        <w:rPr>
          <w:rFonts w:ascii="Book Antiqua" w:hAnsi="Book Antiqua" w:cs="Times New Roman"/>
          <w:b/>
          <w:bCs/>
          <w:i/>
          <w:iCs/>
          <w:sz w:val="24"/>
          <w:szCs w:val="24"/>
          <w:lang w:val="sr-Latn-RS"/>
        </w:rPr>
        <w:t>T. atroviride</w:t>
      </w:r>
      <w:r>
        <w:rPr>
          <w:rFonts w:ascii="Book Antiqua" w:hAnsi="Book Antiqua" w:cs="Times New Roman"/>
          <w:b/>
          <w:bCs/>
          <w:sz w:val="24"/>
          <w:szCs w:val="24"/>
          <w:lang w:val="sr-Latn-RS"/>
        </w:rPr>
        <w:t xml:space="preserve"> SC1 prema ostalim patogenima drveta u Crnoj Gori</w:t>
      </w:r>
      <w:r>
        <w:rPr>
          <w:rFonts w:ascii="Book Antiqua" w:hAnsi="Book Antiqua" w:cs="Times New Roman"/>
          <w:b/>
          <w:bCs/>
          <w:i/>
          <w:iCs/>
          <w:sz w:val="24"/>
          <w:szCs w:val="24"/>
          <w:lang w:val="sr-Latn-RS"/>
        </w:rPr>
        <w:t xml:space="preserve"> </w:t>
      </w:r>
    </w:p>
    <w:p w14:paraId="6997EC5A"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U direktnom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testu, </w:t>
      </w:r>
      <w:r>
        <w:rPr>
          <w:rFonts w:ascii="Book Antiqua" w:hAnsi="Book Antiqua" w:cs="Times New Roman"/>
          <w:i/>
          <w:iCs/>
          <w:sz w:val="24"/>
          <w:szCs w:val="24"/>
          <w:lang w:val="sr-Latn-RS"/>
        </w:rPr>
        <w:t>T. citrinoviride</w:t>
      </w:r>
      <w:r>
        <w:rPr>
          <w:rFonts w:ascii="Book Antiqua" w:hAnsi="Book Antiqua" w:cs="Times New Roman"/>
          <w:sz w:val="24"/>
          <w:szCs w:val="24"/>
          <w:lang w:val="sr-Latn-RS"/>
        </w:rPr>
        <w:t xml:space="preserve"> T-CG i </w:t>
      </w:r>
      <w:r>
        <w:rPr>
          <w:rFonts w:ascii="Book Antiqua" w:hAnsi="Book Antiqua" w:cs="Times New Roman"/>
          <w:i/>
          <w:iCs/>
          <w:sz w:val="24"/>
          <w:szCs w:val="24"/>
          <w:lang w:val="sr-Latn-RS"/>
        </w:rPr>
        <w:t>T. atroviride</w:t>
      </w:r>
      <w:r>
        <w:rPr>
          <w:rFonts w:ascii="Book Antiqua" w:hAnsi="Book Antiqua" w:cs="Times New Roman"/>
          <w:sz w:val="24"/>
          <w:szCs w:val="24"/>
          <w:lang w:val="sr-Latn-RS"/>
        </w:rPr>
        <w:t xml:space="preserve"> SC1 su nakon 3 dana inhibirale razvoj fitopatogenih gljiva na hranljivoj podlozi (Slika 32). Srednji procenat inhibicije kretao se od 35,73% za </w:t>
      </w:r>
      <w:r>
        <w:rPr>
          <w:rFonts w:ascii="Book Antiqua" w:hAnsi="Book Antiqua" w:cs="Times New Roman"/>
          <w:i/>
          <w:iCs/>
          <w:sz w:val="24"/>
          <w:szCs w:val="24"/>
          <w:lang w:val="sr-Latn-RS"/>
        </w:rPr>
        <w:t>T. citrinoviride</w:t>
      </w:r>
      <w:r>
        <w:rPr>
          <w:rFonts w:ascii="Book Antiqua" w:hAnsi="Book Antiqua" w:cs="Times New Roman"/>
          <w:sz w:val="24"/>
          <w:szCs w:val="24"/>
          <w:lang w:val="sr-Latn-RS"/>
        </w:rPr>
        <w:t xml:space="preserve"> T-CG prema izolatu gljive </w:t>
      </w:r>
      <w:r>
        <w:rPr>
          <w:rFonts w:ascii="Book Antiqua" w:hAnsi="Book Antiqua" w:cs="Times New Roman"/>
          <w:i/>
          <w:iCs/>
          <w:sz w:val="24"/>
          <w:szCs w:val="24"/>
          <w:lang w:val="sr-Latn-RS"/>
        </w:rPr>
        <w:t>D. seriata</w:t>
      </w:r>
      <w:r>
        <w:rPr>
          <w:rFonts w:ascii="Book Antiqua" w:hAnsi="Book Antiqua" w:cs="Times New Roman"/>
          <w:sz w:val="24"/>
          <w:szCs w:val="24"/>
          <w:lang w:val="sr-Latn-RS"/>
        </w:rPr>
        <w:t xml:space="preserve"> MN001 do 76,94% za </w:t>
      </w:r>
      <w:r>
        <w:rPr>
          <w:rFonts w:ascii="Book Antiqua" w:hAnsi="Book Antiqua" w:cs="Times New Roman"/>
          <w:i/>
          <w:iCs/>
          <w:sz w:val="24"/>
          <w:szCs w:val="24"/>
          <w:lang w:val="sr-Latn-RS"/>
        </w:rPr>
        <w:t>T. atroviride</w:t>
      </w:r>
      <w:r>
        <w:rPr>
          <w:rFonts w:ascii="Book Antiqua" w:hAnsi="Book Antiqua" w:cs="Times New Roman"/>
          <w:sz w:val="24"/>
          <w:szCs w:val="24"/>
          <w:lang w:val="sr-Latn-RS"/>
        </w:rPr>
        <w:t xml:space="preserve"> SC1 prema izolatu MN001 gljive </w:t>
      </w:r>
      <w:r>
        <w:rPr>
          <w:rFonts w:ascii="Book Antiqua" w:hAnsi="Book Antiqua" w:cs="Times New Roman"/>
          <w:i/>
          <w:iCs/>
          <w:sz w:val="24"/>
          <w:szCs w:val="24"/>
          <w:lang w:val="sr-Latn-RS"/>
        </w:rPr>
        <w:t>B. mediterranea</w:t>
      </w:r>
      <w:r>
        <w:rPr>
          <w:rFonts w:ascii="Book Antiqua" w:hAnsi="Book Antiqua" w:cs="Times New Roman"/>
          <w:sz w:val="24"/>
          <w:szCs w:val="24"/>
          <w:lang w:val="sr-Latn-RS"/>
        </w:rPr>
        <w:t xml:space="preserve">.  Rezultati </w:t>
      </w:r>
      <w:r>
        <w:rPr>
          <w:rFonts w:ascii="Book Antiqua" w:hAnsi="Book Antiqua" w:cs="Times New Roman"/>
          <w:i/>
          <w:iCs/>
          <w:sz w:val="24"/>
          <w:szCs w:val="24"/>
          <w:lang w:val="sr-Latn-RS"/>
        </w:rPr>
        <w:t>in vitro</w:t>
      </w:r>
      <w:r>
        <w:rPr>
          <w:rFonts w:ascii="Book Antiqua" w:hAnsi="Book Antiqua" w:cs="Times New Roman"/>
          <w:sz w:val="24"/>
          <w:szCs w:val="24"/>
          <w:lang w:val="sr-Latn-RS"/>
        </w:rPr>
        <w:t xml:space="preserve"> testova, ispitivanog antagonisti</w:t>
      </w:r>
      <w:r>
        <w:rPr>
          <w:rFonts w:ascii="Book Antiqua" w:hAnsi="Book Antiqua" w:cs="Times New Roman"/>
          <w:sz w:val="24"/>
          <w:szCs w:val="24"/>
        </w:rPr>
        <w:t>č</w:t>
      </w:r>
      <w:r>
        <w:rPr>
          <w:rFonts w:ascii="Book Antiqua" w:hAnsi="Book Antiqua" w:cs="Times New Roman"/>
          <w:sz w:val="24"/>
          <w:szCs w:val="24"/>
          <w:lang w:val="sr-Latn-RS"/>
        </w:rPr>
        <w:t xml:space="preserve">kog potencijala </w:t>
      </w:r>
      <w:r>
        <w:rPr>
          <w:rFonts w:ascii="Book Antiqua" w:hAnsi="Book Antiqua" w:cs="Times New Roman"/>
          <w:i/>
          <w:iCs/>
          <w:sz w:val="24"/>
          <w:szCs w:val="24"/>
          <w:lang w:val="sr-Latn-RS"/>
        </w:rPr>
        <w:t>T. atroviride</w:t>
      </w:r>
      <w:r>
        <w:rPr>
          <w:rFonts w:ascii="Book Antiqua" w:hAnsi="Book Antiqua" w:cs="Times New Roman"/>
          <w:sz w:val="24"/>
          <w:szCs w:val="24"/>
          <w:lang w:val="sr-Latn-RS"/>
        </w:rPr>
        <w:t xml:space="preserve"> SC1 i </w:t>
      </w:r>
      <w:r>
        <w:rPr>
          <w:rFonts w:ascii="Book Antiqua" w:hAnsi="Book Antiqua" w:cs="Times New Roman"/>
          <w:i/>
          <w:iCs/>
          <w:sz w:val="24"/>
          <w:szCs w:val="24"/>
          <w:lang w:val="sr-Latn-RS"/>
        </w:rPr>
        <w:t>T. citrinoviride</w:t>
      </w:r>
      <w:r>
        <w:rPr>
          <w:rFonts w:ascii="Book Antiqua" w:hAnsi="Book Antiqua" w:cs="Times New Roman"/>
          <w:sz w:val="24"/>
          <w:szCs w:val="24"/>
          <w:lang w:val="sr-Latn-RS"/>
        </w:rPr>
        <w:t xml:space="preserve"> T-CG prema patogenima </w:t>
      </w:r>
      <w:r>
        <w:rPr>
          <w:rFonts w:ascii="Book Antiqua" w:hAnsi="Book Antiqua" w:cs="Times New Roman"/>
          <w:i/>
          <w:iCs/>
          <w:sz w:val="24"/>
          <w:szCs w:val="24"/>
          <w:lang w:val="sr-Latn-RS"/>
        </w:rPr>
        <w:t xml:space="preserve">N. parvum </w:t>
      </w:r>
      <w:r>
        <w:rPr>
          <w:rFonts w:ascii="Book Antiqua" w:hAnsi="Book Antiqua" w:cs="Times New Roman"/>
          <w:sz w:val="24"/>
          <w:szCs w:val="24"/>
          <w:lang w:val="sr-Latn-RS"/>
        </w:rPr>
        <w:t xml:space="preserve">MN001, </w:t>
      </w:r>
      <w:r>
        <w:rPr>
          <w:rFonts w:ascii="Book Antiqua" w:hAnsi="Book Antiqua" w:cs="Times New Roman"/>
          <w:i/>
          <w:iCs/>
          <w:sz w:val="24"/>
          <w:szCs w:val="24"/>
          <w:lang w:val="sr-Latn-RS"/>
        </w:rPr>
        <w:t xml:space="preserve">D. seriata </w:t>
      </w:r>
      <w:r>
        <w:rPr>
          <w:rFonts w:ascii="Book Antiqua" w:hAnsi="Book Antiqua" w:cs="Times New Roman"/>
          <w:sz w:val="24"/>
          <w:szCs w:val="24"/>
          <w:lang w:val="sr-Latn-RS"/>
        </w:rPr>
        <w:t xml:space="preserve">MN001, </w:t>
      </w:r>
      <w:r>
        <w:rPr>
          <w:rFonts w:ascii="Book Antiqua" w:hAnsi="Book Antiqua" w:cs="Times New Roman"/>
          <w:i/>
          <w:iCs/>
          <w:sz w:val="24"/>
          <w:szCs w:val="24"/>
          <w:lang w:val="sr-Latn-RS"/>
        </w:rPr>
        <w:t xml:space="preserve">B. mediterranea </w:t>
      </w:r>
      <w:r>
        <w:rPr>
          <w:rFonts w:ascii="Book Antiqua" w:hAnsi="Book Antiqua" w:cs="Times New Roman"/>
          <w:sz w:val="24"/>
          <w:szCs w:val="24"/>
          <w:lang w:val="sr-Latn-RS"/>
        </w:rPr>
        <w:t xml:space="preserve">MN001, </w:t>
      </w:r>
      <w:r>
        <w:rPr>
          <w:rFonts w:ascii="Book Antiqua" w:hAnsi="Book Antiqua" w:cs="Times New Roman"/>
          <w:i/>
          <w:iCs/>
          <w:sz w:val="24"/>
          <w:szCs w:val="24"/>
          <w:lang w:val="sr-Latn-RS"/>
        </w:rPr>
        <w:t>B. dothidea</w:t>
      </w:r>
      <w:r>
        <w:rPr>
          <w:rFonts w:ascii="Book Antiqua" w:hAnsi="Book Antiqua" w:cs="Times New Roman"/>
          <w:sz w:val="24"/>
          <w:szCs w:val="24"/>
          <w:lang w:val="sr-Latn-RS"/>
        </w:rPr>
        <w:t xml:space="preserve"> MN001</w:t>
      </w:r>
      <w:r>
        <w:rPr>
          <w:rFonts w:ascii="Book Antiqua" w:hAnsi="Book Antiqua" w:cs="Times New Roman"/>
          <w:i/>
          <w:iCs/>
          <w:sz w:val="24"/>
          <w:szCs w:val="24"/>
          <w:lang w:val="sr-Latn-RS"/>
        </w:rPr>
        <w:t xml:space="preserve"> </w:t>
      </w:r>
      <w:r>
        <w:rPr>
          <w:rFonts w:ascii="Book Antiqua" w:hAnsi="Book Antiqua" w:cs="Times New Roman"/>
          <w:sz w:val="24"/>
          <w:szCs w:val="24"/>
          <w:lang w:val="sr-Latn-RS"/>
        </w:rPr>
        <w:t xml:space="preserve">i </w:t>
      </w:r>
      <w:r>
        <w:rPr>
          <w:rFonts w:ascii="Book Antiqua" w:hAnsi="Book Antiqua" w:cs="Times New Roman"/>
          <w:i/>
          <w:iCs/>
          <w:sz w:val="24"/>
          <w:szCs w:val="24"/>
          <w:lang w:val="sr-Latn-RS"/>
        </w:rPr>
        <w:t xml:space="preserve">C. luteo olivacea </w:t>
      </w:r>
      <w:r>
        <w:rPr>
          <w:rFonts w:ascii="Book Antiqua" w:hAnsi="Book Antiqua" w:cs="Times New Roman"/>
          <w:sz w:val="24"/>
          <w:szCs w:val="24"/>
          <w:lang w:val="sr-Latn-RS"/>
        </w:rPr>
        <w:t xml:space="preserve">MN001 predstavljeni su u tabeli 25. </w:t>
      </w:r>
    </w:p>
    <w:p w14:paraId="045319E2" w14:textId="77777777" w:rsidR="003801E8" w:rsidRDefault="003801E8">
      <w:pPr>
        <w:tabs>
          <w:tab w:val="left" w:pos="3315"/>
        </w:tabs>
        <w:spacing w:line="360" w:lineRule="auto"/>
        <w:jc w:val="both"/>
        <w:rPr>
          <w:rFonts w:ascii="Book Antiqua" w:hAnsi="Book Antiqua" w:cs="Times New Roman"/>
          <w:sz w:val="24"/>
          <w:szCs w:val="24"/>
          <w:lang w:val="sr-Latn-RS"/>
        </w:rPr>
      </w:pPr>
    </w:p>
    <w:p w14:paraId="031496C5" w14:textId="77777777" w:rsidR="003801E8" w:rsidRDefault="003801E8">
      <w:pPr>
        <w:tabs>
          <w:tab w:val="left" w:pos="3315"/>
        </w:tabs>
        <w:spacing w:line="360" w:lineRule="auto"/>
        <w:jc w:val="both"/>
        <w:rPr>
          <w:rFonts w:ascii="Book Antiqua" w:hAnsi="Book Antiqua" w:cs="Times New Roman"/>
          <w:sz w:val="24"/>
          <w:szCs w:val="24"/>
          <w:lang w:val="sr-Latn-RS"/>
        </w:rPr>
      </w:pPr>
    </w:p>
    <w:p w14:paraId="47E8C8BA" w14:textId="77777777" w:rsidR="003801E8" w:rsidRDefault="003801E8">
      <w:pPr>
        <w:tabs>
          <w:tab w:val="left" w:pos="3315"/>
        </w:tabs>
        <w:spacing w:line="360" w:lineRule="auto"/>
        <w:jc w:val="both"/>
        <w:rPr>
          <w:rFonts w:ascii="Book Antiqua" w:hAnsi="Book Antiqua" w:cs="Times New Roman"/>
          <w:sz w:val="24"/>
          <w:szCs w:val="24"/>
          <w:lang w:val="sr-Latn-RS"/>
        </w:rPr>
      </w:pPr>
    </w:p>
    <w:p w14:paraId="48695426" w14:textId="77777777" w:rsidR="003801E8" w:rsidRDefault="003801E8">
      <w:pPr>
        <w:tabs>
          <w:tab w:val="left" w:pos="3315"/>
        </w:tabs>
        <w:spacing w:line="360" w:lineRule="auto"/>
        <w:jc w:val="both"/>
        <w:rPr>
          <w:rFonts w:ascii="Book Antiqua" w:hAnsi="Book Antiqua" w:cs="Times New Roman"/>
          <w:sz w:val="24"/>
          <w:szCs w:val="24"/>
          <w:lang w:val="sr-Latn-RS"/>
        </w:rPr>
      </w:pPr>
    </w:p>
    <w:p w14:paraId="0BCE18B7" w14:textId="77777777" w:rsidR="003801E8" w:rsidRDefault="00E44AAE">
      <w:pPr>
        <w:tabs>
          <w:tab w:val="left" w:pos="3315"/>
        </w:tabs>
        <w:spacing w:line="360" w:lineRule="auto"/>
        <w:jc w:val="both"/>
        <w:rPr>
          <w:rFonts w:ascii="Book Antiqua" w:hAnsi="Book Antiqua" w:cs="Times New Roman"/>
          <w:sz w:val="22"/>
          <w:szCs w:val="22"/>
          <w:lang w:val="sr-Latn-RS"/>
        </w:rPr>
      </w:pPr>
      <w:r>
        <w:rPr>
          <w:rFonts w:ascii="Book Antiqua" w:hAnsi="Book Antiqua" w:cs="Times New Roman"/>
          <w:b/>
          <w:bCs/>
          <w:sz w:val="22"/>
          <w:szCs w:val="22"/>
          <w:lang w:val="sr-Latn-RS"/>
        </w:rPr>
        <w:lastRenderedPageBreak/>
        <w:t>Tabela 25</w:t>
      </w:r>
      <w:r>
        <w:rPr>
          <w:rFonts w:ascii="Book Antiqua" w:hAnsi="Book Antiqua" w:cs="Times New Roman"/>
          <w:sz w:val="22"/>
          <w:szCs w:val="22"/>
          <w:lang w:val="sr-Latn-RS"/>
        </w:rPr>
        <w:t xml:space="preserve">. Rezultati </w:t>
      </w:r>
      <w:r>
        <w:rPr>
          <w:rFonts w:ascii="Book Antiqua" w:hAnsi="Book Antiqua" w:cs="Times New Roman"/>
          <w:i/>
          <w:iCs/>
          <w:sz w:val="22"/>
          <w:szCs w:val="22"/>
          <w:lang w:val="sr-Latn-RS"/>
        </w:rPr>
        <w:t>in vitro</w:t>
      </w:r>
      <w:r>
        <w:rPr>
          <w:rFonts w:ascii="Book Antiqua" w:hAnsi="Book Antiqua" w:cs="Times New Roman"/>
          <w:sz w:val="22"/>
          <w:szCs w:val="22"/>
          <w:lang w:val="sr-Latn-RS"/>
        </w:rPr>
        <w:t xml:space="preserve"> antagonističkog testa </w:t>
      </w:r>
      <w:r>
        <w:rPr>
          <w:rFonts w:ascii="Book Antiqua" w:hAnsi="Book Antiqua" w:cs="Times New Roman"/>
          <w:i/>
          <w:iCs/>
          <w:sz w:val="22"/>
          <w:szCs w:val="22"/>
          <w:lang w:val="sr-Latn-RS"/>
        </w:rPr>
        <w:t>T. citrinoviride</w:t>
      </w:r>
      <w:r>
        <w:rPr>
          <w:rFonts w:ascii="Book Antiqua" w:hAnsi="Book Antiqua" w:cs="Times New Roman"/>
          <w:sz w:val="22"/>
          <w:szCs w:val="22"/>
          <w:lang w:val="sr-Latn-RS"/>
        </w:rPr>
        <w:t xml:space="preserve"> T-CG i </w:t>
      </w:r>
      <w:r>
        <w:rPr>
          <w:rFonts w:ascii="Book Antiqua" w:hAnsi="Book Antiqua" w:cs="Times New Roman"/>
          <w:i/>
          <w:iCs/>
          <w:sz w:val="22"/>
          <w:szCs w:val="22"/>
          <w:lang w:val="sr-Latn-RS"/>
        </w:rPr>
        <w:t>T. atroviride</w:t>
      </w:r>
      <w:r>
        <w:rPr>
          <w:rFonts w:ascii="Book Antiqua" w:hAnsi="Book Antiqua" w:cs="Times New Roman"/>
          <w:sz w:val="22"/>
          <w:szCs w:val="22"/>
          <w:lang w:val="sr-Latn-RS"/>
        </w:rPr>
        <w:t xml:space="preserve"> SC1 prema patogenima drveta</w:t>
      </w:r>
    </w:p>
    <w:tbl>
      <w:tblPr>
        <w:tblStyle w:val="TableGrid"/>
        <w:tblW w:w="8500" w:type="dxa"/>
        <w:tblLook w:val="04A0" w:firstRow="1" w:lastRow="0" w:firstColumn="1" w:lastColumn="0" w:noHBand="0" w:noVBand="1"/>
      </w:tblPr>
      <w:tblGrid>
        <w:gridCol w:w="1290"/>
        <w:gridCol w:w="1019"/>
        <w:gridCol w:w="1088"/>
        <w:gridCol w:w="1418"/>
        <w:gridCol w:w="1843"/>
        <w:gridCol w:w="1842"/>
      </w:tblGrid>
      <w:tr w:rsidR="003801E8" w14:paraId="408EB332" w14:textId="77777777">
        <w:tc>
          <w:tcPr>
            <w:tcW w:w="8500" w:type="dxa"/>
            <w:gridSpan w:val="6"/>
            <w:tcBorders>
              <w:left w:val="nil"/>
              <w:right w:val="nil"/>
            </w:tcBorders>
          </w:tcPr>
          <w:p w14:paraId="7C96CEF6" w14:textId="77777777" w:rsidR="003801E8" w:rsidRDefault="00E44AAE">
            <w:pPr>
              <w:tabs>
                <w:tab w:val="left" w:pos="3315"/>
              </w:tabs>
              <w:spacing w:after="0" w:line="360" w:lineRule="auto"/>
              <w:jc w:val="center"/>
              <w:rPr>
                <w:rFonts w:ascii="Book Antiqua" w:hAnsi="Book Antiqua" w:cs="Times New Roman"/>
                <w:b/>
                <w:bCs/>
                <w:i/>
                <w:iCs/>
                <w:sz w:val="18"/>
                <w:szCs w:val="18"/>
                <w:lang w:val="sr-Latn-RS"/>
              </w:rPr>
            </w:pPr>
            <w:r>
              <w:rPr>
                <w:rFonts w:ascii="Book Antiqua" w:hAnsi="Book Antiqua" w:cs="Times New Roman"/>
                <w:b/>
                <w:bCs/>
                <w:i/>
                <w:iCs/>
                <w:sz w:val="18"/>
                <w:szCs w:val="18"/>
                <w:lang w:val="sr-Latn-RS"/>
              </w:rPr>
              <w:t xml:space="preserve">Neofusicoccum parvum </w:t>
            </w:r>
            <w:r>
              <w:rPr>
                <w:rFonts w:ascii="Book Antiqua" w:hAnsi="Book Antiqua" w:cs="Times New Roman"/>
                <w:b/>
                <w:bCs/>
                <w:sz w:val="18"/>
                <w:szCs w:val="18"/>
                <w:lang w:val="sr-Latn-RS"/>
              </w:rPr>
              <w:t>MN001</w:t>
            </w:r>
          </w:p>
        </w:tc>
      </w:tr>
      <w:tr w:rsidR="003801E8" w14:paraId="275DC01A" w14:textId="77777777">
        <w:tc>
          <w:tcPr>
            <w:tcW w:w="1290" w:type="dxa"/>
            <w:tcBorders>
              <w:left w:val="nil"/>
              <w:right w:val="nil"/>
            </w:tcBorders>
          </w:tcPr>
          <w:p w14:paraId="3D7D5A82" w14:textId="77777777" w:rsidR="003801E8" w:rsidRDefault="003801E8">
            <w:pPr>
              <w:tabs>
                <w:tab w:val="left" w:pos="3315"/>
              </w:tabs>
              <w:spacing w:after="0" w:line="360" w:lineRule="auto"/>
              <w:jc w:val="both"/>
              <w:rPr>
                <w:rFonts w:ascii="Book Antiqua" w:hAnsi="Book Antiqua" w:cs="Times New Roman"/>
                <w:b/>
                <w:bCs/>
                <w:sz w:val="18"/>
                <w:szCs w:val="18"/>
                <w:lang w:val="sr-Latn-RS"/>
              </w:rPr>
            </w:pPr>
          </w:p>
          <w:p w14:paraId="0D0602CC" w14:textId="77777777" w:rsidR="003801E8" w:rsidRDefault="00E44AAE">
            <w:pPr>
              <w:tabs>
                <w:tab w:val="left" w:pos="3315"/>
              </w:tabs>
              <w:spacing w:after="0" w:line="360" w:lineRule="auto"/>
              <w:jc w:val="both"/>
              <w:rPr>
                <w:rFonts w:ascii="Book Antiqua" w:hAnsi="Book Antiqua" w:cs="Times New Roman"/>
                <w:b/>
                <w:bCs/>
                <w:sz w:val="18"/>
                <w:szCs w:val="18"/>
                <w:lang w:val="sr-Latn-RS"/>
              </w:rPr>
            </w:pPr>
            <w:r>
              <w:rPr>
                <w:rFonts w:ascii="Book Antiqua" w:hAnsi="Book Antiqua" w:cs="Times New Roman"/>
                <w:b/>
                <w:bCs/>
                <w:sz w:val="18"/>
                <w:szCs w:val="18"/>
                <w:lang w:val="sr-Latn-RS"/>
              </w:rPr>
              <w:t>Oznaka</w:t>
            </w:r>
          </w:p>
        </w:tc>
        <w:tc>
          <w:tcPr>
            <w:tcW w:w="1019" w:type="dxa"/>
            <w:tcBorders>
              <w:left w:val="nil"/>
              <w:right w:val="nil"/>
            </w:tcBorders>
          </w:tcPr>
          <w:p w14:paraId="3AA61038" w14:textId="77777777" w:rsidR="003801E8" w:rsidRDefault="00E44AAE">
            <w:pPr>
              <w:tabs>
                <w:tab w:val="left" w:pos="3315"/>
              </w:tabs>
              <w:spacing w:after="0" w:line="360" w:lineRule="auto"/>
              <w:jc w:val="both"/>
              <w:rPr>
                <w:rFonts w:ascii="Book Antiqua" w:hAnsi="Book Antiqua" w:cs="Times New Roman"/>
                <w:b/>
                <w:bCs/>
                <w:sz w:val="18"/>
                <w:szCs w:val="18"/>
                <w:lang w:val="sr-Latn-RS"/>
              </w:rPr>
            </w:pPr>
            <w:r>
              <w:rPr>
                <w:rFonts w:ascii="Book Antiqua" w:hAnsi="Book Antiqua" w:cs="Times New Roman"/>
                <w:b/>
                <w:bCs/>
                <w:sz w:val="18"/>
                <w:szCs w:val="18"/>
                <w:lang w:val="sr-Latn-RS"/>
              </w:rPr>
              <w:t>NP x TC (mm)</w:t>
            </w:r>
          </w:p>
        </w:tc>
        <w:tc>
          <w:tcPr>
            <w:tcW w:w="1088" w:type="dxa"/>
            <w:tcBorders>
              <w:left w:val="nil"/>
              <w:right w:val="nil"/>
            </w:tcBorders>
          </w:tcPr>
          <w:p w14:paraId="0FC91275" w14:textId="77777777" w:rsidR="003801E8" w:rsidRDefault="00E44AAE">
            <w:pPr>
              <w:tabs>
                <w:tab w:val="left" w:pos="3315"/>
              </w:tabs>
              <w:spacing w:after="0" w:line="360" w:lineRule="auto"/>
              <w:jc w:val="both"/>
              <w:rPr>
                <w:rFonts w:ascii="Book Antiqua" w:hAnsi="Book Antiqua" w:cs="Times New Roman"/>
                <w:b/>
                <w:bCs/>
                <w:sz w:val="18"/>
                <w:szCs w:val="18"/>
                <w:lang w:val="sr-Latn-RS"/>
              </w:rPr>
            </w:pPr>
            <w:r>
              <w:rPr>
                <w:rFonts w:ascii="Book Antiqua" w:hAnsi="Book Antiqua" w:cs="Times New Roman"/>
                <w:b/>
                <w:bCs/>
                <w:sz w:val="18"/>
                <w:szCs w:val="18"/>
                <w:lang w:val="sr-Latn-RS"/>
              </w:rPr>
              <w:t>NP x TA (mm)</w:t>
            </w:r>
          </w:p>
        </w:tc>
        <w:tc>
          <w:tcPr>
            <w:tcW w:w="1418" w:type="dxa"/>
            <w:tcBorders>
              <w:left w:val="nil"/>
              <w:right w:val="nil"/>
            </w:tcBorders>
          </w:tcPr>
          <w:p w14:paraId="2FD5CB60" w14:textId="77777777" w:rsidR="003801E8" w:rsidRDefault="00E44AAE">
            <w:pPr>
              <w:tabs>
                <w:tab w:val="left" w:pos="3315"/>
              </w:tabs>
              <w:spacing w:after="0" w:line="360" w:lineRule="auto"/>
              <w:jc w:val="both"/>
              <w:rPr>
                <w:rFonts w:ascii="Book Antiqua" w:hAnsi="Book Antiqua" w:cs="Times New Roman"/>
                <w:b/>
                <w:bCs/>
                <w:sz w:val="18"/>
                <w:szCs w:val="18"/>
                <w:lang w:val="sr-Latn-RS"/>
              </w:rPr>
            </w:pPr>
            <w:r>
              <w:rPr>
                <w:rFonts w:ascii="Book Antiqua" w:hAnsi="Book Antiqua" w:cs="Times New Roman"/>
                <w:b/>
                <w:bCs/>
                <w:sz w:val="18"/>
                <w:szCs w:val="18"/>
                <w:lang w:val="sr-Latn-RS"/>
              </w:rPr>
              <w:t>NP kontrola (mm)</w:t>
            </w:r>
          </w:p>
        </w:tc>
        <w:tc>
          <w:tcPr>
            <w:tcW w:w="1843" w:type="dxa"/>
            <w:tcBorders>
              <w:left w:val="nil"/>
              <w:right w:val="nil"/>
            </w:tcBorders>
          </w:tcPr>
          <w:p w14:paraId="37E7F68B" w14:textId="77777777" w:rsidR="003801E8" w:rsidRDefault="00E44AAE">
            <w:pPr>
              <w:tabs>
                <w:tab w:val="left" w:pos="3315"/>
              </w:tabs>
              <w:spacing w:after="0" w:line="360" w:lineRule="auto"/>
              <w:jc w:val="both"/>
              <w:rPr>
                <w:rFonts w:ascii="Book Antiqua" w:hAnsi="Book Antiqua" w:cs="Times New Roman"/>
                <w:b/>
                <w:bCs/>
                <w:sz w:val="18"/>
                <w:szCs w:val="18"/>
                <w:lang w:val="sr-Latn-RS"/>
              </w:rPr>
            </w:pPr>
            <w:r>
              <w:rPr>
                <w:rFonts w:ascii="Book Antiqua" w:hAnsi="Book Antiqua" w:cs="Times New Roman"/>
                <w:b/>
                <w:bCs/>
                <w:sz w:val="18"/>
                <w:szCs w:val="18"/>
                <w:lang w:val="sr-Latn-RS"/>
              </w:rPr>
              <w:t>Inhibicija NP x TC      (%)</w:t>
            </w:r>
          </w:p>
        </w:tc>
        <w:tc>
          <w:tcPr>
            <w:tcW w:w="1842" w:type="dxa"/>
            <w:tcBorders>
              <w:left w:val="nil"/>
              <w:right w:val="nil"/>
            </w:tcBorders>
          </w:tcPr>
          <w:p w14:paraId="58EA1613" w14:textId="77777777" w:rsidR="003801E8" w:rsidRDefault="00E44AAE">
            <w:pPr>
              <w:tabs>
                <w:tab w:val="left" w:pos="3315"/>
              </w:tabs>
              <w:spacing w:after="0" w:line="360" w:lineRule="auto"/>
              <w:jc w:val="both"/>
              <w:rPr>
                <w:rFonts w:ascii="Book Antiqua" w:hAnsi="Book Antiqua" w:cs="Times New Roman"/>
                <w:b/>
                <w:bCs/>
                <w:sz w:val="18"/>
                <w:szCs w:val="18"/>
                <w:lang w:val="sr-Latn-RS"/>
              </w:rPr>
            </w:pPr>
            <w:r>
              <w:rPr>
                <w:rFonts w:ascii="Book Antiqua" w:hAnsi="Book Antiqua" w:cs="Times New Roman"/>
                <w:b/>
                <w:bCs/>
                <w:sz w:val="18"/>
                <w:szCs w:val="18"/>
                <w:lang w:val="sr-Latn-RS"/>
              </w:rPr>
              <w:t>Inhibicija NP x TA (%)</w:t>
            </w:r>
          </w:p>
        </w:tc>
      </w:tr>
      <w:tr w:rsidR="003801E8" w14:paraId="66B7C860" w14:textId="77777777">
        <w:tc>
          <w:tcPr>
            <w:tcW w:w="1290" w:type="dxa"/>
            <w:tcBorders>
              <w:left w:val="nil"/>
              <w:bottom w:val="nil"/>
              <w:right w:val="nil"/>
            </w:tcBorders>
          </w:tcPr>
          <w:p w14:paraId="529F802F" w14:textId="77777777" w:rsidR="003801E8" w:rsidRDefault="00E44AAE">
            <w:pPr>
              <w:tabs>
                <w:tab w:val="left" w:pos="3315"/>
              </w:tabs>
              <w:spacing w:after="0" w:line="360" w:lineRule="auto"/>
              <w:jc w:val="both"/>
              <w:rPr>
                <w:rFonts w:ascii="Book Antiqua" w:hAnsi="Book Antiqua" w:cs="Times New Roman"/>
                <w:sz w:val="18"/>
                <w:szCs w:val="18"/>
                <w:lang w:val="sr-Latn-RS"/>
              </w:rPr>
            </w:pPr>
            <w:r>
              <w:rPr>
                <w:rFonts w:ascii="Book Antiqua" w:hAnsi="Book Antiqua" w:cs="Times New Roman"/>
                <w:sz w:val="18"/>
                <w:szCs w:val="18"/>
                <w:lang w:val="en-US"/>
              </w:rPr>
              <w:t>P1</w:t>
            </w:r>
          </w:p>
        </w:tc>
        <w:tc>
          <w:tcPr>
            <w:tcW w:w="1019" w:type="dxa"/>
            <w:tcBorders>
              <w:left w:val="nil"/>
              <w:bottom w:val="nil"/>
              <w:right w:val="nil"/>
            </w:tcBorders>
          </w:tcPr>
          <w:p w14:paraId="4C0563A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w:t>
            </w:r>
          </w:p>
        </w:tc>
        <w:tc>
          <w:tcPr>
            <w:tcW w:w="1088" w:type="dxa"/>
            <w:tcBorders>
              <w:left w:val="nil"/>
              <w:bottom w:val="nil"/>
              <w:right w:val="nil"/>
            </w:tcBorders>
          </w:tcPr>
          <w:p w14:paraId="05CC58E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418" w:type="dxa"/>
            <w:tcBorders>
              <w:left w:val="nil"/>
              <w:bottom w:val="nil"/>
              <w:right w:val="nil"/>
            </w:tcBorders>
          </w:tcPr>
          <w:p w14:paraId="0B7A827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69</w:t>
            </w:r>
          </w:p>
        </w:tc>
        <w:tc>
          <w:tcPr>
            <w:tcW w:w="1843" w:type="dxa"/>
            <w:tcBorders>
              <w:left w:val="nil"/>
              <w:bottom w:val="nil"/>
              <w:right w:val="nil"/>
            </w:tcBorders>
          </w:tcPr>
          <w:p w14:paraId="75EBB0B8"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44.93</w:t>
            </w:r>
          </w:p>
        </w:tc>
        <w:tc>
          <w:tcPr>
            <w:tcW w:w="1842" w:type="dxa"/>
            <w:tcBorders>
              <w:left w:val="nil"/>
              <w:bottom w:val="nil"/>
              <w:right w:val="nil"/>
            </w:tcBorders>
          </w:tcPr>
          <w:p w14:paraId="6DE78A76"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46.38</w:t>
            </w:r>
          </w:p>
        </w:tc>
      </w:tr>
      <w:tr w:rsidR="003801E8" w14:paraId="638346F4" w14:textId="77777777">
        <w:tc>
          <w:tcPr>
            <w:tcW w:w="1290" w:type="dxa"/>
            <w:tcBorders>
              <w:top w:val="nil"/>
              <w:left w:val="nil"/>
              <w:bottom w:val="nil"/>
              <w:right w:val="nil"/>
            </w:tcBorders>
          </w:tcPr>
          <w:p w14:paraId="338F004A" w14:textId="77777777" w:rsidR="003801E8" w:rsidRDefault="00E44AAE">
            <w:pPr>
              <w:tabs>
                <w:tab w:val="left" w:pos="3315"/>
              </w:tabs>
              <w:spacing w:after="0" w:line="360" w:lineRule="auto"/>
              <w:jc w:val="both"/>
              <w:rPr>
                <w:rFonts w:ascii="Book Antiqua" w:hAnsi="Book Antiqua" w:cs="Times New Roman"/>
                <w:sz w:val="18"/>
                <w:szCs w:val="18"/>
                <w:lang w:val="sr-Latn-RS"/>
              </w:rPr>
            </w:pPr>
            <w:r>
              <w:rPr>
                <w:rFonts w:ascii="Book Antiqua" w:hAnsi="Book Antiqua" w:cs="Times New Roman"/>
                <w:sz w:val="18"/>
                <w:szCs w:val="18"/>
                <w:lang w:val="en-US"/>
              </w:rPr>
              <w:t>P1</w:t>
            </w:r>
          </w:p>
        </w:tc>
        <w:tc>
          <w:tcPr>
            <w:tcW w:w="1019" w:type="dxa"/>
            <w:tcBorders>
              <w:top w:val="nil"/>
              <w:left w:val="nil"/>
              <w:bottom w:val="nil"/>
              <w:right w:val="nil"/>
            </w:tcBorders>
          </w:tcPr>
          <w:p w14:paraId="100AE29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088" w:type="dxa"/>
            <w:tcBorders>
              <w:top w:val="nil"/>
              <w:left w:val="nil"/>
              <w:bottom w:val="nil"/>
              <w:right w:val="nil"/>
            </w:tcBorders>
          </w:tcPr>
          <w:p w14:paraId="0CA2735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w:t>
            </w:r>
          </w:p>
        </w:tc>
        <w:tc>
          <w:tcPr>
            <w:tcW w:w="1418" w:type="dxa"/>
            <w:tcBorders>
              <w:top w:val="nil"/>
              <w:left w:val="nil"/>
              <w:bottom w:val="nil"/>
              <w:right w:val="nil"/>
            </w:tcBorders>
          </w:tcPr>
          <w:p w14:paraId="4F2EF5C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71</w:t>
            </w:r>
          </w:p>
        </w:tc>
        <w:tc>
          <w:tcPr>
            <w:tcW w:w="1843" w:type="dxa"/>
            <w:tcBorders>
              <w:top w:val="nil"/>
              <w:left w:val="nil"/>
              <w:bottom w:val="nil"/>
              <w:right w:val="nil"/>
            </w:tcBorders>
          </w:tcPr>
          <w:p w14:paraId="579840E4"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47.89</w:t>
            </w:r>
          </w:p>
        </w:tc>
        <w:tc>
          <w:tcPr>
            <w:tcW w:w="1842" w:type="dxa"/>
            <w:tcBorders>
              <w:top w:val="nil"/>
              <w:left w:val="nil"/>
              <w:bottom w:val="nil"/>
              <w:right w:val="nil"/>
            </w:tcBorders>
          </w:tcPr>
          <w:p w14:paraId="06FE43FF"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43.66</w:t>
            </w:r>
          </w:p>
        </w:tc>
      </w:tr>
      <w:tr w:rsidR="003801E8" w14:paraId="171327CA" w14:textId="77777777">
        <w:tc>
          <w:tcPr>
            <w:tcW w:w="1290" w:type="dxa"/>
            <w:tcBorders>
              <w:top w:val="nil"/>
              <w:left w:val="nil"/>
              <w:bottom w:val="nil"/>
              <w:right w:val="nil"/>
            </w:tcBorders>
          </w:tcPr>
          <w:p w14:paraId="3E45FD1F" w14:textId="77777777" w:rsidR="003801E8" w:rsidRDefault="00E44AAE">
            <w:pPr>
              <w:tabs>
                <w:tab w:val="left" w:pos="3315"/>
              </w:tabs>
              <w:spacing w:after="0" w:line="360" w:lineRule="auto"/>
              <w:jc w:val="both"/>
              <w:rPr>
                <w:rFonts w:ascii="Book Antiqua" w:hAnsi="Book Antiqua" w:cs="Times New Roman"/>
                <w:sz w:val="18"/>
                <w:szCs w:val="18"/>
                <w:lang w:val="sr-Latn-RS"/>
              </w:rPr>
            </w:pPr>
            <w:r>
              <w:rPr>
                <w:rFonts w:ascii="Book Antiqua" w:hAnsi="Book Antiqua" w:cs="Times New Roman"/>
                <w:sz w:val="18"/>
                <w:szCs w:val="18"/>
                <w:lang w:val="en-US"/>
              </w:rPr>
              <w:t>P1</w:t>
            </w:r>
          </w:p>
        </w:tc>
        <w:tc>
          <w:tcPr>
            <w:tcW w:w="1019" w:type="dxa"/>
            <w:tcBorders>
              <w:top w:val="nil"/>
              <w:left w:val="nil"/>
              <w:bottom w:val="nil"/>
              <w:right w:val="nil"/>
            </w:tcBorders>
          </w:tcPr>
          <w:p w14:paraId="1E0C591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39</w:t>
            </w:r>
          </w:p>
        </w:tc>
        <w:tc>
          <w:tcPr>
            <w:tcW w:w="1088" w:type="dxa"/>
            <w:tcBorders>
              <w:top w:val="nil"/>
              <w:left w:val="nil"/>
              <w:bottom w:val="nil"/>
              <w:right w:val="nil"/>
            </w:tcBorders>
          </w:tcPr>
          <w:p w14:paraId="5AC398F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39</w:t>
            </w:r>
          </w:p>
        </w:tc>
        <w:tc>
          <w:tcPr>
            <w:tcW w:w="1418" w:type="dxa"/>
            <w:tcBorders>
              <w:top w:val="nil"/>
              <w:left w:val="nil"/>
              <w:bottom w:val="nil"/>
              <w:right w:val="nil"/>
            </w:tcBorders>
          </w:tcPr>
          <w:p w14:paraId="1CD0C12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68</w:t>
            </w:r>
          </w:p>
        </w:tc>
        <w:tc>
          <w:tcPr>
            <w:tcW w:w="1843" w:type="dxa"/>
            <w:tcBorders>
              <w:top w:val="nil"/>
              <w:left w:val="nil"/>
              <w:bottom w:val="nil"/>
              <w:right w:val="nil"/>
            </w:tcBorders>
          </w:tcPr>
          <w:p w14:paraId="0F8EEB8F"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42.65</w:t>
            </w:r>
          </w:p>
        </w:tc>
        <w:tc>
          <w:tcPr>
            <w:tcW w:w="1842" w:type="dxa"/>
            <w:tcBorders>
              <w:top w:val="nil"/>
              <w:left w:val="nil"/>
              <w:bottom w:val="nil"/>
              <w:right w:val="nil"/>
            </w:tcBorders>
          </w:tcPr>
          <w:p w14:paraId="78EF801F"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42.65</w:t>
            </w:r>
          </w:p>
        </w:tc>
      </w:tr>
      <w:tr w:rsidR="003801E8" w14:paraId="7EA16A17" w14:textId="77777777">
        <w:tc>
          <w:tcPr>
            <w:tcW w:w="1290" w:type="dxa"/>
            <w:tcBorders>
              <w:top w:val="nil"/>
              <w:left w:val="nil"/>
              <w:bottom w:val="nil"/>
              <w:right w:val="nil"/>
            </w:tcBorders>
          </w:tcPr>
          <w:p w14:paraId="54EA340B"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P1</w:t>
            </w:r>
          </w:p>
        </w:tc>
        <w:tc>
          <w:tcPr>
            <w:tcW w:w="1019" w:type="dxa"/>
            <w:tcBorders>
              <w:top w:val="nil"/>
              <w:left w:val="nil"/>
              <w:bottom w:val="nil"/>
              <w:right w:val="nil"/>
            </w:tcBorders>
          </w:tcPr>
          <w:p w14:paraId="37DB64A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w:t>
            </w:r>
          </w:p>
        </w:tc>
        <w:tc>
          <w:tcPr>
            <w:tcW w:w="1088" w:type="dxa"/>
            <w:tcBorders>
              <w:top w:val="nil"/>
              <w:left w:val="nil"/>
              <w:bottom w:val="nil"/>
              <w:right w:val="nil"/>
            </w:tcBorders>
          </w:tcPr>
          <w:p w14:paraId="76B178F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35</w:t>
            </w:r>
          </w:p>
        </w:tc>
        <w:tc>
          <w:tcPr>
            <w:tcW w:w="1418" w:type="dxa"/>
            <w:tcBorders>
              <w:top w:val="nil"/>
              <w:left w:val="nil"/>
              <w:bottom w:val="nil"/>
              <w:right w:val="nil"/>
            </w:tcBorders>
          </w:tcPr>
          <w:p w14:paraId="117B7AB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69</w:t>
            </w:r>
          </w:p>
        </w:tc>
        <w:tc>
          <w:tcPr>
            <w:tcW w:w="1843" w:type="dxa"/>
            <w:tcBorders>
              <w:top w:val="nil"/>
              <w:left w:val="nil"/>
              <w:bottom w:val="nil"/>
              <w:right w:val="nil"/>
            </w:tcBorders>
          </w:tcPr>
          <w:p w14:paraId="491ED103"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42.03</w:t>
            </w:r>
          </w:p>
        </w:tc>
        <w:tc>
          <w:tcPr>
            <w:tcW w:w="1842" w:type="dxa"/>
            <w:tcBorders>
              <w:top w:val="nil"/>
              <w:left w:val="nil"/>
              <w:bottom w:val="nil"/>
              <w:right w:val="nil"/>
            </w:tcBorders>
          </w:tcPr>
          <w:p w14:paraId="3E452B78"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49.28</w:t>
            </w:r>
          </w:p>
        </w:tc>
      </w:tr>
      <w:tr w:rsidR="003801E8" w14:paraId="1829C433" w14:textId="77777777">
        <w:tc>
          <w:tcPr>
            <w:tcW w:w="1290" w:type="dxa"/>
            <w:tcBorders>
              <w:top w:val="nil"/>
              <w:left w:val="nil"/>
              <w:bottom w:val="nil"/>
              <w:right w:val="nil"/>
            </w:tcBorders>
          </w:tcPr>
          <w:p w14:paraId="116FE9D9"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0D6AD61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w:t>
            </w:r>
          </w:p>
        </w:tc>
        <w:tc>
          <w:tcPr>
            <w:tcW w:w="1088" w:type="dxa"/>
            <w:tcBorders>
              <w:top w:val="nil"/>
              <w:left w:val="nil"/>
              <w:bottom w:val="nil"/>
              <w:right w:val="nil"/>
            </w:tcBorders>
          </w:tcPr>
          <w:p w14:paraId="56A4FDC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418" w:type="dxa"/>
            <w:tcBorders>
              <w:top w:val="nil"/>
              <w:left w:val="nil"/>
              <w:bottom w:val="nil"/>
              <w:right w:val="nil"/>
            </w:tcBorders>
          </w:tcPr>
          <w:p w14:paraId="12A8ED67"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79</w:t>
            </w:r>
          </w:p>
        </w:tc>
        <w:tc>
          <w:tcPr>
            <w:tcW w:w="1843" w:type="dxa"/>
            <w:tcBorders>
              <w:top w:val="nil"/>
              <w:left w:val="nil"/>
              <w:bottom w:val="nil"/>
              <w:right w:val="nil"/>
            </w:tcBorders>
          </w:tcPr>
          <w:p w14:paraId="75A832AD"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51.90</w:t>
            </w:r>
          </w:p>
        </w:tc>
        <w:tc>
          <w:tcPr>
            <w:tcW w:w="1842" w:type="dxa"/>
            <w:tcBorders>
              <w:top w:val="nil"/>
              <w:left w:val="nil"/>
              <w:bottom w:val="nil"/>
              <w:right w:val="nil"/>
            </w:tcBorders>
          </w:tcPr>
          <w:p w14:paraId="50AD01C5"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53.16</w:t>
            </w:r>
          </w:p>
        </w:tc>
      </w:tr>
      <w:tr w:rsidR="003801E8" w14:paraId="7F2563D4" w14:textId="77777777">
        <w:tc>
          <w:tcPr>
            <w:tcW w:w="1290" w:type="dxa"/>
            <w:tcBorders>
              <w:top w:val="nil"/>
              <w:left w:val="nil"/>
              <w:bottom w:val="nil"/>
              <w:right w:val="nil"/>
            </w:tcBorders>
          </w:tcPr>
          <w:p w14:paraId="1558A602"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04E5472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088" w:type="dxa"/>
            <w:tcBorders>
              <w:top w:val="nil"/>
              <w:left w:val="nil"/>
              <w:bottom w:val="nil"/>
              <w:right w:val="nil"/>
            </w:tcBorders>
          </w:tcPr>
          <w:p w14:paraId="6AE7BEB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418" w:type="dxa"/>
            <w:tcBorders>
              <w:top w:val="nil"/>
              <w:left w:val="nil"/>
              <w:bottom w:val="nil"/>
              <w:right w:val="nil"/>
            </w:tcBorders>
          </w:tcPr>
          <w:p w14:paraId="578C75F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68</w:t>
            </w:r>
          </w:p>
        </w:tc>
        <w:tc>
          <w:tcPr>
            <w:tcW w:w="1843" w:type="dxa"/>
            <w:tcBorders>
              <w:top w:val="nil"/>
              <w:left w:val="nil"/>
              <w:bottom w:val="nil"/>
              <w:right w:val="nil"/>
            </w:tcBorders>
          </w:tcPr>
          <w:p w14:paraId="4296EFA1"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45.59</w:t>
            </w:r>
          </w:p>
        </w:tc>
        <w:tc>
          <w:tcPr>
            <w:tcW w:w="1842" w:type="dxa"/>
            <w:tcBorders>
              <w:top w:val="nil"/>
              <w:left w:val="nil"/>
              <w:bottom w:val="nil"/>
              <w:right w:val="nil"/>
            </w:tcBorders>
          </w:tcPr>
          <w:p w14:paraId="3373DE56"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45.59</w:t>
            </w:r>
          </w:p>
        </w:tc>
      </w:tr>
      <w:tr w:rsidR="003801E8" w14:paraId="27B18A5D" w14:textId="77777777">
        <w:tc>
          <w:tcPr>
            <w:tcW w:w="1290" w:type="dxa"/>
            <w:tcBorders>
              <w:top w:val="nil"/>
              <w:left w:val="nil"/>
              <w:bottom w:val="nil"/>
              <w:right w:val="nil"/>
            </w:tcBorders>
          </w:tcPr>
          <w:p w14:paraId="5873AD02"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68C0FC4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w:t>
            </w:r>
          </w:p>
        </w:tc>
        <w:tc>
          <w:tcPr>
            <w:tcW w:w="1088" w:type="dxa"/>
            <w:tcBorders>
              <w:top w:val="nil"/>
              <w:left w:val="nil"/>
              <w:bottom w:val="nil"/>
              <w:right w:val="nil"/>
            </w:tcBorders>
          </w:tcPr>
          <w:p w14:paraId="4E9AB50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39</w:t>
            </w:r>
          </w:p>
        </w:tc>
        <w:tc>
          <w:tcPr>
            <w:tcW w:w="1418" w:type="dxa"/>
            <w:tcBorders>
              <w:top w:val="nil"/>
              <w:left w:val="nil"/>
              <w:bottom w:val="nil"/>
              <w:right w:val="nil"/>
            </w:tcBorders>
          </w:tcPr>
          <w:p w14:paraId="20200F8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68</w:t>
            </w:r>
          </w:p>
        </w:tc>
        <w:tc>
          <w:tcPr>
            <w:tcW w:w="1843" w:type="dxa"/>
            <w:tcBorders>
              <w:top w:val="nil"/>
              <w:left w:val="nil"/>
              <w:bottom w:val="nil"/>
              <w:right w:val="nil"/>
            </w:tcBorders>
          </w:tcPr>
          <w:p w14:paraId="0900B884"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44.12</w:t>
            </w:r>
          </w:p>
        </w:tc>
        <w:tc>
          <w:tcPr>
            <w:tcW w:w="1842" w:type="dxa"/>
            <w:tcBorders>
              <w:top w:val="nil"/>
              <w:left w:val="nil"/>
              <w:bottom w:val="nil"/>
              <w:right w:val="nil"/>
            </w:tcBorders>
          </w:tcPr>
          <w:p w14:paraId="7BB346D6"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42.65</w:t>
            </w:r>
          </w:p>
        </w:tc>
      </w:tr>
      <w:tr w:rsidR="003801E8" w14:paraId="54A7BEE0" w14:textId="77777777">
        <w:tc>
          <w:tcPr>
            <w:tcW w:w="1290" w:type="dxa"/>
            <w:tcBorders>
              <w:top w:val="nil"/>
              <w:left w:val="nil"/>
              <w:bottom w:val="nil"/>
              <w:right w:val="nil"/>
            </w:tcBorders>
          </w:tcPr>
          <w:p w14:paraId="6115C6C2"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1B76EA6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w:t>
            </w:r>
          </w:p>
        </w:tc>
        <w:tc>
          <w:tcPr>
            <w:tcW w:w="1088" w:type="dxa"/>
            <w:tcBorders>
              <w:top w:val="nil"/>
              <w:left w:val="nil"/>
              <w:bottom w:val="nil"/>
              <w:right w:val="nil"/>
            </w:tcBorders>
          </w:tcPr>
          <w:p w14:paraId="3C0C2B4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36</w:t>
            </w:r>
          </w:p>
        </w:tc>
        <w:tc>
          <w:tcPr>
            <w:tcW w:w="1418" w:type="dxa"/>
            <w:tcBorders>
              <w:top w:val="nil"/>
              <w:left w:val="nil"/>
              <w:bottom w:val="nil"/>
              <w:right w:val="nil"/>
            </w:tcBorders>
          </w:tcPr>
          <w:p w14:paraId="39E5B1F7"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67</w:t>
            </w:r>
          </w:p>
        </w:tc>
        <w:tc>
          <w:tcPr>
            <w:tcW w:w="1843" w:type="dxa"/>
            <w:tcBorders>
              <w:top w:val="nil"/>
              <w:left w:val="nil"/>
              <w:bottom w:val="nil"/>
              <w:right w:val="nil"/>
            </w:tcBorders>
          </w:tcPr>
          <w:p w14:paraId="3BE922C7"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43.28</w:t>
            </w:r>
          </w:p>
        </w:tc>
        <w:tc>
          <w:tcPr>
            <w:tcW w:w="1842" w:type="dxa"/>
            <w:tcBorders>
              <w:top w:val="nil"/>
              <w:left w:val="nil"/>
              <w:bottom w:val="nil"/>
              <w:right w:val="nil"/>
            </w:tcBorders>
          </w:tcPr>
          <w:p w14:paraId="79E80228"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46.27</w:t>
            </w:r>
          </w:p>
        </w:tc>
      </w:tr>
      <w:tr w:rsidR="003801E8" w14:paraId="11208CB3" w14:textId="77777777">
        <w:tc>
          <w:tcPr>
            <w:tcW w:w="1290" w:type="dxa"/>
            <w:tcBorders>
              <w:top w:val="nil"/>
              <w:left w:val="nil"/>
              <w:bottom w:val="nil"/>
              <w:right w:val="nil"/>
            </w:tcBorders>
          </w:tcPr>
          <w:p w14:paraId="42528B70"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73BC2F6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w:t>
            </w:r>
          </w:p>
        </w:tc>
        <w:tc>
          <w:tcPr>
            <w:tcW w:w="1088" w:type="dxa"/>
            <w:tcBorders>
              <w:top w:val="nil"/>
              <w:left w:val="nil"/>
              <w:bottom w:val="nil"/>
              <w:right w:val="nil"/>
            </w:tcBorders>
          </w:tcPr>
          <w:p w14:paraId="1572D1C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w:t>
            </w:r>
          </w:p>
        </w:tc>
        <w:tc>
          <w:tcPr>
            <w:tcW w:w="1418" w:type="dxa"/>
            <w:tcBorders>
              <w:top w:val="nil"/>
              <w:left w:val="nil"/>
              <w:bottom w:val="nil"/>
              <w:right w:val="nil"/>
            </w:tcBorders>
          </w:tcPr>
          <w:p w14:paraId="70E710B7"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69</w:t>
            </w:r>
          </w:p>
        </w:tc>
        <w:tc>
          <w:tcPr>
            <w:tcW w:w="1843" w:type="dxa"/>
            <w:tcBorders>
              <w:top w:val="nil"/>
              <w:left w:val="nil"/>
              <w:bottom w:val="nil"/>
              <w:right w:val="nil"/>
            </w:tcBorders>
          </w:tcPr>
          <w:p w14:paraId="6B79309E"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42.03</w:t>
            </w:r>
          </w:p>
        </w:tc>
        <w:tc>
          <w:tcPr>
            <w:tcW w:w="1842" w:type="dxa"/>
            <w:tcBorders>
              <w:top w:val="nil"/>
              <w:left w:val="nil"/>
              <w:bottom w:val="nil"/>
              <w:right w:val="nil"/>
            </w:tcBorders>
          </w:tcPr>
          <w:p w14:paraId="234B0C38"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42.03</w:t>
            </w:r>
          </w:p>
        </w:tc>
      </w:tr>
      <w:tr w:rsidR="003801E8" w14:paraId="28ABBE2E" w14:textId="77777777">
        <w:tc>
          <w:tcPr>
            <w:tcW w:w="1290" w:type="dxa"/>
            <w:tcBorders>
              <w:top w:val="nil"/>
              <w:left w:val="nil"/>
              <w:bottom w:val="nil"/>
              <w:right w:val="nil"/>
            </w:tcBorders>
          </w:tcPr>
          <w:p w14:paraId="28C26607"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44D0DA7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w:t>
            </w:r>
          </w:p>
        </w:tc>
        <w:tc>
          <w:tcPr>
            <w:tcW w:w="1088" w:type="dxa"/>
            <w:tcBorders>
              <w:top w:val="nil"/>
              <w:left w:val="nil"/>
              <w:bottom w:val="nil"/>
              <w:right w:val="nil"/>
            </w:tcBorders>
          </w:tcPr>
          <w:p w14:paraId="1B59920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35</w:t>
            </w:r>
          </w:p>
        </w:tc>
        <w:tc>
          <w:tcPr>
            <w:tcW w:w="1418" w:type="dxa"/>
            <w:tcBorders>
              <w:top w:val="nil"/>
              <w:left w:val="nil"/>
              <w:bottom w:val="nil"/>
              <w:right w:val="nil"/>
            </w:tcBorders>
          </w:tcPr>
          <w:p w14:paraId="5643A9A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70</w:t>
            </w:r>
          </w:p>
        </w:tc>
        <w:tc>
          <w:tcPr>
            <w:tcW w:w="1843" w:type="dxa"/>
            <w:tcBorders>
              <w:top w:val="nil"/>
              <w:left w:val="nil"/>
              <w:bottom w:val="nil"/>
              <w:right w:val="nil"/>
            </w:tcBorders>
          </w:tcPr>
          <w:p w14:paraId="7CD02B5B"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42.86</w:t>
            </w:r>
          </w:p>
        </w:tc>
        <w:tc>
          <w:tcPr>
            <w:tcW w:w="1842" w:type="dxa"/>
            <w:tcBorders>
              <w:top w:val="nil"/>
              <w:left w:val="nil"/>
              <w:bottom w:val="nil"/>
              <w:right w:val="nil"/>
            </w:tcBorders>
          </w:tcPr>
          <w:p w14:paraId="591C2B08"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50.00</w:t>
            </w:r>
          </w:p>
        </w:tc>
      </w:tr>
      <w:tr w:rsidR="003801E8" w14:paraId="2FDBCA0D" w14:textId="77777777">
        <w:tc>
          <w:tcPr>
            <w:tcW w:w="1290" w:type="dxa"/>
            <w:tcBorders>
              <w:top w:val="nil"/>
              <w:left w:val="nil"/>
              <w:bottom w:val="nil"/>
              <w:right w:val="nil"/>
            </w:tcBorders>
          </w:tcPr>
          <w:p w14:paraId="5FABB03E"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589529F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39</w:t>
            </w:r>
          </w:p>
        </w:tc>
        <w:tc>
          <w:tcPr>
            <w:tcW w:w="1088" w:type="dxa"/>
            <w:tcBorders>
              <w:top w:val="nil"/>
              <w:left w:val="nil"/>
              <w:bottom w:val="nil"/>
              <w:right w:val="nil"/>
            </w:tcBorders>
          </w:tcPr>
          <w:p w14:paraId="6D76E03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w:t>
            </w:r>
          </w:p>
        </w:tc>
        <w:tc>
          <w:tcPr>
            <w:tcW w:w="1418" w:type="dxa"/>
            <w:tcBorders>
              <w:top w:val="nil"/>
              <w:left w:val="nil"/>
              <w:bottom w:val="nil"/>
              <w:right w:val="nil"/>
            </w:tcBorders>
          </w:tcPr>
          <w:p w14:paraId="0484536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70</w:t>
            </w:r>
          </w:p>
        </w:tc>
        <w:tc>
          <w:tcPr>
            <w:tcW w:w="1843" w:type="dxa"/>
            <w:tcBorders>
              <w:top w:val="nil"/>
              <w:left w:val="nil"/>
              <w:bottom w:val="nil"/>
              <w:right w:val="nil"/>
            </w:tcBorders>
          </w:tcPr>
          <w:p w14:paraId="638083E3"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44.29</w:t>
            </w:r>
          </w:p>
        </w:tc>
        <w:tc>
          <w:tcPr>
            <w:tcW w:w="1842" w:type="dxa"/>
            <w:tcBorders>
              <w:top w:val="nil"/>
              <w:left w:val="nil"/>
              <w:bottom w:val="nil"/>
              <w:right w:val="nil"/>
            </w:tcBorders>
          </w:tcPr>
          <w:p w14:paraId="545083C4"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45.71</w:t>
            </w:r>
          </w:p>
        </w:tc>
      </w:tr>
      <w:tr w:rsidR="003801E8" w14:paraId="5E0C0359" w14:textId="77777777">
        <w:tc>
          <w:tcPr>
            <w:tcW w:w="1290" w:type="dxa"/>
            <w:tcBorders>
              <w:top w:val="nil"/>
              <w:left w:val="nil"/>
              <w:bottom w:val="nil"/>
              <w:right w:val="nil"/>
            </w:tcBorders>
          </w:tcPr>
          <w:p w14:paraId="1DE31204"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2B36ED4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088" w:type="dxa"/>
            <w:tcBorders>
              <w:top w:val="nil"/>
              <w:left w:val="nil"/>
              <w:bottom w:val="nil"/>
              <w:right w:val="nil"/>
            </w:tcBorders>
          </w:tcPr>
          <w:p w14:paraId="7538D397"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418" w:type="dxa"/>
            <w:tcBorders>
              <w:top w:val="nil"/>
              <w:left w:val="nil"/>
              <w:bottom w:val="nil"/>
              <w:right w:val="nil"/>
            </w:tcBorders>
          </w:tcPr>
          <w:p w14:paraId="201A472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71</w:t>
            </w:r>
          </w:p>
        </w:tc>
        <w:tc>
          <w:tcPr>
            <w:tcW w:w="1843" w:type="dxa"/>
            <w:tcBorders>
              <w:top w:val="nil"/>
              <w:left w:val="nil"/>
              <w:bottom w:val="nil"/>
              <w:right w:val="nil"/>
            </w:tcBorders>
          </w:tcPr>
          <w:p w14:paraId="2B28BAC0"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47.89</w:t>
            </w:r>
          </w:p>
        </w:tc>
        <w:tc>
          <w:tcPr>
            <w:tcW w:w="1842" w:type="dxa"/>
            <w:tcBorders>
              <w:top w:val="nil"/>
              <w:left w:val="nil"/>
              <w:bottom w:val="nil"/>
              <w:right w:val="nil"/>
            </w:tcBorders>
          </w:tcPr>
          <w:p w14:paraId="54911CD5" w14:textId="77777777" w:rsidR="003801E8" w:rsidRDefault="00E44AAE">
            <w:pPr>
              <w:tabs>
                <w:tab w:val="left" w:pos="3315"/>
              </w:tabs>
              <w:spacing w:after="0" w:line="360" w:lineRule="auto"/>
              <w:jc w:val="center"/>
              <w:rPr>
                <w:rFonts w:ascii="Book Antiqua" w:hAnsi="Book Antiqua" w:cs="Times New Roman"/>
                <w:sz w:val="18"/>
                <w:szCs w:val="18"/>
                <w:lang w:val="sr-Latn-RS"/>
              </w:rPr>
            </w:pPr>
            <w:r>
              <w:rPr>
                <w:rFonts w:ascii="Book Antiqua" w:hAnsi="Book Antiqua" w:cs="Times New Roman"/>
                <w:sz w:val="18"/>
                <w:szCs w:val="18"/>
                <w:lang w:val="sr-Latn-RS"/>
              </w:rPr>
              <w:t>47.89</w:t>
            </w:r>
          </w:p>
        </w:tc>
      </w:tr>
      <w:tr w:rsidR="003801E8" w14:paraId="492CB664" w14:textId="77777777">
        <w:tc>
          <w:tcPr>
            <w:tcW w:w="1290" w:type="dxa"/>
            <w:tcBorders>
              <w:top w:val="nil"/>
              <w:left w:val="nil"/>
              <w:bottom w:val="nil"/>
              <w:right w:val="nil"/>
            </w:tcBorders>
          </w:tcPr>
          <w:p w14:paraId="0DE963B9" w14:textId="77777777" w:rsidR="003801E8" w:rsidRDefault="00E44AAE">
            <w:pPr>
              <w:tabs>
                <w:tab w:val="left" w:pos="3315"/>
              </w:tabs>
              <w:spacing w:after="0" w:line="360" w:lineRule="auto"/>
              <w:jc w:val="both"/>
              <w:rPr>
                <w:rFonts w:ascii="Book Antiqua" w:hAnsi="Book Antiqua" w:cs="Times New Roman"/>
                <w:b/>
                <w:bCs/>
                <w:sz w:val="18"/>
                <w:szCs w:val="18"/>
                <w:lang w:val="sr-Latn-RS"/>
              </w:rPr>
            </w:pPr>
            <w:r>
              <w:rPr>
                <w:rFonts w:ascii="Book Antiqua" w:hAnsi="Book Antiqua" w:cs="Times New Roman"/>
                <w:b/>
                <w:bCs/>
                <w:sz w:val="18"/>
                <w:szCs w:val="18"/>
                <w:lang w:val="en-US"/>
              </w:rPr>
              <w:t>Prosjek</w:t>
            </w:r>
          </w:p>
        </w:tc>
        <w:tc>
          <w:tcPr>
            <w:tcW w:w="1019" w:type="dxa"/>
            <w:tcBorders>
              <w:top w:val="nil"/>
              <w:left w:val="nil"/>
              <w:bottom w:val="nil"/>
              <w:right w:val="nil"/>
            </w:tcBorders>
          </w:tcPr>
          <w:p w14:paraId="4DA36362"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38.41</w:t>
            </w:r>
          </w:p>
        </w:tc>
        <w:tc>
          <w:tcPr>
            <w:tcW w:w="1088" w:type="dxa"/>
            <w:tcBorders>
              <w:top w:val="nil"/>
              <w:left w:val="nil"/>
              <w:bottom w:val="nil"/>
              <w:right w:val="nil"/>
            </w:tcBorders>
          </w:tcPr>
          <w:p w14:paraId="102882C4"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37.5</w:t>
            </w:r>
          </w:p>
        </w:tc>
        <w:tc>
          <w:tcPr>
            <w:tcW w:w="1418" w:type="dxa"/>
            <w:tcBorders>
              <w:top w:val="nil"/>
              <w:left w:val="nil"/>
              <w:bottom w:val="nil"/>
              <w:right w:val="nil"/>
            </w:tcBorders>
          </w:tcPr>
          <w:p w14:paraId="7D2D5CB6"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69.91</w:t>
            </w:r>
          </w:p>
        </w:tc>
        <w:tc>
          <w:tcPr>
            <w:tcW w:w="1843" w:type="dxa"/>
            <w:tcBorders>
              <w:top w:val="nil"/>
              <w:left w:val="nil"/>
              <w:bottom w:val="nil"/>
              <w:right w:val="nil"/>
            </w:tcBorders>
          </w:tcPr>
          <w:p w14:paraId="504AA535" w14:textId="77777777" w:rsidR="003801E8" w:rsidRDefault="00E44AAE">
            <w:pPr>
              <w:tabs>
                <w:tab w:val="left" w:pos="3315"/>
              </w:tabs>
              <w:spacing w:after="0" w:line="360" w:lineRule="auto"/>
              <w:jc w:val="center"/>
              <w:rPr>
                <w:rFonts w:ascii="Book Antiqua" w:hAnsi="Book Antiqua" w:cs="Times New Roman"/>
                <w:b/>
                <w:bCs/>
                <w:sz w:val="18"/>
                <w:szCs w:val="18"/>
                <w:lang w:val="sr-Latn-RS"/>
              </w:rPr>
            </w:pPr>
            <w:r>
              <w:rPr>
                <w:rFonts w:ascii="Book Antiqua" w:hAnsi="Book Antiqua" w:cs="Times New Roman"/>
                <w:b/>
                <w:bCs/>
                <w:sz w:val="18"/>
                <w:szCs w:val="18"/>
                <w:lang w:val="sr-Latn-RS"/>
              </w:rPr>
              <w:t>44.95</w:t>
            </w:r>
          </w:p>
        </w:tc>
        <w:tc>
          <w:tcPr>
            <w:tcW w:w="1842" w:type="dxa"/>
            <w:tcBorders>
              <w:top w:val="nil"/>
              <w:left w:val="nil"/>
              <w:bottom w:val="nil"/>
              <w:right w:val="nil"/>
            </w:tcBorders>
          </w:tcPr>
          <w:p w14:paraId="5AB0BC17" w14:textId="77777777" w:rsidR="003801E8" w:rsidRDefault="00E44AAE">
            <w:pPr>
              <w:tabs>
                <w:tab w:val="left" w:pos="3315"/>
              </w:tabs>
              <w:spacing w:after="0" w:line="360" w:lineRule="auto"/>
              <w:jc w:val="center"/>
              <w:rPr>
                <w:rFonts w:ascii="Book Antiqua" w:hAnsi="Book Antiqua" w:cs="Times New Roman"/>
                <w:b/>
                <w:bCs/>
                <w:sz w:val="18"/>
                <w:szCs w:val="18"/>
                <w:lang w:val="sr-Latn-RS"/>
              </w:rPr>
            </w:pPr>
            <w:r>
              <w:rPr>
                <w:rFonts w:ascii="Book Antiqua" w:hAnsi="Book Antiqua" w:cs="Times New Roman"/>
                <w:b/>
                <w:bCs/>
                <w:sz w:val="18"/>
                <w:szCs w:val="18"/>
                <w:lang w:val="sr-Latn-RS"/>
              </w:rPr>
              <w:t>46.27</w:t>
            </w:r>
          </w:p>
        </w:tc>
      </w:tr>
      <w:tr w:rsidR="003801E8" w14:paraId="7860E696" w14:textId="77777777">
        <w:tc>
          <w:tcPr>
            <w:tcW w:w="1290" w:type="dxa"/>
            <w:tcBorders>
              <w:top w:val="nil"/>
              <w:left w:val="nil"/>
              <w:bottom w:val="single" w:sz="4" w:space="0" w:color="000000" w:themeColor="text1"/>
              <w:right w:val="nil"/>
            </w:tcBorders>
          </w:tcPr>
          <w:p w14:paraId="535DF3B7"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BT</w:t>
            </w:r>
          </w:p>
        </w:tc>
        <w:tc>
          <w:tcPr>
            <w:tcW w:w="1019" w:type="dxa"/>
            <w:tcBorders>
              <w:top w:val="nil"/>
              <w:left w:val="nil"/>
              <w:bottom w:val="single" w:sz="4" w:space="0" w:color="000000" w:themeColor="text1"/>
              <w:right w:val="nil"/>
            </w:tcBorders>
          </w:tcPr>
          <w:p w14:paraId="565BA811"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i/>
                <w:iCs/>
                <w:sz w:val="18"/>
                <w:szCs w:val="18"/>
                <w:lang w:val="en-US"/>
              </w:rPr>
              <w:t>3.58081E-20</w:t>
            </w:r>
          </w:p>
        </w:tc>
        <w:tc>
          <w:tcPr>
            <w:tcW w:w="1088" w:type="dxa"/>
            <w:tcBorders>
              <w:top w:val="nil"/>
              <w:left w:val="nil"/>
              <w:bottom w:val="single" w:sz="4" w:space="0" w:color="000000" w:themeColor="text1"/>
              <w:right w:val="nil"/>
            </w:tcBorders>
          </w:tcPr>
          <w:p w14:paraId="154B864B"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i/>
                <w:iCs/>
                <w:sz w:val="18"/>
                <w:szCs w:val="18"/>
                <w:lang w:val="en-US"/>
              </w:rPr>
              <w:t>8.57637E-20</w:t>
            </w:r>
          </w:p>
        </w:tc>
        <w:tc>
          <w:tcPr>
            <w:tcW w:w="5103" w:type="dxa"/>
            <w:gridSpan w:val="3"/>
            <w:tcBorders>
              <w:top w:val="nil"/>
              <w:left w:val="nil"/>
              <w:bottom w:val="single" w:sz="4" w:space="0" w:color="000000" w:themeColor="text1"/>
              <w:right w:val="nil"/>
            </w:tcBorders>
          </w:tcPr>
          <w:p w14:paraId="0D6BB73A" w14:textId="77777777" w:rsidR="003801E8" w:rsidRDefault="003801E8">
            <w:pPr>
              <w:tabs>
                <w:tab w:val="left" w:pos="3315"/>
              </w:tabs>
              <w:spacing w:after="0" w:line="360" w:lineRule="auto"/>
              <w:jc w:val="center"/>
              <w:rPr>
                <w:rFonts w:ascii="Book Antiqua" w:hAnsi="Book Antiqua" w:cs="Times New Roman"/>
                <w:b/>
                <w:bCs/>
                <w:i/>
                <w:iCs/>
                <w:sz w:val="18"/>
                <w:szCs w:val="18"/>
                <w:lang w:val="en-US"/>
              </w:rPr>
            </w:pPr>
          </w:p>
        </w:tc>
      </w:tr>
      <w:tr w:rsidR="003801E8" w14:paraId="623D4F84" w14:textId="77777777">
        <w:tc>
          <w:tcPr>
            <w:tcW w:w="8500" w:type="dxa"/>
            <w:gridSpan w:val="6"/>
            <w:tcBorders>
              <w:left w:val="nil"/>
              <w:right w:val="nil"/>
            </w:tcBorders>
          </w:tcPr>
          <w:p w14:paraId="387B0360"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i/>
                <w:iCs/>
                <w:sz w:val="18"/>
                <w:szCs w:val="18"/>
                <w:lang w:val="en-US"/>
              </w:rPr>
              <w:t xml:space="preserve">Botryosphaeria dothidea </w:t>
            </w:r>
            <w:r>
              <w:rPr>
                <w:rFonts w:ascii="Book Antiqua" w:hAnsi="Book Antiqua" w:cs="Times New Roman"/>
                <w:b/>
                <w:bCs/>
                <w:sz w:val="18"/>
                <w:szCs w:val="18"/>
                <w:lang w:val="en-US"/>
              </w:rPr>
              <w:t>MN001</w:t>
            </w:r>
          </w:p>
        </w:tc>
      </w:tr>
      <w:tr w:rsidR="003801E8" w14:paraId="14DFB0BA" w14:textId="77777777">
        <w:tc>
          <w:tcPr>
            <w:tcW w:w="1290" w:type="dxa"/>
            <w:tcBorders>
              <w:left w:val="nil"/>
              <w:right w:val="nil"/>
            </w:tcBorders>
          </w:tcPr>
          <w:p w14:paraId="65206C65"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b/>
                <w:bCs/>
                <w:sz w:val="18"/>
                <w:szCs w:val="18"/>
                <w:lang w:val="sr-Latn-RS"/>
              </w:rPr>
              <w:t>Oznaka</w:t>
            </w:r>
          </w:p>
        </w:tc>
        <w:tc>
          <w:tcPr>
            <w:tcW w:w="1019" w:type="dxa"/>
            <w:tcBorders>
              <w:left w:val="nil"/>
              <w:right w:val="nil"/>
            </w:tcBorders>
          </w:tcPr>
          <w:p w14:paraId="27EB38AF"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b/>
                <w:bCs/>
                <w:sz w:val="18"/>
                <w:szCs w:val="18"/>
                <w:lang w:val="sr-Latn-RS"/>
              </w:rPr>
              <w:t>BD x TC (mm)</w:t>
            </w:r>
          </w:p>
        </w:tc>
        <w:tc>
          <w:tcPr>
            <w:tcW w:w="1088" w:type="dxa"/>
            <w:tcBorders>
              <w:left w:val="nil"/>
              <w:right w:val="nil"/>
            </w:tcBorders>
          </w:tcPr>
          <w:p w14:paraId="05EA4AD3"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b/>
                <w:bCs/>
                <w:sz w:val="18"/>
                <w:szCs w:val="18"/>
                <w:lang w:val="sr-Latn-RS"/>
              </w:rPr>
              <w:t>BD x TA (mm)</w:t>
            </w:r>
          </w:p>
        </w:tc>
        <w:tc>
          <w:tcPr>
            <w:tcW w:w="1418" w:type="dxa"/>
            <w:tcBorders>
              <w:left w:val="nil"/>
              <w:right w:val="nil"/>
            </w:tcBorders>
          </w:tcPr>
          <w:p w14:paraId="08452B71"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sz w:val="18"/>
                <w:szCs w:val="18"/>
                <w:lang w:val="sr-Latn-RS"/>
              </w:rPr>
              <w:t>BD kontrola (mm)</w:t>
            </w:r>
          </w:p>
        </w:tc>
        <w:tc>
          <w:tcPr>
            <w:tcW w:w="1843" w:type="dxa"/>
            <w:tcBorders>
              <w:left w:val="nil"/>
              <w:right w:val="nil"/>
            </w:tcBorders>
          </w:tcPr>
          <w:p w14:paraId="60A036A9"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sz w:val="18"/>
                <w:szCs w:val="18"/>
                <w:lang w:val="sr-Latn-RS"/>
              </w:rPr>
              <w:t>Inhibicija BD x TC      (%)</w:t>
            </w:r>
          </w:p>
        </w:tc>
        <w:tc>
          <w:tcPr>
            <w:tcW w:w="1842" w:type="dxa"/>
            <w:tcBorders>
              <w:left w:val="nil"/>
              <w:right w:val="nil"/>
            </w:tcBorders>
          </w:tcPr>
          <w:p w14:paraId="7D5DDC77"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sz w:val="18"/>
                <w:szCs w:val="18"/>
                <w:lang w:val="sr-Latn-RS"/>
              </w:rPr>
              <w:t>Inhibicija BD x TA (%)</w:t>
            </w:r>
          </w:p>
        </w:tc>
      </w:tr>
      <w:tr w:rsidR="003801E8" w14:paraId="38D4AAA9" w14:textId="77777777">
        <w:tc>
          <w:tcPr>
            <w:tcW w:w="1290" w:type="dxa"/>
            <w:tcBorders>
              <w:left w:val="nil"/>
              <w:bottom w:val="nil"/>
              <w:right w:val="nil"/>
            </w:tcBorders>
          </w:tcPr>
          <w:p w14:paraId="648B8DD5"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P1</w:t>
            </w:r>
          </w:p>
        </w:tc>
        <w:tc>
          <w:tcPr>
            <w:tcW w:w="1019" w:type="dxa"/>
            <w:tcBorders>
              <w:left w:val="nil"/>
              <w:bottom w:val="nil"/>
              <w:right w:val="nil"/>
            </w:tcBorders>
          </w:tcPr>
          <w:p w14:paraId="58CD226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36</w:t>
            </w:r>
          </w:p>
        </w:tc>
        <w:tc>
          <w:tcPr>
            <w:tcW w:w="1088" w:type="dxa"/>
            <w:tcBorders>
              <w:left w:val="nil"/>
              <w:bottom w:val="nil"/>
              <w:right w:val="nil"/>
            </w:tcBorders>
          </w:tcPr>
          <w:p w14:paraId="50ADDD8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33</w:t>
            </w:r>
          </w:p>
        </w:tc>
        <w:tc>
          <w:tcPr>
            <w:tcW w:w="1418" w:type="dxa"/>
            <w:tcBorders>
              <w:left w:val="nil"/>
              <w:bottom w:val="nil"/>
              <w:right w:val="nil"/>
            </w:tcBorders>
          </w:tcPr>
          <w:p w14:paraId="3919480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60</w:t>
            </w:r>
          </w:p>
        </w:tc>
        <w:tc>
          <w:tcPr>
            <w:tcW w:w="1843" w:type="dxa"/>
            <w:tcBorders>
              <w:left w:val="nil"/>
              <w:bottom w:val="nil"/>
              <w:right w:val="nil"/>
            </w:tcBorders>
          </w:tcPr>
          <w:p w14:paraId="19ED44A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40.00</w:t>
            </w:r>
          </w:p>
        </w:tc>
        <w:tc>
          <w:tcPr>
            <w:tcW w:w="1842" w:type="dxa"/>
            <w:tcBorders>
              <w:left w:val="nil"/>
              <w:bottom w:val="nil"/>
              <w:right w:val="nil"/>
            </w:tcBorders>
          </w:tcPr>
          <w:p w14:paraId="3E6EB9A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45.00</w:t>
            </w:r>
          </w:p>
        </w:tc>
      </w:tr>
      <w:tr w:rsidR="003801E8" w14:paraId="3ABCD2BA" w14:textId="77777777">
        <w:tc>
          <w:tcPr>
            <w:tcW w:w="1290" w:type="dxa"/>
            <w:tcBorders>
              <w:top w:val="nil"/>
              <w:left w:val="nil"/>
              <w:bottom w:val="nil"/>
              <w:right w:val="nil"/>
            </w:tcBorders>
          </w:tcPr>
          <w:p w14:paraId="51A3E651"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P1</w:t>
            </w:r>
          </w:p>
        </w:tc>
        <w:tc>
          <w:tcPr>
            <w:tcW w:w="1019" w:type="dxa"/>
            <w:tcBorders>
              <w:top w:val="nil"/>
              <w:left w:val="nil"/>
              <w:bottom w:val="nil"/>
              <w:right w:val="nil"/>
            </w:tcBorders>
          </w:tcPr>
          <w:p w14:paraId="17C791D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088" w:type="dxa"/>
            <w:tcBorders>
              <w:top w:val="nil"/>
              <w:left w:val="nil"/>
              <w:bottom w:val="nil"/>
              <w:right w:val="nil"/>
            </w:tcBorders>
          </w:tcPr>
          <w:p w14:paraId="5E3375F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32</w:t>
            </w:r>
          </w:p>
        </w:tc>
        <w:tc>
          <w:tcPr>
            <w:tcW w:w="1418" w:type="dxa"/>
            <w:tcBorders>
              <w:top w:val="nil"/>
              <w:left w:val="nil"/>
              <w:bottom w:val="nil"/>
              <w:right w:val="nil"/>
            </w:tcBorders>
          </w:tcPr>
          <w:p w14:paraId="77427FA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62</w:t>
            </w:r>
          </w:p>
        </w:tc>
        <w:tc>
          <w:tcPr>
            <w:tcW w:w="1843" w:type="dxa"/>
            <w:tcBorders>
              <w:top w:val="nil"/>
              <w:left w:val="nil"/>
              <w:bottom w:val="nil"/>
              <w:right w:val="nil"/>
            </w:tcBorders>
          </w:tcPr>
          <w:p w14:paraId="4D27A5C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40.32</w:t>
            </w:r>
          </w:p>
        </w:tc>
        <w:tc>
          <w:tcPr>
            <w:tcW w:w="1842" w:type="dxa"/>
            <w:tcBorders>
              <w:top w:val="nil"/>
              <w:left w:val="nil"/>
              <w:bottom w:val="nil"/>
              <w:right w:val="nil"/>
            </w:tcBorders>
          </w:tcPr>
          <w:p w14:paraId="050F65B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48.39</w:t>
            </w:r>
          </w:p>
        </w:tc>
      </w:tr>
      <w:tr w:rsidR="003801E8" w14:paraId="1BBB046B" w14:textId="77777777">
        <w:tc>
          <w:tcPr>
            <w:tcW w:w="1290" w:type="dxa"/>
            <w:tcBorders>
              <w:top w:val="nil"/>
              <w:left w:val="nil"/>
              <w:bottom w:val="nil"/>
              <w:right w:val="nil"/>
            </w:tcBorders>
          </w:tcPr>
          <w:p w14:paraId="78ECEF7A"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P1</w:t>
            </w:r>
          </w:p>
        </w:tc>
        <w:tc>
          <w:tcPr>
            <w:tcW w:w="1019" w:type="dxa"/>
            <w:tcBorders>
              <w:top w:val="nil"/>
              <w:left w:val="nil"/>
              <w:bottom w:val="nil"/>
              <w:right w:val="nil"/>
            </w:tcBorders>
          </w:tcPr>
          <w:p w14:paraId="34AC073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088" w:type="dxa"/>
            <w:tcBorders>
              <w:top w:val="nil"/>
              <w:left w:val="nil"/>
              <w:bottom w:val="nil"/>
              <w:right w:val="nil"/>
            </w:tcBorders>
          </w:tcPr>
          <w:p w14:paraId="469DB86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36</w:t>
            </w:r>
          </w:p>
        </w:tc>
        <w:tc>
          <w:tcPr>
            <w:tcW w:w="1418" w:type="dxa"/>
            <w:tcBorders>
              <w:top w:val="nil"/>
              <w:left w:val="nil"/>
              <w:bottom w:val="nil"/>
              <w:right w:val="nil"/>
            </w:tcBorders>
          </w:tcPr>
          <w:p w14:paraId="2BB7FEB7"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60</w:t>
            </w:r>
          </w:p>
        </w:tc>
        <w:tc>
          <w:tcPr>
            <w:tcW w:w="1843" w:type="dxa"/>
            <w:tcBorders>
              <w:top w:val="nil"/>
              <w:left w:val="nil"/>
              <w:bottom w:val="nil"/>
              <w:right w:val="nil"/>
            </w:tcBorders>
          </w:tcPr>
          <w:p w14:paraId="4CB38E4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38.33</w:t>
            </w:r>
          </w:p>
        </w:tc>
        <w:tc>
          <w:tcPr>
            <w:tcW w:w="1842" w:type="dxa"/>
            <w:tcBorders>
              <w:top w:val="nil"/>
              <w:left w:val="nil"/>
              <w:bottom w:val="nil"/>
              <w:right w:val="nil"/>
            </w:tcBorders>
          </w:tcPr>
          <w:p w14:paraId="1F65B41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40.00</w:t>
            </w:r>
          </w:p>
        </w:tc>
      </w:tr>
      <w:tr w:rsidR="003801E8" w14:paraId="6F142471" w14:textId="77777777">
        <w:tc>
          <w:tcPr>
            <w:tcW w:w="1290" w:type="dxa"/>
            <w:tcBorders>
              <w:top w:val="nil"/>
              <w:left w:val="nil"/>
              <w:bottom w:val="nil"/>
              <w:right w:val="nil"/>
            </w:tcBorders>
          </w:tcPr>
          <w:p w14:paraId="70A52E79"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P1</w:t>
            </w:r>
          </w:p>
        </w:tc>
        <w:tc>
          <w:tcPr>
            <w:tcW w:w="1019" w:type="dxa"/>
            <w:tcBorders>
              <w:top w:val="nil"/>
              <w:left w:val="nil"/>
              <w:bottom w:val="nil"/>
              <w:right w:val="nil"/>
            </w:tcBorders>
          </w:tcPr>
          <w:p w14:paraId="0BF4BB3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36</w:t>
            </w:r>
          </w:p>
        </w:tc>
        <w:tc>
          <w:tcPr>
            <w:tcW w:w="1088" w:type="dxa"/>
            <w:tcBorders>
              <w:top w:val="nil"/>
              <w:left w:val="nil"/>
              <w:bottom w:val="nil"/>
              <w:right w:val="nil"/>
            </w:tcBorders>
          </w:tcPr>
          <w:p w14:paraId="46BFE09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31</w:t>
            </w:r>
          </w:p>
        </w:tc>
        <w:tc>
          <w:tcPr>
            <w:tcW w:w="1418" w:type="dxa"/>
            <w:tcBorders>
              <w:top w:val="nil"/>
              <w:left w:val="nil"/>
              <w:bottom w:val="nil"/>
              <w:right w:val="nil"/>
            </w:tcBorders>
          </w:tcPr>
          <w:p w14:paraId="4A16C02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60</w:t>
            </w:r>
          </w:p>
        </w:tc>
        <w:tc>
          <w:tcPr>
            <w:tcW w:w="1843" w:type="dxa"/>
            <w:tcBorders>
              <w:top w:val="nil"/>
              <w:left w:val="nil"/>
              <w:bottom w:val="nil"/>
              <w:right w:val="nil"/>
            </w:tcBorders>
          </w:tcPr>
          <w:p w14:paraId="65D5F80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40.00</w:t>
            </w:r>
          </w:p>
        </w:tc>
        <w:tc>
          <w:tcPr>
            <w:tcW w:w="1842" w:type="dxa"/>
            <w:tcBorders>
              <w:top w:val="nil"/>
              <w:left w:val="nil"/>
              <w:bottom w:val="nil"/>
              <w:right w:val="nil"/>
            </w:tcBorders>
          </w:tcPr>
          <w:p w14:paraId="5C98DAF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48.33</w:t>
            </w:r>
          </w:p>
        </w:tc>
      </w:tr>
      <w:tr w:rsidR="003801E8" w14:paraId="11F690ED" w14:textId="77777777">
        <w:tc>
          <w:tcPr>
            <w:tcW w:w="1290" w:type="dxa"/>
            <w:tcBorders>
              <w:top w:val="nil"/>
              <w:left w:val="nil"/>
              <w:bottom w:val="nil"/>
              <w:right w:val="nil"/>
            </w:tcBorders>
          </w:tcPr>
          <w:p w14:paraId="72C6FB88"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56AC939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35</w:t>
            </w:r>
          </w:p>
        </w:tc>
        <w:tc>
          <w:tcPr>
            <w:tcW w:w="1088" w:type="dxa"/>
            <w:tcBorders>
              <w:top w:val="nil"/>
              <w:left w:val="nil"/>
              <w:bottom w:val="nil"/>
              <w:right w:val="nil"/>
            </w:tcBorders>
          </w:tcPr>
          <w:p w14:paraId="35A77D3F"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34</w:t>
            </w:r>
          </w:p>
        </w:tc>
        <w:tc>
          <w:tcPr>
            <w:tcW w:w="1418" w:type="dxa"/>
            <w:tcBorders>
              <w:top w:val="nil"/>
              <w:left w:val="nil"/>
              <w:bottom w:val="nil"/>
              <w:right w:val="nil"/>
            </w:tcBorders>
          </w:tcPr>
          <w:p w14:paraId="757CAED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62</w:t>
            </w:r>
          </w:p>
        </w:tc>
        <w:tc>
          <w:tcPr>
            <w:tcW w:w="1843" w:type="dxa"/>
            <w:tcBorders>
              <w:top w:val="nil"/>
              <w:left w:val="nil"/>
              <w:bottom w:val="nil"/>
              <w:right w:val="nil"/>
            </w:tcBorders>
          </w:tcPr>
          <w:p w14:paraId="4B4CE0A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43.55</w:t>
            </w:r>
          </w:p>
        </w:tc>
        <w:tc>
          <w:tcPr>
            <w:tcW w:w="1842" w:type="dxa"/>
            <w:tcBorders>
              <w:top w:val="nil"/>
              <w:left w:val="nil"/>
              <w:bottom w:val="nil"/>
              <w:right w:val="nil"/>
            </w:tcBorders>
          </w:tcPr>
          <w:p w14:paraId="5F53191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45.16</w:t>
            </w:r>
          </w:p>
        </w:tc>
      </w:tr>
      <w:tr w:rsidR="003801E8" w14:paraId="3C25DC86" w14:textId="77777777">
        <w:tc>
          <w:tcPr>
            <w:tcW w:w="1290" w:type="dxa"/>
            <w:tcBorders>
              <w:top w:val="nil"/>
              <w:left w:val="nil"/>
              <w:bottom w:val="nil"/>
              <w:right w:val="nil"/>
            </w:tcBorders>
          </w:tcPr>
          <w:p w14:paraId="3B229A75"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398C437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35</w:t>
            </w:r>
          </w:p>
        </w:tc>
        <w:tc>
          <w:tcPr>
            <w:tcW w:w="1088" w:type="dxa"/>
            <w:tcBorders>
              <w:top w:val="nil"/>
              <w:left w:val="nil"/>
              <w:bottom w:val="nil"/>
              <w:right w:val="nil"/>
            </w:tcBorders>
          </w:tcPr>
          <w:p w14:paraId="5505C2B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35</w:t>
            </w:r>
          </w:p>
        </w:tc>
        <w:tc>
          <w:tcPr>
            <w:tcW w:w="1418" w:type="dxa"/>
            <w:tcBorders>
              <w:top w:val="nil"/>
              <w:left w:val="nil"/>
              <w:bottom w:val="nil"/>
              <w:right w:val="nil"/>
            </w:tcBorders>
          </w:tcPr>
          <w:p w14:paraId="590CAC9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60</w:t>
            </w:r>
          </w:p>
        </w:tc>
        <w:tc>
          <w:tcPr>
            <w:tcW w:w="1843" w:type="dxa"/>
            <w:tcBorders>
              <w:top w:val="nil"/>
              <w:left w:val="nil"/>
              <w:bottom w:val="nil"/>
              <w:right w:val="nil"/>
            </w:tcBorders>
          </w:tcPr>
          <w:p w14:paraId="564523B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41.67</w:t>
            </w:r>
          </w:p>
        </w:tc>
        <w:tc>
          <w:tcPr>
            <w:tcW w:w="1842" w:type="dxa"/>
            <w:tcBorders>
              <w:top w:val="nil"/>
              <w:left w:val="nil"/>
              <w:bottom w:val="nil"/>
              <w:right w:val="nil"/>
            </w:tcBorders>
          </w:tcPr>
          <w:p w14:paraId="3577488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41.67</w:t>
            </w:r>
          </w:p>
        </w:tc>
      </w:tr>
      <w:tr w:rsidR="003801E8" w14:paraId="281E3ED6" w14:textId="77777777">
        <w:tc>
          <w:tcPr>
            <w:tcW w:w="1290" w:type="dxa"/>
            <w:tcBorders>
              <w:top w:val="nil"/>
              <w:left w:val="nil"/>
              <w:bottom w:val="nil"/>
              <w:right w:val="nil"/>
            </w:tcBorders>
          </w:tcPr>
          <w:p w14:paraId="1389E217"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2BB344E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36</w:t>
            </w:r>
          </w:p>
        </w:tc>
        <w:tc>
          <w:tcPr>
            <w:tcW w:w="1088" w:type="dxa"/>
            <w:tcBorders>
              <w:top w:val="nil"/>
              <w:left w:val="nil"/>
              <w:bottom w:val="nil"/>
              <w:right w:val="nil"/>
            </w:tcBorders>
          </w:tcPr>
          <w:p w14:paraId="1768174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36</w:t>
            </w:r>
          </w:p>
        </w:tc>
        <w:tc>
          <w:tcPr>
            <w:tcW w:w="1418" w:type="dxa"/>
            <w:tcBorders>
              <w:top w:val="nil"/>
              <w:left w:val="nil"/>
              <w:bottom w:val="nil"/>
              <w:right w:val="nil"/>
            </w:tcBorders>
          </w:tcPr>
          <w:p w14:paraId="0F510CA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60</w:t>
            </w:r>
          </w:p>
        </w:tc>
        <w:tc>
          <w:tcPr>
            <w:tcW w:w="1843" w:type="dxa"/>
            <w:tcBorders>
              <w:top w:val="nil"/>
              <w:left w:val="nil"/>
              <w:bottom w:val="nil"/>
              <w:right w:val="nil"/>
            </w:tcBorders>
          </w:tcPr>
          <w:p w14:paraId="3360308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40.00</w:t>
            </w:r>
          </w:p>
        </w:tc>
        <w:tc>
          <w:tcPr>
            <w:tcW w:w="1842" w:type="dxa"/>
            <w:tcBorders>
              <w:top w:val="nil"/>
              <w:left w:val="nil"/>
              <w:bottom w:val="nil"/>
              <w:right w:val="nil"/>
            </w:tcBorders>
          </w:tcPr>
          <w:p w14:paraId="0C3353B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40.00</w:t>
            </w:r>
          </w:p>
        </w:tc>
      </w:tr>
      <w:tr w:rsidR="003801E8" w14:paraId="740E8890" w14:textId="77777777">
        <w:tc>
          <w:tcPr>
            <w:tcW w:w="1290" w:type="dxa"/>
            <w:tcBorders>
              <w:top w:val="nil"/>
              <w:left w:val="nil"/>
              <w:bottom w:val="nil"/>
              <w:right w:val="nil"/>
            </w:tcBorders>
          </w:tcPr>
          <w:p w14:paraId="2B5D5E8D"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380113A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w:t>
            </w:r>
          </w:p>
        </w:tc>
        <w:tc>
          <w:tcPr>
            <w:tcW w:w="1088" w:type="dxa"/>
            <w:tcBorders>
              <w:top w:val="nil"/>
              <w:left w:val="nil"/>
              <w:bottom w:val="nil"/>
              <w:right w:val="nil"/>
            </w:tcBorders>
          </w:tcPr>
          <w:p w14:paraId="1C5BABA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36</w:t>
            </w:r>
          </w:p>
        </w:tc>
        <w:tc>
          <w:tcPr>
            <w:tcW w:w="1418" w:type="dxa"/>
            <w:tcBorders>
              <w:top w:val="nil"/>
              <w:left w:val="nil"/>
              <w:bottom w:val="nil"/>
              <w:right w:val="nil"/>
            </w:tcBorders>
          </w:tcPr>
          <w:p w14:paraId="03D4480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60</w:t>
            </w:r>
          </w:p>
        </w:tc>
        <w:tc>
          <w:tcPr>
            <w:tcW w:w="1843" w:type="dxa"/>
            <w:tcBorders>
              <w:top w:val="nil"/>
              <w:left w:val="nil"/>
              <w:bottom w:val="nil"/>
              <w:right w:val="nil"/>
            </w:tcBorders>
          </w:tcPr>
          <w:p w14:paraId="01DB4C9F"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36.67</w:t>
            </w:r>
          </w:p>
        </w:tc>
        <w:tc>
          <w:tcPr>
            <w:tcW w:w="1842" w:type="dxa"/>
            <w:tcBorders>
              <w:top w:val="nil"/>
              <w:left w:val="nil"/>
              <w:bottom w:val="nil"/>
              <w:right w:val="nil"/>
            </w:tcBorders>
          </w:tcPr>
          <w:p w14:paraId="551725B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40.00</w:t>
            </w:r>
          </w:p>
        </w:tc>
      </w:tr>
      <w:tr w:rsidR="003801E8" w14:paraId="276B8EF6" w14:textId="77777777">
        <w:tc>
          <w:tcPr>
            <w:tcW w:w="1290" w:type="dxa"/>
            <w:tcBorders>
              <w:top w:val="nil"/>
              <w:left w:val="nil"/>
              <w:bottom w:val="nil"/>
              <w:right w:val="nil"/>
            </w:tcBorders>
          </w:tcPr>
          <w:p w14:paraId="6C99FE29"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6AB862D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w:t>
            </w:r>
          </w:p>
        </w:tc>
        <w:tc>
          <w:tcPr>
            <w:tcW w:w="1088" w:type="dxa"/>
            <w:tcBorders>
              <w:top w:val="nil"/>
              <w:left w:val="nil"/>
              <w:bottom w:val="nil"/>
              <w:right w:val="nil"/>
            </w:tcBorders>
          </w:tcPr>
          <w:p w14:paraId="3EB53E0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35</w:t>
            </w:r>
          </w:p>
        </w:tc>
        <w:tc>
          <w:tcPr>
            <w:tcW w:w="1418" w:type="dxa"/>
            <w:tcBorders>
              <w:top w:val="nil"/>
              <w:left w:val="nil"/>
              <w:bottom w:val="nil"/>
              <w:right w:val="nil"/>
            </w:tcBorders>
          </w:tcPr>
          <w:p w14:paraId="4A1A786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62</w:t>
            </w:r>
          </w:p>
        </w:tc>
        <w:tc>
          <w:tcPr>
            <w:tcW w:w="1843" w:type="dxa"/>
            <w:tcBorders>
              <w:top w:val="nil"/>
              <w:left w:val="nil"/>
              <w:bottom w:val="nil"/>
              <w:right w:val="nil"/>
            </w:tcBorders>
          </w:tcPr>
          <w:p w14:paraId="7489CEA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38.71</w:t>
            </w:r>
          </w:p>
        </w:tc>
        <w:tc>
          <w:tcPr>
            <w:tcW w:w="1842" w:type="dxa"/>
            <w:tcBorders>
              <w:top w:val="nil"/>
              <w:left w:val="nil"/>
              <w:bottom w:val="nil"/>
              <w:right w:val="nil"/>
            </w:tcBorders>
          </w:tcPr>
          <w:p w14:paraId="65CA92B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43.55</w:t>
            </w:r>
          </w:p>
        </w:tc>
      </w:tr>
      <w:tr w:rsidR="003801E8" w14:paraId="1DB7C5DA" w14:textId="77777777">
        <w:tc>
          <w:tcPr>
            <w:tcW w:w="1290" w:type="dxa"/>
            <w:tcBorders>
              <w:top w:val="nil"/>
              <w:left w:val="nil"/>
              <w:bottom w:val="nil"/>
              <w:right w:val="nil"/>
            </w:tcBorders>
          </w:tcPr>
          <w:p w14:paraId="64583F58"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2882F3D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34</w:t>
            </w:r>
          </w:p>
        </w:tc>
        <w:tc>
          <w:tcPr>
            <w:tcW w:w="1088" w:type="dxa"/>
            <w:tcBorders>
              <w:top w:val="nil"/>
              <w:left w:val="nil"/>
              <w:bottom w:val="nil"/>
              <w:right w:val="nil"/>
            </w:tcBorders>
          </w:tcPr>
          <w:p w14:paraId="42D1C6B7"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34</w:t>
            </w:r>
          </w:p>
        </w:tc>
        <w:tc>
          <w:tcPr>
            <w:tcW w:w="1418" w:type="dxa"/>
            <w:tcBorders>
              <w:top w:val="nil"/>
              <w:left w:val="nil"/>
              <w:bottom w:val="nil"/>
              <w:right w:val="nil"/>
            </w:tcBorders>
          </w:tcPr>
          <w:p w14:paraId="04C1302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63</w:t>
            </w:r>
          </w:p>
        </w:tc>
        <w:tc>
          <w:tcPr>
            <w:tcW w:w="1843" w:type="dxa"/>
            <w:tcBorders>
              <w:top w:val="nil"/>
              <w:left w:val="nil"/>
              <w:bottom w:val="nil"/>
              <w:right w:val="nil"/>
            </w:tcBorders>
          </w:tcPr>
          <w:p w14:paraId="026006B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46.03</w:t>
            </w:r>
          </w:p>
        </w:tc>
        <w:tc>
          <w:tcPr>
            <w:tcW w:w="1842" w:type="dxa"/>
            <w:tcBorders>
              <w:top w:val="nil"/>
              <w:left w:val="nil"/>
              <w:bottom w:val="nil"/>
              <w:right w:val="nil"/>
            </w:tcBorders>
          </w:tcPr>
          <w:p w14:paraId="38EE016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46.03</w:t>
            </w:r>
          </w:p>
        </w:tc>
      </w:tr>
      <w:tr w:rsidR="003801E8" w14:paraId="5828F76F" w14:textId="77777777">
        <w:tc>
          <w:tcPr>
            <w:tcW w:w="1290" w:type="dxa"/>
            <w:tcBorders>
              <w:top w:val="nil"/>
              <w:left w:val="nil"/>
              <w:bottom w:val="nil"/>
              <w:right w:val="nil"/>
            </w:tcBorders>
          </w:tcPr>
          <w:p w14:paraId="2E2DFDFC"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3575727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35</w:t>
            </w:r>
          </w:p>
        </w:tc>
        <w:tc>
          <w:tcPr>
            <w:tcW w:w="1088" w:type="dxa"/>
            <w:tcBorders>
              <w:top w:val="nil"/>
              <w:left w:val="nil"/>
              <w:bottom w:val="nil"/>
              <w:right w:val="nil"/>
            </w:tcBorders>
          </w:tcPr>
          <w:p w14:paraId="75B4B80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w:t>
            </w:r>
          </w:p>
        </w:tc>
        <w:tc>
          <w:tcPr>
            <w:tcW w:w="1418" w:type="dxa"/>
            <w:tcBorders>
              <w:top w:val="nil"/>
              <w:left w:val="nil"/>
              <w:bottom w:val="nil"/>
              <w:right w:val="nil"/>
            </w:tcBorders>
          </w:tcPr>
          <w:p w14:paraId="310520B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61</w:t>
            </w:r>
          </w:p>
        </w:tc>
        <w:tc>
          <w:tcPr>
            <w:tcW w:w="1843" w:type="dxa"/>
            <w:tcBorders>
              <w:top w:val="nil"/>
              <w:left w:val="nil"/>
              <w:bottom w:val="nil"/>
              <w:right w:val="nil"/>
            </w:tcBorders>
          </w:tcPr>
          <w:p w14:paraId="2CC3DDA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42.62</w:t>
            </w:r>
          </w:p>
        </w:tc>
        <w:tc>
          <w:tcPr>
            <w:tcW w:w="1842" w:type="dxa"/>
            <w:tcBorders>
              <w:top w:val="nil"/>
              <w:left w:val="nil"/>
              <w:bottom w:val="nil"/>
              <w:right w:val="nil"/>
            </w:tcBorders>
          </w:tcPr>
          <w:p w14:paraId="711BF23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37.70</w:t>
            </w:r>
          </w:p>
        </w:tc>
      </w:tr>
      <w:tr w:rsidR="003801E8" w14:paraId="16951BB9" w14:textId="77777777">
        <w:tc>
          <w:tcPr>
            <w:tcW w:w="1290" w:type="dxa"/>
            <w:tcBorders>
              <w:top w:val="nil"/>
              <w:left w:val="nil"/>
              <w:bottom w:val="nil"/>
              <w:right w:val="nil"/>
            </w:tcBorders>
          </w:tcPr>
          <w:p w14:paraId="36A93F1B"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15E6CA3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36</w:t>
            </w:r>
          </w:p>
        </w:tc>
        <w:tc>
          <w:tcPr>
            <w:tcW w:w="1088" w:type="dxa"/>
            <w:tcBorders>
              <w:top w:val="nil"/>
              <w:left w:val="nil"/>
              <w:bottom w:val="nil"/>
              <w:right w:val="nil"/>
            </w:tcBorders>
          </w:tcPr>
          <w:p w14:paraId="51E8B74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36</w:t>
            </w:r>
          </w:p>
        </w:tc>
        <w:tc>
          <w:tcPr>
            <w:tcW w:w="1418" w:type="dxa"/>
            <w:tcBorders>
              <w:top w:val="nil"/>
              <w:left w:val="nil"/>
              <w:bottom w:val="nil"/>
              <w:right w:val="nil"/>
            </w:tcBorders>
          </w:tcPr>
          <w:p w14:paraId="67CB54E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62</w:t>
            </w:r>
          </w:p>
        </w:tc>
        <w:tc>
          <w:tcPr>
            <w:tcW w:w="1843" w:type="dxa"/>
            <w:tcBorders>
              <w:top w:val="nil"/>
              <w:left w:val="nil"/>
              <w:bottom w:val="nil"/>
              <w:right w:val="nil"/>
            </w:tcBorders>
          </w:tcPr>
          <w:p w14:paraId="7E856B1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41.94</w:t>
            </w:r>
          </w:p>
        </w:tc>
        <w:tc>
          <w:tcPr>
            <w:tcW w:w="1842" w:type="dxa"/>
            <w:tcBorders>
              <w:top w:val="nil"/>
              <w:left w:val="nil"/>
              <w:bottom w:val="nil"/>
              <w:right w:val="nil"/>
            </w:tcBorders>
          </w:tcPr>
          <w:p w14:paraId="5F6A92F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41.94</w:t>
            </w:r>
          </w:p>
        </w:tc>
      </w:tr>
      <w:tr w:rsidR="003801E8" w14:paraId="6F28846E" w14:textId="77777777">
        <w:tc>
          <w:tcPr>
            <w:tcW w:w="1290" w:type="dxa"/>
            <w:tcBorders>
              <w:top w:val="nil"/>
              <w:left w:val="nil"/>
              <w:bottom w:val="nil"/>
              <w:right w:val="nil"/>
            </w:tcBorders>
          </w:tcPr>
          <w:p w14:paraId="715543B3"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b/>
                <w:bCs/>
                <w:sz w:val="18"/>
                <w:szCs w:val="18"/>
                <w:lang w:val="en-US"/>
              </w:rPr>
              <w:t>Prosjek</w:t>
            </w:r>
          </w:p>
        </w:tc>
        <w:tc>
          <w:tcPr>
            <w:tcW w:w="1019" w:type="dxa"/>
            <w:tcBorders>
              <w:top w:val="nil"/>
              <w:left w:val="nil"/>
              <w:bottom w:val="nil"/>
              <w:right w:val="nil"/>
            </w:tcBorders>
          </w:tcPr>
          <w:p w14:paraId="6F130C68"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36.08</w:t>
            </w:r>
          </w:p>
        </w:tc>
        <w:tc>
          <w:tcPr>
            <w:tcW w:w="1088" w:type="dxa"/>
            <w:tcBorders>
              <w:top w:val="nil"/>
              <w:left w:val="nil"/>
              <w:bottom w:val="nil"/>
              <w:right w:val="nil"/>
            </w:tcBorders>
          </w:tcPr>
          <w:p w14:paraId="48CFDEA7"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34.25</w:t>
            </w:r>
          </w:p>
        </w:tc>
        <w:tc>
          <w:tcPr>
            <w:tcW w:w="1418" w:type="dxa"/>
            <w:tcBorders>
              <w:top w:val="nil"/>
              <w:left w:val="nil"/>
              <w:bottom w:val="nil"/>
              <w:right w:val="nil"/>
            </w:tcBorders>
          </w:tcPr>
          <w:p w14:paraId="699D83A8"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61</w:t>
            </w:r>
          </w:p>
        </w:tc>
        <w:tc>
          <w:tcPr>
            <w:tcW w:w="1843" w:type="dxa"/>
            <w:tcBorders>
              <w:top w:val="nil"/>
              <w:left w:val="nil"/>
              <w:bottom w:val="nil"/>
              <w:right w:val="nil"/>
            </w:tcBorders>
          </w:tcPr>
          <w:p w14:paraId="5AD0BFD0"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40.81</w:t>
            </w:r>
          </w:p>
        </w:tc>
        <w:tc>
          <w:tcPr>
            <w:tcW w:w="1842" w:type="dxa"/>
            <w:tcBorders>
              <w:top w:val="nil"/>
              <w:left w:val="nil"/>
              <w:bottom w:val="nil"/>
              <w:right w:val="nil"/>
            </w:tcBorders>
          </w:tcPr>
          <w:p w14:paraId="155B6B1A"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43.14</w:t>
            </w:r>
          </w:p>
        </w:tc>
      </w:tr>
      <w:tr w:rsidR="003801E8" w14:paraId="2C076537" w14:textId="77777777">
        <w:tc>
          <w:tcPr>
            <w:tcW w:w="1290" w:type="dxa"/>
            <w:tcBorders>
              <w:top w:val="nil"/>
              <w:left w:val="nil"/>
              <w:bottom w:val="single" w:sz="4" w:space="0" w:color="000000" w:themeColor="text1"/>
              <w:right w:val="nil"/>
            </w:tcBorders>
          </w:tcPr>
          <w:p w14:paraId="006D74D0"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BT</w:t>
            </w:r>
          </w:p>
        </w:tc>
        <w:tc>
          <w:tcPr>
            <w:tcW w:w="1019" w:type="dxa"/>
            <w:tcBorders>
              <w:top w:val="nil"/>
              <w:left w:val="nil"/>
              <w:bottom w:val="single" w:sz="4" w:space="0" w:color="000000" w:themeColor="text1"/>
              <w:right w:val="nil"/>
            </w:tcBorders>
          </w:tcPr>
          <w:p w14:paraId="022704FE"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i/>
                <w:iCs/>
                <w:sz w:val="18"/>
                <w:szCs w:val="18"/>
                <w:lang w:val="en-US"/>
              </w:rPr>
              <w:t>1.98441E-24</w:t>
            </w:r>
          </w:p>
        </w:tc>
        <w:tc>
          <w:tcPr>
            <w:tcW w:w="1088" w:type="dxa"/>
            <w:tcBorders>
              <w:top w:val="nil"/>
              <w:left w:val="nil"/>
              <w:bottom w:val="single" w:sz="4" w:space="0" w:color="000000" w:themeColor="text1"/>
              <w:right w:val="nil"/>
            </w:tcBorders>
          </w:tcPr>
          <w:p w14:paraId="2DF724F2"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i/>
                <w:iCs/>
                <w:sz w:val="18"/>
                <w:szCs w:val="18"/>
                <w:lang w:val="en-US"/>
              </w:rPr>
              <w:t>4.36188E-22</w:t>
            </w:r>
          </w:p>
        </w:tc>
        <w:tc>
          <w:tcPr>
            <w:tcW w:w="5103" w:type="dxa"/>
            <w:gridSpan w:val="3"/>
            <w:tcBorders>
              <w:top w:val="nil"/>
              <w:left w:val="nil"/>
              <w:bottom w:val="single" w:sz="4" w:space="0" w:color="000000" w:themeColor="text1"/>
              <w:right w:val="nil"/>
            </w:tcBorders>
          </w:tcPr>
          <w:p w14:paraId="7D511E61" w14:textId="77777777" w:rsidR="003801E8" w:rsidRDefault="003801E8">
            <w:pPr>
              <w:tabs>
                <w:tab w:val="left" w:pos="3315"/>
              </w:tabs>
              <w:spacing w:after="0" w:line="360" w:lineRule="auto"/>
              <w:jc w:val="center"/>
              <w:rPr>
                <w:rFonts w:ascii="Book Antiqua" w:hAnsi="Book Antiqua" w:cs="Times New Roman"/>
                <w:b/>
                <w:bCs/>
                <w:sz w:val="18"/>
                <w:szCs w:val="18"/>
                <w:lang w:val="en-US"/>
              </w:rPr>
            </w:pPr>
          </w:p>
        </w:tc>
      </w:tr>
      <w:tr w:rsidR="003801E8" w14:paraId="72B95353" w14:textId="77777777">
        <w:tc>
          <w:tcPr>
            <w:tcW w:w="8500" w:type="dxa"/>
            <w:gridSpan w:val="6"/>
            <w:tcBorders>
              <w:left w:val="nil"/>
              <w:right w:val="nil"/>
            </w:tcBorders>
          </w:tcPr>
          <w:p w14:paraId="32C2B57D"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i/>
                <w:iCs/>
                <w:sz w:val="18"/>
                <w:szCs w:val="18"/>
                <w:lang w:val="en-US"/>
              </w:rPr>
              <w:t xml:space="preserve">Diplodia seriata </w:t>
            </w:r>
            <w:r>
              <w:rPr>
                <w:rFonts w:ascii="Book Antiqua" w:hAnsi="Book Antiqua" w:cs="Times New Roman"/>
                <w:b/>
                <w:bCs/>
                <w:sz w:val="18"/>
                <w:szCs w:val="18"/>
                <w:lang w:val="en-US"/>
              </w:rPr>
              <w:t>MN001</w:t>
            </w:r>
          </w:p>
        </w:tc>
      </w:tr>
      <w:tr w:rsidR="003801E8" w14:paraId="1C0B5574" w14:textId="77777777">
        <w:tc>
          <w:tcPr>
            <w:tcW w:w="1290" w:type="dxa"/>
            <w:tcBorders>
              <w:left w:val="nil"/>
              <w:right w:val="nil"/>
            </w:tcBorders>
          </w:tcPr>
          <w:p w14:paraId="4ABE8BF7"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b/>
                <w:bCs/>
                <w:sz w:val="18"/>
                <w:szCs w:val="18"/>
                <w:lang w:val="sr-Latn-RS"/>
              </w:rPr>
              <w:lastRenderedPageBreak/>
              <w:t>Oznaka</w:t>
            </w:r>
          </w:p>
        </w:tc>
        <w:tc>
          <w:tcPr>
            <w:tcW w:w="1019" w:type="dxa"/>
            <w:tcBorders>
              <w:left w:val="nil"/>
              <w:right w:val="nil"/>
            </w:tcBorders>
          </w:tcPr>
          <w:p w14:paraId="0B0C6377"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b/>
                <w:bCs/>
                <w:sz w:val="18"/>
                <w:szCs w:val="18"/>
                <w:lang w:val="sr-Latn-RS"/>
              </w:rPr>
              <w:t>DS x TC (mm)</w:t>
            </w:r>
          </w:p>
        </w:tc>
        <w:tc>
          <w:tcPr>
            <w:tcW w:w="1088" w:type="dxa"/>
            <w:tcBorders>
              <w:left w:val="nil"/>
              <w:right w:val="nil"/>
            </w:tcBorders>
          </w:tcPr>
          <w:p w14:paraId="755092CF"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b/>
                <w:bCs/>
                <w:sz w:val="18"/>
                <w:szCs w:val="18"/>
                <w:lang w:val="sr-Latn-RS"/>
              </w:rPr>
              <w:t>DS x TA (mm)</w:t>
            </w:r>
          </w:p>
        </w:tc>
        <w:tc>
          <w:tcPr>
            <w:tcW w:w="1418" w:type="dxa"/>
            <w:tcBorders>
              <w:left w:val="nil"/>
              <w:right w:val="nil"/>
            </w:tcBorders>
          </w:tcPr>
          <w:p w14:paraId="2F1D1373"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sz w:val="18"/>
                <w:szCs w:val="18"/>
                <w:lang w:val="sr-Latn-RS"/>
              </w:rPr>
              <w:t>DS kontrola (mm)</w:t>
            </w:r>
          </w:p>
        </w:tc>
        <w:tc>
          <w:tcPr>
            <w:tcW w:w="1843" w:type="dxa"/>
            <w:tcBorders>
              <w:left w:val="nil"/>
              <w:right w:val="nil"/>
            </w:tcBorders>
          </w:tcPr>
          <w:p w14:paraId="097FED2F"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sz w:val="18"/>
                <w:szCs w:val="18"/>
                <w:lang w:val="sr-Latn-RS"/>
              </w:rPr>
              <w:t>Inhibicija DS x TC      (%)</w:t>
            </w:r>
          </w:p>
        </w:tc>
        <w:tc>
          <w:tcPr>
            <w:tcW w:w="1842" w:type="dxa"/>
            <w:tcBorders>
              <w:left w:val="nil"/>
              <w:right w:val="nil"/>
            </w:tcBorders>
          </w:tcPr>
          <w:p w14:paraId="0BBAE5B7"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sz w:val="18"/>
                <w:szCs w:val="18"/>
                <w:lang w:val="sr-Latn-RS"/>
              </w:rPr>
              <w:t>Inhibicija DS x TA (%)</w:t>
            </w:r>
          </w:p>
        </w:tc>
      </w:tr>
      <w:tr w:rsidR="003801E8" w14:paraId="7AA6CB41" w14:textId="77777777">
        <w:tc>
          <w:tcPr>
            <w:tcW w:w="1290" w:type="dxa"/>
            <w:tcBorders>
              <w:left w:val="nil"/>
              <w:bottom w:val="nil"/>
              <w:right w:val="nil"/>
            </w:tcBorders>
          </w:tcPr>
          <w:p w14:paraId="79DA10EA"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P1</w:t>
            </w:r>
          </w:p>
        </w:tc>
        <w:tc>
          <w:tcPr>
            <w:tcW w:w="1019" w:type="dxa"/>
            <w:tcBorders>
              <w:left w:val="nil"/>
              <w:bottom w:val="nil"/>
              <w:right w:val="nil"/>
            </w:tcBorders>
          </w:tcPr>
          <w:p w14:paraId="3DC7CFA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41</w:t>
            </w:r>
          </w:p>
        </w:tc>
        <w:tc>
          <w:tcPr>
            <w:tcW w:w="1088" w:type="dxa"/>
            <w:tcBorders>
              <w:left w:val="nil"/>
              <w:bottom w:val="nil"/>
              <w:right w:val="nil"/>
            </w:tcBorders>
          </w:tcPr>
          <w:p w14:paraId="357704A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418" w:type="dxa"/>
            <w:tcBorders>
              <w:left w:val="nil"/>
              <w:bottom w:val="nil"/>
              <w:right w:val="nil"/>
            </w:tcBorders>
          </w:tcPr>
          <w:p w14:paraId="31F953B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59</w:t>
            </w:r>
          </w:p>
        </w:tc>
        <w:tc>
          <w:tcPr>
            <w:tcW w:w="1843" w:type="dxa"/>
            <w:tcBorders>
              <w:left w:val="nil"/>
              <w:bottom w:val="nil"/>
              <w:right w:val="nil"/>
            </w:tcBorders>
          </w:tcPr>
          <w:p w14:paraId="450DEC1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30.51</w:t>
            </w:r>
          </w:p>
        </w:tc>
        <w:tc>
          <w:tcPr>
            <w:tcW w:w="1842" w:type="dxa"/>
            <w:tcBorders>
              <w:left w:val="nil"/>
              <w:bottom w:val="nil"/>
              <w:right w:val="nil"/>
            </w:tcBorders>
          </w:tcPr>
          <w:p w14:paraId="422759A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37.29</w:t>
            </w:r>
          </w:p>
        </w:tc>
      </w:tr>
      <w:tr w:rsidR="003801E8" w14:paraId="57FA916C" w14:textId="77777777">
        <w:tc>
          <w:tcPr>
            <w:tcW w:w="1290" w:type="dxa"/>
            <w:tcBorders>
              <w:top w:val="nil"/>
              <w:left w:val="nil"/>
              <w:bottom w:val="nil"/>
              <w:right w:val="nil"/>
            </w:tcBorders>
          </w:tcPr>
          <w:p w14:paraId="6BD08548"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P1</w:t>
            </w:r>
          </w:p>
        </w:tc>
        <w:tc>
          <w:tcPr>
            <w:tcW w:w="1019" w:type="dxa"/>
            <w:tcBorders>
              <w:top w:val="nil"/>
              <w:left w:val="nil"/>
              <w:bottom w:val="nil"/>
              <w:right w:val="nil"/>
            </w:tcBorders>
          </w:tcPr>
          <w:p w14:paraId="399600F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w:t>
            </w:r>
          </w:p>
        </w:tc>
        <w:tc>
          <w:tcPr>
            <w:tcW w:w="1088" w:type="dxa"/>
            <w:tcBorders>
              <w:top w:val="nil"/>
              <w:left w:val="nil"/>
              <w:bottom w:val="nil"/>
              <w:right w:val="nil"/>
            </w:tcBorders>
          </w:tcPr>
          <w:p w14:paraId="4AB097B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418" w:type="dxa"/>
            <w:tcBorders>
              <w:top w:val="nil"/>
              <w:left w:val="nil"/>
              <w:bottom w:val="nil"/>
              <w:right w:val="nil"/>
            </w:tcBorders>
          </w:tcPr>
          <w:p w14:paraId="73B83A7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61</w:t>
            </w:r>
          </w:p>
        </w:tc>
        <w:tc>
          <w:tcPr>
            <w:tcW w:w="1843" w:type="dxa"/>
            <w:tcBorders>
              <w:top w:val="nil"/>
              <w:left w:val="nil"/>
              <w:bottom w:val="nil"/>
              <w:right w:val="nil"/>
            </w:tcBorders>
          </w:tcPr>
          <w:p w14:paraId="7DA7C6E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37.70</w:t>
            </w:r>
          </w:p>
        </w:tc>
        <w:tc>
          <w:tcPr>
            <w:tcW w:w="1842" w:type="dxa"/>
            <w:tcBorders>
              <w:top w:val="nil"/>
              <w:left w:val="nil"/>
              <w:bottom w:val="nil"/>
              <w:right w:val="nil"/>
            </w:tcBorders>
          </w:tcPr>
          <w:p w14:paraId="2886D73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39.34</w:t>
            </w:r>
          </w:p>
        </w:tc>
      </w:tr>
      <w:tr w:rsidR="003801E8" w14:paraId="0F552A59" w14:textId="77777777">
        <w:tc>
          <w:tcPr>
            <w:tcW w:w="1290" w:type="dxa"/>
            <w:tcBorders>
              <w:top w:val="nil"/>
              <w:left w:val="nil"/>
              <w:bottom w:val="nil"/>
              <w:right w:val="nil"/>
            </w:tcBorders>
          </w:tcPr>
          <w:p w14:paraId="42A9CA87"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P1</w:t>
            </w:r>
          </w:p>
        </w:tc>
        <w:tc>
          <w:tcPr>
            <w:tcW w:w="1019" w:type="dxa"/>
            <w:tcBorders>
              <w:top w:val="nil"/>
              <w:left w:val="nil"/>
              <w:bottom w:val="nil"/>
              <w:right w:val="nil"/>
            </w:tcBorders>
          </w:tcPr>
          <w:p w14:paraId="06CB854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41</w:t>
            </w:r>
          </w:p>
        </w:tc>
        <w:tc>
          <w:tcPr>
            <w:tcW w:w="1088" w:type="dxa"/>
            <w:tcBorders>
              <w:top w:val="nil"/>
              <w:left w:val="nil"/>
              <w:bottom w:val="nil"/>
              <w:right w:val="nil"/>
            </w:tcBorders>
          </w:tcPr>
          <w:p w14:paraId="48C474F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31</w:t>
            </w:r>
          </w:p>
        </w:tc>
        <w:tc>
          <w:tcPr>
            <w:tcW w:w="1418" w:type="dxa"/>
            <w:tcBorders>
              <w:top w:val="nil"/>
              <w:left w:val="nil"/>
              <w:bottom w:val="nil"/>
              <w:right w:val="nil"/>
            </w:tcBorders>
          </w:tcPr>
          <w:p w14:paraId="33C7295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57</w:t>
            </w:r>
          </w:p>
        </w:tc>
        <w:tc>
          <w:tcPr>
            <w:tcW w:w="1843" w:type="dxa"/>
            <w:tcBorders>
              <w:top w:val="nil"/>
              <w:left w:val="nil"/>
              <w:bottom w:val="nil"/>
              <w:right w:val="nil"/>
            </w:tcBorders>
          </w:tcPr>
          <w:p w14:paraId="7A8944F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28.07</w:t>
            </w:r>
          </w:p>
        </w:tc>
        <w:tc>
          <w:tcPr>
            <w:tcW w:w="1842" w:type="dxa"/>
            <w:tcBorders>
              <w:top w:val="nil"/>
              <w:left w:val="nil"/>
              <w:bottom w:val="nil"/>
              <w:right w:val="nil"/>
            </w:tcBorders>
          </w:tcPr>
          <w:p w14:paraId="7F26D20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45.61</w:t>
            </w:r>
          </w:p>
        </w:tc>
      </w:tr>
      <w:tr w:rsidR="003801E8" w14:paraId="19208B13" w14:textId="77777777">
        <w:tc>
          <w:tcPr>
            <w:tcW w:w="1290" w:type="dxa"/>
            <w:tcBorders>
              <w:top w:val="nil"/>
              <w:left w:val="nil"/>
              <w:bottom w:val="nil"/>
              <w:right w:val="nil"/>
            </w:tcBorders>
          </w:tcPr>
          <w:p w14:paraId="514641EB"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P1</w:t>
            </w:r>
          </w:p>
        </w:tc>
        <w:tc>
          <w:tcPr>
            <w:tcW w:w="1019" w:type="dxa"/>
            <w:tcBorders>
              <w:top w:val="nil"/>
              <w:left w:val="nil"/>
              <w:bottom w:val="nil"/>
              <w:right w:val="nil"/>
            </w:tcBorders>
          </w:tcPr>
          <w:p w14:paraId="0F5BA6F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w:t>
            </w:r>
          </w:p>
        </w:tc>
        <w:tc>
          <w:tcPr>
            <w:tcW w:w="1088" w:type="dxa"/>
            <w:tcBorders>
              <w:top w:val="nil"/>
              <w:left w:val="nil"/>
              <w:bottom w:val="nil"/>
              <w:right w:val="nil"/>
            </w:tcBorders>
          </w:tcPr>
          <w:p w14:paraId="4A204BD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32</w:t>
            </w:r>
          </w:p>
        </w:tc>
        <w:tc>
          <w:tcPr>
            <w:tcW w:w="1418" w:type="dxa"/>
            <w:tcBorders>
              <w:top w:val="nil"/>
              <w:left w:val="nil"/>
              <w:bottom w:val="nil"/>
              <w:right w:val="nil"/>
            </w:tcBorders>
          </w:tcPr>
          <w:p w14:paraId="540A13E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59</w:t>
            </w:r>
          </w:p>
        </w:tc>
        <w:tc>
          <w:tcPr>
            <w:tcW w:w="1843" w:type="dxa"/>
            <w:tcBorders>
              <w:top w:val="nil"/>
              <w:left w:val="nil"/>
              <w:bottom w:val="nil"/>
              <w:right w:val="nil"/>
            </w:tcBorders>
          </w:tcPr>
          <w:p w14:paraId="21A96EF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32.20</w:t>
            </w:r>
          </w:p>
        </w:tc>
        <w:tc>
          <w:tcPr>
            <w:tcW w:w="1842" w:type="dxa"/>
            <w:tcBorders>
              <w:top w:val="nil"/>
              <w:left w:val="nil"/>
              <w:bottom w:val="nil"/>
              <w:right w:val="nil"/>
            </w:tcBorders>
          </w:tcPr>
          <w:p w14:paraId="7C13A7F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45.76</w:t>
            </w:r>
          </w:p>
        </w:tc>
      </w:tr>
      <w:tr w:rsidR="003801E8" w14:paraId="5C00983E" w14:textId="77777777">
        <w:tc>
          <w:tcPr>
            <w:tcW w:w="1290" w:type="dxa"/>
            <w:tcBorders>
              <w:top w:val="nil"/>
              <w:left w:val="nil"/>
              <w:bottom w:val="nil"/>
              <w:right w:val="nil"/>
            </w:tcBorders>
          </w:tcPr>
          <w:p w14:paraId="10841C9D"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374A7C2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35</w:t>
            </w:r>
          </w:p>
        </w:tc>
        <w:tc>
          <w:tcPr>
            <w:tcW w:w="1088" w:type="dxa"/>
            <w:tcBorders>
              <w:top w:val="nil"/>
              <w:left w:val="nil"/>
              <w:bottom w:val="nil"/>
              <w:right w:val="nil"/>
            </w:tcBorders>
          </w:tcPr>
          <w:p w14:paraId="3F8A3BE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33</w:t>
            </w:r>
          </w:p>
        </w:tc>
        <w:tc>
          <w:tcPr>
            <w:tcW w:w="1418" w:type="dxa"/>
            <w:tcBorders>
              <w:top w:val="nil"/>
              <w:left w:val="nil"/>
              <w:bottom w:val="nil"/>
              <w:right w:val="nil"/>
            </w:tcBorders>
          </w:tcPr>
          <w:p w14:paraId="35284B2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61</w:t>
            </w:r>
          </w:p>
        </w:tc>
        <w:tc>
          <w:tcPr>
            <w:tcW w:w="1843" w:type="dxa"/>
            <w:tcBorders>
              <w:top w:val="nil"/>
              <w:left w:val="nil"/>
              <w:bottom w:val="nil"/>
              <w:right w:val="nil"/>
            </w:tcBorders>
          </w:tcPr>
          <w:p w14:paraId="65D71EC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42.62</w:t>
            </w:r>
          </w:p>
        </w:tc>
        <w:tc>
          <w:tcPr>
            <w:tcW w:w="1842" w:type="dxa"/>
            <w:tcBorders>
              <w:top w:val="nil"/>
              <w:left w:val="nil"/>
              <w:bottom w:val="nil"/>
              <w:right w:val="nil"/>
            </w:tcBorders>
          </w:tcPr>
          <w:p w14:paraId="08C3D64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45.90</w:t>
            </w:r>
          </w:p>
        </w:tc>
      </w:tr>
      <w:tr w:rsidR="003801E8" w14:paraId="11515EB2" w14:textId="77777777">
        <w:tc>
          <w:tcPr>
            <w:tcW w:w="1290" w:type="dxa"/>
            <w:tcBorders>
              <w:top w:val="nil"/>
              <w:left w:val="nil"/>
              <w:bottom w:val="nil"/>
              <w:right w:val="nil"/>
            </w:tcBorders>
          </w:tcPr>
          <w:p w14:paraId="1DDD67AE"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51DF39E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088" w:type="dxa"/>
            <w:tcBorders>
              <w:top w:val="nil"/>
              <w:left w:val="nil"/>
              <w:bottom w:val="nil"/>
              <w:right w:val="nil"/>
            </w:tcBorders>
          </w:tcPr>
          <w:p w14:paraId="7BBE306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35</w:t>
            </w:r>
          </w:p>
        </w:tc>
        <w:tc>
          <w:tcPr>
            <w:tcW w:w="1418" w:type="dxa"/>
            <w:tcBorders>
              <w:top w:val="nil"/>
              <w:left w:val="nil"/>
              <w:bottom w:val="nil"/>
              <w:right w:val="nil"/>
            </w:tcBorders>
          </w:tcPr>
          <w:p w14:paraId="4A53000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60</w:t>
            </w:r>
          </w:p>
        </w:tc>
        <w:tc>
          <w:tcPr>
            <w:tcW w:w="1843" w:type="dxa"/>
            <w:tcBorders>
              <w:top w:val="nil"/>
              <w:left w:val="nil"/>
              <w:bottom w:val="nil"/>
              <w:right w:val="nil"/>
            </w:tcBorders>
          </w:tcPr>
          <w:p w14:paraId="6D352A6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38.33</w:t>
            </w:r>
          </w:p>
        </w:tc>
        <w:tc>
          <w:tcPr>
            <w:tcW w:w="1842" w:type="dxa"/>
            <w:tcBorders>
              <w:top w:val="nil"/>
              <w:left w:val="nil"/>
              <w:bottom w:val="nil"/>
              <w:right w:val="nil"/>
            </w:tcBorders>
          </w:tcPr>
          <w:p w14:paraId="2BA919D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41.67</w:t>
            </w:r>
          </w:p>
        </w:tc>
      </w:tr>
      <w:tr w:rsidR="003801E8" w14:paraId="37CC736B" w14:textId="77777777">
        <w:tc>
          <w:tcPr>
            <w:tcW w:w="1290" w:type="dxa"/>
            <w:tcBorders>
              <w:top w:val="nil"/>
              <w:left w:val="nil"/>
              <w:bottom w:val="nil"/>
              <w:right w:val="nil"/>
            </w:tcBorders>
          </w:tcPr>
          <w:p w14:paraId="79AA835D"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1D7E898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w:t>
            </w:r>
          </w:p>
        </w:tc>
        <w:tc>
          <w:tcPr>
            <w:tcW w:w="1088" w:type="dxa"/>
            <w:tcBorders>
              <w:top w:val="nil"/>
              <w:left w:val="nil"/>
              <w:bottom w:val="nil"/>
              <w:right w:val="nil"/>
            </w:tcBorders>
          </w:tcPr>
          <w:p w14:paraId="1A6F254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36</w:t>
            </w:r>
          </w:p>
        </w:tc>
        <w:tc>
          <w:tcPr>
            <w:tcW w:w="1418" w:type="dxa"/>
            <w:tcBorders>
              <w:top w:val="nil"/>
              <w:left w:val="nil"/>
              <w:bottom w:val="nil"/>
              <w:right w:val="nil"/>
            </w:tcBorders>
          </w:tcPr>
          <w:p w14:paraId="34F542A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59</w:t>
            </w:r>
          </w:p>
        </w:tc>
        <w:tc>
          <w:tcPr>
            <w:tcW w:w="1843" w:type="dxa"/>
            <w:tcBorders>
              <w:top w:val="nil"/>
              <w:left w:val="nil"/>
              <w:bottom w:val="nil"/>
              <w:right w:val="nil"/>
            </w:tcBorders>
          </w:tcPr>
          <w:p w14:paraId="400B975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35.59</w:t>
            </w:r>
          </w:p>
        </w:tc>
        <w:tc>
          <w:tcPr>
            <w:tcW w:w="1842" w:type="dxa"/>
            <w:tcBorders>
              <w:top w:val="nil"/>
              <w:left w:val="nil"/>
              <w:bottom w:val="nil"/>
              <w:right w:val="nil"/>
            </w:tcBorders>
          </w:tcPr>
          <w:p w14:paraId="17B9390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38.98</w:t>
            </w:r>
          </w:p>
        </w:tc>
      </w:tr>
      <w:tr w:rsidR="003801E8" w14:paraId="17E30431" w14:textId="77777777">
        <w:tc>
          <w:tcPr>
            <w:tcW w:w="1290" w:type="dxa"/>
            <w:tcBorders>
              <w:top w:val="nil"/>
              <w:left w:val="nil"/>
              <w:bottom w:val="nil"/>
              <w:right w:val="nil"/>
            </w:tcBorders>
          </w:tcPr>
          <w:p w14:paraId="39748F1C"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47A30AB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088" w:type="dxa"/>
            <w:tcBorders>
              <w:top w:val="nil"/>
              <w:left w:val="nil"/>
              <w:bottom w:val="nil"/>
              <w:right w:val="nil"/>
            </w:tcBorders>
          </w:tcPr>
          <w:p w14:paraId="54DE539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w:t>
            </w:r>
          </w:p>
        </w:tc>
        <w:tc>
          <w:tcPr>
            <w:tcW w:w="1418" w:type="dxa"/>
            <w:tcBorders>
              <w:top w:val="nil"/>
              <w:left w:val="nil"/>
              <w:bottom w:val="nil"/>
              <w:right w:val="nil"/>
            </w:tcBorders>
          </w:tcPr>
          <w:p w14:paraId="7039842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58</w:t>
            </w:r>
          </w:p>
        </w:tc>
        <w:tc>
          <w:tcPr>
            <w:tcW w:w="1843" w:type="dxa"/>
            <w:tcBorders>
              <w:top w:val="nil"/>
              <w:left w:val="nil"/>
              <w:bottom w:val="nil"/>
              <w:right w:val="nil"/>
            </w:tcBorders>
          </w:tcPr>
          <w:p w14:paraId="69906E4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36.21</w:t>
            </w:r>
          </w:p>
        </w:tc>
        <w:tc>
          <w:tcPr>
            <w:tcW w:w="1842" w:type="dxa"/>
            <w:tcBorders>
              <w:top w:val="nil"/>
              <w:left w:val="nil"/>
              <w:bottom w:val="nil"/>
              <w:right w:val="nil"/>
            </w:tcBorders>
          </w:tcPr>
          <w:p w14:paraId="64E3F2B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34.48</w:t>
            </w:r>
          </w:p>
        </w:tc>
      </w:tr>
      <w:tr w:rsidR="003801E8" w14:paraId="036B966E" w14:textId="77777777">
        <w:tc>
          <w:tcPr>
            <w:tcW w:w="1290" w:type="dxa"/>
            <w:tcBorders>
              <w:top w:val="nil"/>
              <w:left w:val="nil"/>
              <w:bottom w:val="nil"/>
              <w:right w:val="nil"/>
            </w:tcBorders>
          </w:tcPr>
          <w:p w14:paraId="7B2477A1"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410E65A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39</w:t>
            </w:r>
          </w:p>
        </w:tc>
        <w:tc>
          <w:tcPr>
            <w:tcW w:w="1088" w:type="dxa"/>
            <w:tcBorders>
              <w:top w:val="nil"/>
              <w:left w:val="nil"/>
              <w:bottom w:val="nil"/>
              <w:right w:val="nil"/>
            </w:tcBorders>
          </w:tcPr>
          <w:p w14:paraId="605EB5C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41</w:t>
            </w:r>
          </w:p>
        </w:tc>
        <w:tc>
          <w:tcPr>
            <w:tcW w:w="1418" w:type="dxa"/>
            <w:tcBorders>
              <w:top w:val="nil"/>
              <w:left w:val="nil"/>
              <w:bottom w:val="nil"/>
              <w:right w:val="nil"/>
            </w:tcBorders>
          </w:tcPr>
          <w:p w14:paraId="2C703B4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62</w:t>
            </w:r>
          </w:p>
        </w:tc>
        <w:tc>
          <w:tcPr>
            <w:tcW w:w="1843" w:type="dxa"/>
            <w:tcBorders>
              <w:top w:val="nil"/>
              <w:left w:val="nil"/>
              <w:bottom w:val="nil"/>
              <w:right w:val="nil"/>
            </w:tcBorders>
          </w:tcPr>
          <w:p w14:paraId="689FF90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37.10</w:t>
            </w:r>
          </w:p>
        </w:tc>
        <w:tc>
          <w:tcPr>
            <w:tcW w:w="1842" w:type="dxa"/>
            <w:tcBorders>
              <w:top w:val="nil"/>
              <w:left w:val="nil"/>
              <w:bottom w:val="nil"/>
              <w:right w:val="nil"/>
            </w:tcBorders>
          </w:tcPr>
          <w:p w14:paraId="5C214547"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33.87</w:t>
            </w:r>
          </w:p>
        </w:tc>
      </w:tr>
      <w:tr w:rsidR="003801E8" w14:paraId="026B8898" w14:textId="77777777">
        <w:tc>
          <w:tcPr>
            <w:tcW w:w="1290" w:type="dxa"/>
            <w:tcBorders>
              <w:top w:val="nil"/>
              <w:left w:val="nil"/>
              <w:bottom w:val="nil"/>
              <w:right w:val="nil"/>
            </w:tcBorders>
          </w:tcPr>
          <w:p w14:paraId="5176A113"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4F0E28B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w:t>
            </w:r>
          </w:p>
        </w:tc>
        <w:tc>
          <w:tcPr>
            <w:tcW w:w="1088" w:type="dxa"/>
            <w:tcBorders>
              <w:top w:val="nil"/>
              <w:left w:val="nil"/>
              <w:bottom w:val="nil"/>
              <w:right w:val="nil"/>
            </w:tcBorders>
          </w:tcPr>
          <w:p w14:paraId="6D3C29D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w:t>
            </w:r>
          </w:p>
        </w:tc>
        <w:tc>
          <w:tcPr>
            <w:tcW w:w="1418" w:type="dxa"/>
            <w:tcBorders>
              <w:top w:val="nil"/>
              <w:left w:val="nil"/>
              <w:bottom w:val="nil"/>
              <w:right w:val="nil"/>
            </w:tcBorders>
          </w:tcPr>
          <w:p w14:paraId="381E6D5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61</w:t>
            </w:r>
          </w:p>
        </w:tc>
        <w:tc>
          <w:tcPr>
            <w:tcW w:w="1843" w:type="dxa"/>
            <w:tcBorders>
              <w:top w:val="nil"/>
              <w:left w:val="nil"/>
              <w:bottom w:val="nil"/>
              <w:right w:val="nil"/>
            </w:tcBorders>
          </w:tcPr>
          <w:p w14:paraId="0255275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37.70</w:t>
            </w:r>
          </w:p>
        </w:tc>
        <w:tc>
          <w:tcPr>
            <w:tcW w:w="1842" w:type="dxa"/>
            <w:tcBorders>
              <w:top w:val="nil"/>
              <w:left w:val="nil"/>
              <w:bottom w:val="nil"/>
              <w:right w:val="nil"/>
            </w:tcBorders>
          </w:tcPr>
          <w:p w14:paraId="17D2860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37.70</w:t>
            </w:r>
          </w:p>
        </w:tc>
      </w:tr>
      <w:tr w:rsidR="003801E8" w14:paraId="1B7C499F" w14:textId="77777777">
        <w:tc>
          <w:tcPr>
            <w:tcW w:w="1290" w:type="dxa"/>
            <w:tcBorders>
              <w:top w:val="nil"/>
              <w:left w:val="nil"/>
              <w:bottom w:val="nil"/>
              <w:right w:val="nil"/>
            </w:tcBorders>
          </w:tcPr>
          <w:p w14:paraId="7263EA7C"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7E278AE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w:t>
            </w:r>
          </w:p>
        </w:tc>
        <w:tc>
          <w:tcPr>
            <w:tcW w:w="1088" w:type="dxa"/>
            <w:tcBorders>
              <w:top w:val="nil"/>
              <w:left w:val="nil"/>
              <w:bottom w:val="nil"/>
              <w:right w:val="nil"/>
            </w:tcBorders>
          </w:tcPr>
          <w:p w14:paraId="4E081057"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40</w:t>
            </w:r>
          </w:p>
        </w:tc>
        <w:tc>
          <w:tcPr>
            <w:tcW w:w="1418" w:type="dxa"/>
            <w:tcBorders>
              <w:top w:val="nil"/>
              <w:left w:val="nil"/>
              <w:bottom w:val="nil"/>
              <w:right w:val="nil"/>
            </w:tcBorders>
          </w:tcPr>
          <w:p w14:paraId="2667A66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61</w:t>
            </w:r>
          </w:p>
        </w:tc>
        <w:tc>
          <w:tcPr>
            <w:tcW w:w="1843" w:type="dxa"/>
            <w:tcBorders>
              <w:top w:val="nil"/>
              <w:left w:val="nil"/>
              <w:bottom w:val="nil"/>
              <w:right w:val="nil"/>
            </w:tcBorders>
          </w:tcPr>
          <w:p w14:paraId="7167C49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34.43</w:t>
            </w:r>
          </w:p>
        </w:tc>
        <w:tc>
          <w:tcPr>
            <w:tcW w:w="1842" w:type="dxa"/>
            <w:tcBorders>
              <w:top w:val="nil"/>
              <w:left w:val="nil"/>
              <w:bottom w:val="nil"/>
              <w:right w:val="nil"/>
            </w:tcBorders>
          </w:tcPr>
          <w:p w14:paraId="34EDA26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34.43</w:t>
            </w:r>
          </w:p>
        </w:tc>
      </w:tr>
      <w:tr w:rsidR="003801E8" w14:paraId="3C600844" w14:textId="77777777">
        <w:tc>
          <w:tcPr>
            <w:tcW w:w="1290" w:type="dxa"/>
            <w:tcBorders>
              <w:top w:val="nil"/>
              <w:left w:val="nil"/>
              <w:bottom w:val="nil"/>
              <w:right w:val="nil"/>
            </w:tcBorders>
          </w:tcPr>
          <w:p w14:paraId="0A212A70"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3565BDB7"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37</w:t>
            </w:r>
          </w:p>
        </w:tc>
        <w:tc>
          <w:tcPr>
            <w:tcW w:w="1088" w:type="dxa"/>
            <w:tcBorders>
              <w:top w:val="nil"/>
              <w:left w:val="nil"/>
              <w:bottom w:val="nil"/>
              <w:right w:val="nil"/>
            </w:tcBorders>
          </w:tcPr>
          <w:p w14:paraId="1B2BE3B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34</w:t>
            </w:r>
          </w:p>
        </w:tc>
        <w:tc>
          <w:tcPr>
            <w:tcW w:w="1418" w:type="dxa"/>
            <w:tcBorders>
              <w:top w:val="nil"/>
              <w:left w:val="nil"/>
              <w:bottom w:val="nil"/>
              <w:right w:val="nil"/>
            </w:tcBorders>
          </w:tcPr>
          <w:p w14:paraId="7DCB628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60</w:t>
            </w:r>
          </w:p>
        </w:tc>
        <w:tc>
          <w:tcPr>
            <w:tcW w:w="1843" w:type="dxa"/>
            <w:tcBorders>
              <w:top w:val="nil"/>
              <w:left w:val="nil"/>
              <w:bottom w:val="nil"/>
              <w:right w:val="nil"/>
            </w:tcBorders>
          </w:tcPr>
          <w:p w14:paraId="7E8EE13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38.33</w:t>
            </w:r>
          </w:p>
        </w:tc>
        <w:tc>
          <w:tcPr>
            <w:tcW w:w="1842" w:type="dxa"/>
            <w:tcBorders>
              <w:top w:val="nil"/>
              <w:left w:val="nil"/>
              <w:bottom w:val="nil"/>
              <w:right w:val="nil"/>
            </w:tcBorders>
          </w:tcPr>
          <w:p w14:paraId="4A6268E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43.33</w:t>
            </w:r>
          </w:p>
        </w:tc>
      </w:tr>
      <w:tr w:rsidR="003801E8" w14:paraId="4548DC8B" w14:textId="77777777">
        <w:tc>
          <w:tcPr>
            <w:tcW w:w="1290" w:type="dxa"/>
            <w:tcBorders>
              <w:top w:val="nil"/>
              <w:left w:val="nil"/>
              <w:bottom w:val="nil"/>
              <w:right w:val="nil"/>
            </w:tcBorders>
          </w:tcPr>
          <w:p w14:paraId="4B29ED12"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b/>
                <w:bCs/>
                <w:sz w:val="18"/>
                <w:szCs w:val="18"/>
                <w:lang w:val="en-US"/>
              </w:rPr>
              <w:t>Prosjek</w:t>
            </w:r>
          </w:p>
        </w:tc>
        <w:tc>
          <w:tcPr>
            <w:tcW w:w="1019" w:type="dxa"/>
            <w:tcBorders>
              <w:top w:val="nil"/>
              <w:left w:val="nil"/>
              <w:bottom w:val="nil"/>
              <w:right w:val="nil"/>
            </w:tcBorders>
          </w:tcPr>
          <w:p w14:paraId="2278B99C"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38.41</w:t>
            </w:r>
          </w:p>
        </w:tc>
        <w:tc>
          <w:tcPr>
            <w:tcW w:w="1088" w:type="dxa"/>
            <w:tcBorders>
              <w:top w:val="nil"/>
              <w:left w:val="nil"/>
              <w:bottom w:val="nil"/>
              <w:right w:val="nil"/>
            </w:tcBorders>
          </w:tcPr>
          <w:p w14:paraId="0C7568FF"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36</w:t>
            </w:r>
          </w:p>
        </w:tc>
        <w:tc>
          <w:tcPr>
            <w:tcW w:w="1418" w:type="dxa"/>
            <w:tcBorders>
              <w:top w:val="nil"/>
              <w:left w:val="nil"/>
              <w:bottom w:val="nil"/>
              <w:right w:val="nil"/>
            </w:tcBorders>
          </w:tcPr>
          <w:p w14:paraId="0F49B184"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59.83</w:t>
            </w:r>
          </w:p>
        </w:tc>
        <w:tc>
          <w:tcPr>
            <w:tcW w:w="1843" w:type="dxa"/>
            <w:tcBorders>
              <w:top w:val="nil"/>
              <w:left w:val="nil"/>
              <w:bottom w:val="nil"/>
              <w:right w:val="nil"/>
            </w:tcBorders>
          </w:tcPr>
          <w:p w14:paraId="192BD53F"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35.73</w:t>
            </w:r>
          </w:p>
        </w:tc>
        <w:tc>
          <w:tcPr>
            <w:tcW w:w="1842" w:type="dxa"/>
            <w:tcBorders>
              <w:top w:val="nil"/>
              <w:left w:val="nil"/>
              <w:bottom w:val="nil"/>
              <w:right w:val="nil"/>
            </w:tcBorders>
          </w:tcPr>
          <w:p w14:paraId="41A07F85"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39.86</w:t>
            </w:r>
          </w:p>
        </w:tc>
      </w:tr>
      <w:tr w:rsidR="003801E8" w14:paraId="65DA1247" w14:textId="77777777">
        <w:tc>
          <w:tcPr>
            <w:tcW w:w="1290" w:type="dxa"/>
            <w:tcBorders>
              <w:top w:val="nil"/>
              <w:left w:val="nil"/>
              <w:bottom w:val="single" w:sz="4" w:space="0" w:color="000000" w:themeColor="text1"/>
              <w:right w:val="nil"/>
            </w:tcBorders>
          </w:tcPr>
          <w:p w14:paraId="1741A86D"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BT</w:t>
            </w:r>
          </w:p>
        </w:tc>
        <w:tc>
          <w:tcPr>
            <w:tcW w:w="1019" w:type="dxa"/>
            <w:tcBorders>
              <w:top w:val="nil"/>
              <w:left w:val="nil"/>
              <w:bottom w:val="single" w:sz="4" w:space="0" w:color="000000" w:themeColor="text1"/>
              <w:right w:val="nil"/>
            </w:tcBorders>
          </w:tcPr>
          <w:p w14:paraId="4CE70E9A"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i/>
                <w:iCs/>
                <w:sz w:val="18"/>
                <w:szCs w:val="18"/>
                <w:lang w:val="en-US"/>
              </w:rPr>
              <w:t>7.86649E-20</w:t>
            </w:r>
          </w:p>
        </w:tc>
        <w:tc>
          <w:tcPr>
            <w:tcW w:w="1088" w:type="dxa"/>
            <w:tcBorders>
              <w:top w:val="nil"/>
              <w:left w:val="nil"/>
              <w:bottom w:val="single" w:sz="4" w:space="0" w:color="000000" w:themeColor="text1"/>
              <w:right w:val="nil"/>
            </w:tcBorders>
          </w:tcPr>
          <w:p w14:paraId="5727FBD7"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i/>
                <w:iCs/>
                <w:sz w:val="18"/>
                <w:szCs w:val="18"/>
                <w:lang w:val="en-US"/>
              </w:rPr>
              <w:t>2.74295E-17</w:t>
            </w:r>
          </w:p>
        </w:tc>
        <w:tc>
          <w:tcPr>
            <w:tcW w:w="5103" w:type="dxa"/>
            <w:gridSpan w:val="3"/>
            <w:tcBorders>
              <w:top w:val="nil"/>
              <w:left w:val="nil"/>
              <w:bottom w:val="single" w:sz="4" w:space="0" w:color="000000" w:themeColor="text1"/>
              <w:right w:val="nil"/>
            </w:tcBorders>
          </w:tcPr>
          <w:p w14:paraId="33F55567" w14:textId="77777777" w:rsidR="003801E8" w:rsidRDefault="003801E8">
            <w:pPr>
              <w:tabs>
                <w:tab w:val="left" w:pos="3315"/>
              </w:tabs>
              <w:spacing w:after="0" w:line="360" w:lineRule="auto"/>
              <w:jc w:val="center"/>
              <w:rPr>
                <w:rFonts w:ascii="Book Antiqua" w:hAnsi="Book Antiqua" w:cs="Times New Roman"/>
                <w:b/>
                <w:bCs/>
                <w:sz w:val="18"/>
                <w:szCs w:val="18"/>
                <w:lang w:val="en-US"/>
              </w:rPr>
            </w:pPr>
          </w:p>
        </w:tc>
      </w:tr>
      <w:tr w:rsidR="003801E8" w14:paraId="588C17AE" w14:textId="77777777">
        <w:tc>
          <w:tcPr>
            <w:tcW w:w="8500" w:type="dxa"/>
            <w:gridSpan w:val="6"/>
            <w:tcBorders>
              <w:left w:val="nil"/>
              <w:right w:val="nil"/>
            </w:tcBorders>
          </w:tcPr>
          <w:p w14:paraId="79FC2108"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i/>
                <w:iCs/>
                <w:sz w:val="18"/>
                <w:szCs w:val="18"/>
                <w:lang w:val="en-US"/>
              </w:rPr>
              <w:t xml:space="preserve">Cadophora luteo olivacea </w:t>
            </w:r>
            <w:r>
              <w:rPr>
                <w:rFonts w:ascii="Book Antiqua" w:hAnsi="Book Antiqua" w:cs="Times New Roman"/>
                <w:b/>
                <w:bCs/>
                <w:sz w:val="18"/>
                <w:szCs w:val="18"/>
                <w:lang w:val="en-US"/>
              </w:rPr>
              <w:t>MN001</w:t>
            </w:r>
          </w:p>
        </w:tc>
      </w:tr>
      <w:tr w:rsidR="003801E8" w14:paraId="4F674EED" w14:textId="77777777">
        <w:tc>
          <w:tcPr>
            <w:tcW w:w="1290" w:type="dxa"/>
            <w:tcBorders>
              <w:left w:val="nil"/>
              <w:right w:val="nil"/>
            </w:tcBorders>
          </w:tcPr>
          <w:p w14:paraId="11755E15"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b/>
                <w:bCs/>
                <w:sz w:val="18"/>
                <w:szCs w:val="18"/>
                <w:lang w:val="sr-Latn-RS"/>
              </w:rPr>
              <w:t>Oznaka</w:t>
            </w:r>
          </w:p>
        </w:tc>
        <w:tc>
          <w:tcPr>
            <w:tcW w:w="1019" w:type="dxa"/>
            <w:tcBorders>
              <w:left w:val="nil"/>
              <w:right w:val="nil"/>
            </w:tcBorders>
          </w:tcPr>
          <w:p w14:paraId="5EA7065F"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b/>
                <w:bCs/>
                <w:sz w:val="18"/>
                <w:szCs w:val="18"/>
                <w:lang w:val="sr-Latn-RS"/>
              </w:rPr>
              <w:t>CL x TC (mm)</w:t>
            </w:r>
          </w:p>
        </w:tc>
        <w:tc>
          <w:tcPr>
            <w:tcW w:w="1088" w:type="dxa"/>
            <w:tcBorders>
              <w:left w:val="nil"/>
              <w:right w:val="nil"/>
            </w:tcBorders>
          </w:tcPr>
          <w:p w14:paraId="48AC53F0"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b/>
                <w:bCs/>
                <w:sz w:val="18"/>
                <w:szCs w:val="18"/>
                <w:lang w:val="sr-Latn-RS"/>
              </w:rPr>
              <w:t>CL x TA (mm)</w:t>
            </w:r>
          </w:p>
        </w:tc>
        <w:tc>
          <w:tcPr>
            <w:tcW w:w="1418" w:type="dxa"/>
            <w:tcBorders>
              <w:left w:val="nil"/>
              <w:right w:val="nil"/>
            </w:tcBorders>
          </w:tcPr>
          <w:p w14:paraId="161CE778"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sz w:val="18"/>
                <w:szCs w:val="18"/>
                <w:lang w:val="sr-Latn-RS"/>
              </w:rPr>
              <w:t>CL kontrola (mm)</w:t>
            </w:r>
          </w:p>
        </w:tc>
        <w:tc>
          <w:tcPr>
            <w:tcW w:w="1843" w:type="dxa"/>
            <w:tcBorders>
              <w:left w:val="nil"/>
              <w:right w:val="nil"/>
            </w:tcBorders>
          </w:tcPr>
          <w:p w14:paraId="6DE8B2CB"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sz w:val="18"/>
                <w:szCs w:val="18"/>
                <w:lang w:val="sr-Latn-RS"/>
              </w:rPr>
              <w:t>Inhibicija CL x TC      (%)</w:t>
            </w:r>
          </w:p>
        </w:tc>
        <w:tc>
          <w:tcPr>
            <w:tcW w:w="1842" w:type="dxa"/>
            <w:tcBorders>
              <w:left w:val="nil"/>
              <w:right w:val="nil"/>
            </w:tcBorders>
          </w:tcPr>
          <w:p w14:paraId="13200B89"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sz w:val="18"/>
                <w:szCs w:val="18"/>
                <w:lang w:val="sr-Latn-RS"/>
              </w:rPr>
              <w:t>Inhibicija CL x TA (%)</w:t>
            </w:r>
          </w:p>
        </w:tc>
      </w:tr>
      <w:tr w:rsidR="003801E8" w14:paraId="5BCD9417" w14:textId="77777777">
        <w:tc>
          <w:tcPr>
            <w:tcW w:w="1290" w:type="dxa"/>
            <w:tcBorders>
              <w:left w:val="nil"/>
              <w:bottom w:val="nil"/>
              <w:right w:val="nil"/>
            </w:tcBorders>
          </w:tcPr>
          <w:p w14:paraId="494BB0DD"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 1</w:t>
            </w:r>
          </w:p>
        </w:tc>
        <w:tc>
          <w:tcPr>
            <w:tcW w:w="1019" w:type="dxa"/>
            <w:tcBorders>
              <w:left w:val="nil"/>
              <w:bottom w:val="nil"/>
              <w:right w:val="nil"/>
            </w:tcBorders>
          </w:tcPr>
          <w:p w14:paraId="77CCF52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12</w:t>
            </w:r>
          </w:p>
        </w:tc>
        <w:tc>
          <w:tcPr>
            <w:tcW w:w="1088" w:type="dxa"/>
            <w:tcBorders>
              <w:left w:val="nil"/>
              <w:bottom w:val="nil"/>
              <w:right w:val="nil"/>
            </w:tcBorders>
          </w:tcPr>
          <w:p w14:paraId="0CE60EC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19</w:t>
            </w:r>
          </w:p>
        </w:tc>
        <w:tc>
          <w:tcPr>
            <w:tcW w:w="1418" w:type="dxa"/>
            <w:tcBorders>
              <w:left w:val="nil"/>
              <w:bottom w:val="nil"/>
              <w:right w:val="nil"/>
            </w:tcBorders>
          </w:tcPr>
          <w:p w14:paraId="70D266F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24</w:t>
            </w:r>
          </w:p>
        </w:tc>
        <w:tc>
          <w:tcPr>
            <w:tcW w:w="1843" w:type="dxa"/>
            <w:tcBorders>
              <w:left w:val="nil"/>
              <w:bottom w:val="nil"/>
              <w:right w:val="nil"/>
            </w:tcBorders>
          </w:tcPr>
          <w:p w14:paraId="52C5478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50.00</w:t>
            </w:r>
          </w:p>
        </w:tc>
        <w:tc>
          <w:tcPr>
            <w:tcW w:w="1842" w:type="dxa"/>
            <w:tcBorders>
              <w:left w:val="nil"/>
              <w:bottom w:val="nil"/>
              <w:right w:val="nil"/>
            </w:tcBorders>
          </w:tcPr>
          <w:p w14:paraId="7555132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20.83</w:t>
            </w:r>
          </w:p>
        </w:tc>
      </w:tr>
      <w:tr w:rsidR="003801E8" w14:paraId="658EF0CE" w14:textId="77777777">
        <w:tc>
          <w:tcPr>
            <w:tcW w:w="1290" w:type="dxa"/>
            <w:tcBorders>
              <w:top w:val="nil"/>
              <w:left w:val="nil"/>
              <w:bottom w:val="nil"/>
              <w:right w:val="nil"/>
            </w:tcBorders>
          </w:tcPr>
          <w:p w14:paraId="78B7222D"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 1</w:t>
            </w:r>
          </w:p>
        </w:tc>
        <w:tc>
          <w:tcPr>
            <w:tcW w:w="1019" w:type="dxa"/>
            <w:tcBorders>
              <w:top w:val="nil"/>
              <w:left w:val="nil"/>
              <w:bottom w:val="nil"/>
              <w:right w:val="nil"/>
            </w:tcBorders>
          </w:tcPr>
          <w:p w14:paraId="24A700C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16</w:t>
            </w:r>
          </w:p>
        </w:tc>
        <w:tc>
          <w:tcPr>
            <w:tcW w:w="1088" w:type="dxa"/>
            <w:tcBorders>
              <w:top w:val="nil"/>
              <w:left w:val="nil"/>
              <w:bottom w:val="nil"/>
              <w:right w:val="nil"/>
            </w:tcBorders>
          </w:tcPr>
          <w:p w14:paraId="35D6740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13</w:t>
            </w:r>
          </w:p>
        </w:tc>
        <w:tc>
          <w:tcPr>
            <w:tcW w:w="1418" w:type="dxa"/>
            <w:tcBorders>
              <w:top w:val="nil"/>
              <w:left w:val="nil"/>
              <w:bottom w:val="nil"/>
              <w:right w:val="nil"/>
            </w:tcBorders>
          </w:tcPr>
          <w:p w14:paraId="7F2E8CF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24</w:t>
            </w:r>
          </w:p>
        </w:tc>
        <w:tc>
          <w:tcPr>
            <w:tcW w:w="1843" w:type="dxa"/>
            <w:tcBorders>
              <w:top w:val="nil"/>
              <w:left w:val="nil"/>
              <w:bottom w:val="nil"/>
              <w:right w:val="nil"/>
            </w:tcBorders>
          </w:tcPr>
          <w:p w14:paraId="37E361D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33.33</w:t>
            </w:r>
          </w:p>
        </w:tc>
        <w:tc>
          <w:tcPr>
            <w:tcW w:w="1842" w:type="dxa"/>
            <w:tcBorders>
              <w:top w:val="nil"/>
              <w:left w:val="nil"/>
              <w:bottom w:val="nil"/>
              <w:right w:val="nil"/>
            </w:tcBorders>
          </w:tcPr>
          <w:p w14:paraId="292E055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45.83</w:t>
            </w:r>
          </w:p>
        </w:tc>
      </w:tr>
      <w:tr w:rsidR="003801E8" w14:paraId="71887A88" w14:textId="77777777">
        <w:tc>
          <w:tcPr>
            <w:tcW w:w="1290" w:type="dxa"/>
            <w:tcBorders>
              <w:top w:val="nil"/>
              <w:left w:val="nil"/>
              <w:bottom w:val="nil"/>
              <w:right w:val="nil"/>
            </w:tcBorders>
          </w:tcPr>
          <w:p w14:paraId="37B8FCC2"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 1</w:t>
            </w:r>
          </w:p>
        </w:tc>
        <w:tc>
          <w:tcPr>
            <w:tcW w:w="1019" w:type="dxa"/>
            <w:tcBorders>
              <w:top w:val="nil"/>
              <w:left w:val="nil"/>
              <w:bottom w:val="nil"/>
              <w:right w:val="nil"/>
            </w:tcBorders>
          </w:tcPr>
          <w:p w14:paraId="4EC563D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16</w:t>
            </w:r>
          </w:p>
        </w:tc>
        <w:tc>
          <w:tcPr>
            <w:tcW w:w="1088" w:type="dxa"/>
            <w:tcBorders>
              <w:top w:val="nil"/>
              <w:left w:val="nil"/>
              <w:bottom w:val="nil"/>
              <w:right w:val="nil"/>
            </w:tcBorders>
          </w:tcPr>
          <w:p w14:paraId="0594D06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13</w:t>
            </w:r>
          </w:p>
        </w:tc>
        <w:tc>
          <w:tcPr>
            <w:tcW w:w="1418" w:type="dxa"/>
            <w:tcBorders>
              <w:top w:val="nil"/>
              <w:left w:val="nil"/>
              <w:bottom w:val="nil"/>
              <w:right w:val="nil"/>
            </w:tcBorders>
          </w:tcPr>
          <w:p w14:paraId="390BE55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w:t>
            </w:r>
          </w:p>
        </w:tc>
        <w:tc>
          <w:tcPr>
            <w:tcW w:w="1843" w:type="dxa"/>
            <w:tcBorders>
              <w:top w:val="nil"/>
              <w:left w:val="nil"/>
              <w:bottom w:val="nil"/>
              <w:right w:val="nil"/>
            </w:tcBorders>
          </w:tcPr>
          <w:p w14:paraId="186955D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42.86</w:t>
            </w:r>
          </w:p>
        </w:tc>
        <w:tc>
          <w:tcPr>
            <w:tcW w:w="1842" w:type="dxa"/>
            <w:tcBorders>
              <w:top w:val="nil"/>
              <w:left w:val="nil"/>
              <w:bottom w:val="nil"/>
              <w:right w:val="nil"/>
            </w:tcBorders>
          </w:tcPr>
          <w:p w14:paraId="1C0E741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53.57</w:t>
            </w:r>
          </w:p>
        </w:tc>
      </w:tr>
      <w:tr w:rsidR="003801E8" w14:paraId="563406E5" w14:textId="77777777">
        <w:tc>
          <w:tcPr>
            <w:tcW w:w="1290" w:type="dxa"/>
            <w:tcBorders>
              <w:top w:val="nil"/>
              <w:left w:val="nil"/>
              <w:bottom w:val="nil"/>
              <w:right w:val="nil"/>
            </w:tcBorders>
          </w:tcPr>
          <w:p w14:paraId="1BD1ADFE"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 1</w:t>
            </w:r>
          </w:p>
        </w:tc>
        <w:tc>
          <w:tcPr>
            <w:tcW w:w="1019" w:type="dxa"/>
            <w:tcBorders>
              <w:top w:val="nil"/>
              <w:left w:val="nil"/>
              <w:bottom w:val="nil"/>
              <w:right w:val="nil"/>
            </w:tcBorders>
          </w:tcPr>
          <w:p w14:paraId="560CA30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12</w:t>
            </w:r>
          </w:p>
        </w:tc>
        <w:tc>
          <w:tcPr>
            <w:tcW w:w="1088" w:type="dxa"/>
            <w:tcBorders>
              <w:top w:val="nil"/>
              <w:left w:val="nil"/>
              <w:bottom w:val="nil"/>
              <w:right w:val="nil"/>
            </w:tcBorders>
          </w:tcPr>
          <w:p w14:paraId="3DD7B88F"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11</w:t>
            </w:r>
          </w:p>
        </w:tc>
        <w:tc>
          <w:tcPr>
            <w:tcW w:w="1418" w:type="dxa"/>
            <w:tcBorders>
              <w:top w:val="nil"/>
              <w:left w:val="nil"/>
              <w:bottom w:val="nil"/>
              <w:right w:val="nil"/>
            </w:tcBorders>
          </w:tcPr>
          <w:p w14:paraId="17D01E7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26</w:t>
            </w:r>
          </w:p>
        </w:tc>
        <w:tc>
          <w:tcPr>
            <w:tcW w:w="1843" w:type="dxa"/>
            <w:tcBorders>
              <w:top w:val="nil"/>
              <w:left w:val="nil"/>
              <w:bottom w:val="nil"/>
              <w:right w:val="nil"/>
            </w:tcBorders>
          </w:tcPr>
          <w:p w14:paraId="262C9C6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46.15</w:t>
            </w:r>
          </w:p>
        </w:tc>
        <w:tc>
          <w:tcPr>
            <w:tcW w:w="1842" w:type="dxa"/>
            <w:tcBorders>
              <w:top w:val="nil"/>
              <w:left w:val="nil"/>
              <w:bottom w:val="nil"/>
              <w:right w:val="nil"/>
            </w:tcBorders>
          </w:tcPr>
          <w:p w14:paraId="1878327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57.69</w:t>
            </w:r>
          </w:p>
        </w:tc>
      </w:tr>
      <w:tr w:rsidR="003801E8" w14:paraId="1010843C" w14:textId="77777777">
        <w:tc>
          <w:tcPr>
            <w:tcW w:w="1290" w:type="dxa"/>
            <w:tcBorders>
              <w:top w:val="nil"/>
              <w:left w:val="nil"/>
              <w:bottom w:val="nil"/>
              <w:right w:val="nil"/>
            </w:tcBorders>
          </w:tcPr>
          <w:p w14:paraId="24F963F9"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0E7D06B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12</w:t>
            </w:r>
          </w:p>
        </w:tc>
        <w:tc>
          <w:tcPr>
            <w:tcW w:w="1088" w:type="dxa"/>
            <w:tcBorders>
              <w:top w:val="nil"/>
              <w:left w:val="nil"/>
              <w:bottom w:val="nil"/>
              <w:right w:val="nil"/>
            </w:tcBorders>
          </w:tcPr>
          <w:p w14:paraId="6D76C03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14</w:t>
            </w:r>
          </w:p>
        </w:tc>
        <w:tc>
          <w:tcPr>
            <w:tcW w:w="1418" w:type="dxa"/>
            <w:tcBorders>
              <w:top w:val="nil"/>
              <w:left w:val="nil"/>
              <w:bottom w:val="nil"/>
              <w:right w:val="nil"/>
            </w:tcBorders>
          </w:tcPr>
          <w:p w14:paraId="7FB7F65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w:t>
            </w:r>
          </w:p>
        </w:tc>
        <w:tc>
          <w:tcPr>
            <w:tcW w:w="1843" w:type="dxa"/>
            <w:tcBorders>
              <w:top w:val="nil"/>
              <w:left w:val="nil"/>
              <w:bottom w:val="nil"/>
              <w:right w:val="nil"/>
            </w:tcBorders>
          </w:tcPr>
          <w:p w14:paraId="4F730A4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57.14</w:t>
            </w:r>
          </w:p>
        </w:tc>
        <w:tc>
          <w:tcPr>
            <w:tcW w:w="1842" w:type="dxa"/>
            <w:tcBorders>
              <w:top w:val="nil"/>
              <w:left w:val="nil"/>
              <w:bottom w:val="nil"/>
              <w:right w:val="nil"/>
            </w:tcBorders>
          </w:tcPr>
          <w:p w14:paraId="0B5D299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50.00</w:t>
            </w:r>
          </w:p>
        </w:tc>
      </w:tr>
      <w:tr w:rsidR="003801E8" w14:paraId="17D7C971" w14:textId="77777777">
        <w:tc>
          <w:tcPr>
            <w:tcW w:w="1290" w:type="dxa"/>
            <w:tcBorders>
              <w:top w:val="nil"/>
              <w:left w:val="nil"/>
              <w:bottom w:val="nil"/>
              <w:right w:val="nil"/>
            </w:tcBorders>
          </w:tcPr>
          <w:p w14:paraId="64AD9C21"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734B8FE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11</w:t>
            </w:r>
          </w:p>
        </w:tc>
        <w:tc>
          <w:tcPr>
            <w:tcW w:w="1088" w:type="dxa"/>
            <w:tcBorders>
              <w:top w:val="nil"/>
              <w:left w:val="nil"/>
              <w:bottom w:val="nil"/>
              <w:right w:val="nil"/>
            </w:tcBorders>
          </w:tcPr>
          <w:p w14:paraId="34DB882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14</w:t>
            </w:r>
          </w:p>
        </w:tc>
        <w:tc>
          <w:tcPr>
            <w:tcW w:w="1418" w:type="dxa"/>
            <w:tcBorders>
              <w:top w:val="nil"/>
              <w:left w:val="nil"/>
              <w:bottom w:val="nil"/>
              <w:right w:val="nil"/>
            </w:tcBorders>
          </w:tcPr>
          <w:p w14:paraId="6503ED4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w:t>
            </w:r>
          </w:p>
        </w:tc>
        <w:tc>
          <w:tcPr>
            <w:tcW w:w="1843" w:type="dxa"/>
            <w:tcBorders>
              <w:top w:val="nil"/>
              <w:left w:val="nil"/>
              <w:bottom w:val="nil"/>
              <w:right w:val="nil"/>
            </w:tcBorders>
          </w:tcPr>
          <w:p w14:paraId="62B3A3B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60.71</w:t>
            </w:r>
          </w:p>
        </w:tc>
        <w:tc>
          <w:tcPr>
            <w:tcW w:w="1842" w:type="dxa"/>
            <w:tcBorders>
              <w:top w:val="nil"/>
              <w:left w:val="nil"/>
              <w:bottom w:val="nil"/>
              <w:right w:val="nil"/>
            </w:tcBorders>
          </w:tcPr>
          <w:p w14:paraId="209BE61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50.00</w:t>
            </w:r>
          </w:p>
        </w:tc>
      </w:tr>
      <w:tr w:rsidR="003801E8" w14:paraId="6D6950F9" w14:textId="77777777">
        <w:tc>
          <w:tcPr>
            <w:tcW w:w="1290" w:type="dxa"/>
            <w:tcBorders>
              <w:top w:val="nil"/>
              <w:left w:val="nil"/>
              <w:bottom w:val="nil"/>
              <w:right w:val="nil"/>
            </w:tcBorders>
          </w:tcPr>
          <w:p w14:paraId="4C57C4E6"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5E29850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14</w:t>
            </w:r>
          </w:p>
        </w:tc>
        <w:tc>
          <w:tcPr>
            <w:tcW w:w="1088" w:type="dxa"/>
            <w:tcBorders>
              <w:top w:val="nil"/>
              <w:left w:val="nil"/>
              <w:bottom w:val="nil"/>
              <w:right w:val="nil"/>
            </w:tcBorders>
          </w:tcPr>
          <w:p w14:paraId="79E0E60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12</w:t>
            </w:r>
          </w:p>
        </w:tc>
        <w:tc>
          <w:tcPr>
            <w:tcW w:w="1418" w:type="dxa"/>
            <w:tcBorders>
              <w:top w:val="nil"/>
              <w:left w:val="nil"/>
              <w:bottom w:val="nil"/>
              <w:right w:val="nil"/>
            </w:tcBorders>
          </w:tcPr>
          <w:p w14:paraId="43E4C8B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26</w:t>
            </w:r>
          </w:p>
        </w:tc>
        <w:tc>
          <w:tcPr>
            <w:tcW w:w="1843" w:type="dxa"/>
            <w:tcBorders>
              <w:top w:val="nil"/>
              <w:left w:val="nil"/>
              <w:bottom w:val="nil"/>
              <w:right w:val="nil"/>
            </w:tcBorders>
          </w:tcPr>
          <w:p w14:paraId="3AF52D8F"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46.15</w:t>
            </w:r>
          </w:p>
        </w:tc>
        <w:tc>
          <w:tcPr>
            <w:tcW w:w="1842" w:type="dxa"/>
            <w:tcBorders>
              <w:top w:val="nil"/>
              <w:left w:val="nil"/>
              <w:bottom w:val="nil"/>
              <w:right w:val="nil"/>
            </w:tcBorders>
          </w:tcPr>
          <w:p w14:paraId="6AE1A44F"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53.85</w:t>
            </w:r>
          </w:p>
        </w:tc>
      </w:tr>
      <w:tr w:rsidR="003801E8" w14:paraId="24FF5E65" w14:textId="77777777">
        <w:tc>
          <w:tcPr>
            <w:tcW w:w="1290" w:type="dxa"/>
            <w:tcBorders>
              <w:top w:val="nil"/>
              <w:left w:val="nil"/>
              <w:bottom w:val="nil"/>
              <w:right w:val="nil"/>
            </w:tcBorders>
          </w:tcPr>
          <w:p w14:paraId="7C545E68"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4BB6C90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12</w:t>
            </w:r>
          </w:p>
        </w:tc>
        <w:tc>
          <w:tcPr>
            <w:tcW w:w="1088" w:type="dxa"/>
            <w:tcBorders>
              <w:top w:val="nil"/>
              <w:left w:val="nil"/>
              <w:bottom w:val="nil"/>
              <w:right w:val="nil"/>
            </w:tcBorders>
          </w:tcPr>
          <w:p w14:paraId="3E4AADC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12</w:t>
            </w:r>
          </w:p>
        </w:tc>
        <w:tc>
          <w:tcPr>
            <w:tcW w:w="1418" w:type="dxa"/>
            <w:tcBorders>
              <w:top w:val="nil"/>
              <w:left w:val="nil"/>
              <w:bottom w:val="nil"/>
              <w:right w:val="nil"/>
            </w:tcBorders>
          </w:tcPr>
          <w:p w14:paraId="51FA0A9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24</w:t>
            </w:r>
          </w:p>
        </w:tc>
        <w:tc>
          <w:tcPr>
            <w:tcW w:w="1843" w:type="dxa"/>
            <w:tcBorders>
              <w:top w:val="nil"/>
              <w:left w:val="nil"/>
              <w:bottom w:val="nil"/>
              <w:right w:val="nil"/>
            </w:tcBorders>
          </w:tcPr>
          <w:p w14:paraId="0074B4B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50.50</w:t>
            </w:r>
          </w:p>
        </w:tc>
        <w:tc>
          <w:tcPr>
            <w:tcW w:w="1842" w:type="dxa"/>
            <w:tcBorders>
              <w:top w:val="nil"/>
              <w:left w:val="nil"/>
              <w:bottom w:val="nil"/>
              <w:right w:val="nil"/>
            </w:tcBorders>
          </w:tcPr>
          <w:p w14:paraId="1844DDD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50.00</w:t>
            </w:r>
          </w:p>
        </w:tc>
      </w:tr>
      <w:tr w:rsidR="003801E8" w14:paraId="3EA6DE7C" w14:textId="77777777">
        <w:tc>
          <w:tcPr>
            <w:tcW w:w="1290" w:type="dxa"/>
            <w:tcBorders>
              <w:top w:val="nil"/>
              <w:left w:val="nil"/>
              <w:bottom w:val="nil"/>
              <w:right w:val="nil"/>
            </w:tcBorders>
          </w:tcPr>
          <w:p w14:paraId="73D50D23"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4F65E20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13</w:t>
            </w:r>
          </w:p>
        </w:tc>
        <w:tc>
          <w:tcPr>
            <w:tcW w:w="1088" w:type="dxa"/>
            <w:tcBorders>
              <w:top w:val="nil"/>
              <w:left w:val="nil"/>
              <w:bottom w:val="nil"/>
              <w:right w:val="nil"/>
            </w:tcBorders>
          </w:tcPr>
          <w:p w14:paraId="129BF9F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14</w:t>
            </w:r>
          </w:p>
        </w:tc>
        <w:tc>
          <w:tcPr>
            <w:tcW w:w="1418" w:type="dxa"/>
            <w:tcBorders>
              <w:top w:val="nil"/>
              <w:left w:val="nil"/>
              <w:bottom w:val="nil"/>
              <w:right w:val="nil"/>
            </w:tcBorders>
          </w:tcPr>
          <w:p w14:paraId="04D2062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25</w:t>
            </w:r>
          </w:p>
        </w:tc>
        <w:tc>
          <w:tcPr>
            <w:tcW w:w="1843" w:type="dxa"/>
            <w:tcBorders>
              <w:top w:val="nil"/>
              <w:left w:val="nil"/>
              <w:bottom w:val="nil"/>
              <w:right w:val="nil"/>
            </w:tcBorders>
          </w:tcPr>
          <w:p w14:paraId="0843A6B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48.00</w:t>
            </w:r>
          </w:p>
        </w:tc>
        <w:tc>
          <w:tcPr>
            <w:tcW w:w="1842" w:type="dxa"/>
            <w:tcBorders>
              <w:top w:val="nil"/>
              <w:left w:val="nil"/>
              <w:bottom w:val="nil"/>
              <w:right w:val="nil"/>
            </w:tcBorders>
          </w:tcPr>
          <w:p w14:paraId="265FA76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44.00</w:t>
            </w:r>
          </w:p>
        </w:tc>
      </w:tr>
      <w:tr w:rsidR="003801E8" w14:paraId="78572270" w14:textId="77777777">
        <w:tc>
          <w:tcPr>
            <w:tcW w:w="1290" w:type="dxa"/>
            <w:tcBorders>
              <w:top w:val="nil"/>
              <w:left w:val="nil"/>
              <w:bottom w:val="nil"/>
              <w:right w:val="nil"/>
            </w:tcBorders>
          </w:tcPr>
          <w:p w14:paraId="22B20561"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228514E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14</w:t>
            </w:r>
          </w:p>
        </w:tc>
        <w:tc>
          <w:tcPr>
            <w:tcW w:w="1088" w:type="dxa"/>
            <w:tcBorders>
              <w:top w:val="nil"/>
              <w:left w:val="nil"/>
              <w:bottom w:val="nil"/>
              <w:right w:val="nil"/>
            </w:tcBorders>
          </w:tcPr>
          <w:p w14:paraId="667FEAB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13</w:t>
            </w:r>
          </w:p>
        </w:tc>
        <w:tc>
          <w:tcPr>
            <w:tcW w:w="1418" w:type="dxa"/>
            <w:tcBorders>
              <w:top w:val="nil"/>
              <w:left w:val="nil"/>
              <w:bottom w:val="nil"/>
              <w:right w:val="nil"/>
            </w:tcBorders>
          </w:tcPr>
          <w:p w14:paraId="545D220F"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26</w:t>
            </w:r>
          </w:p>
        </w:tc>
        <w:tc>
          <w:tcPr>
            <w:tcW w:w="1843" w:type="dxa"/>
            <w:tcBorders>
              <w:top w:val="nil"/>
              <w:left w:val="nil"/>
              <w:bottom w:val="nil"/>
              <w:right w:val="nil"/>
            </w:tcBorders>
          </w:tcPr>
          <w:p w14:paraId="13F08BA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46.15</w:t>
            </w:r>
          </w:p>
        </w:tc>
        <w:tc>
          <w:tcPr>
            <w:tcW w:w="1842" w:type="dxa"/>
            <w:tcBorders>
              <w:top w:val="nil"/>
              <w:left w:val="nil"/>
              <w:bottom w:val="nil"/>
              <w:right w:val="nil"/>
            </w:tcBorders>
          </w:tcPr>
          <w:p w14:paraId="0E29E587"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50.00</w:t>
            </w:r>
          </w:p>
        </w:tc>
      </w:tr>
      <w:tr w:rsidR="003801E8" w14:paraId="515FD343" w14:textId="77777777">
        <w:tc>
          <w:tcPr>
            <w:tcW w:w="1290" w:type="dxa"/>
            <w:tcBorders>
              <w:top w:val="nil"/>
              <w:left w:val="nil"/>
              <w:bottom w:val="nil"/>
              <w:right w:val="nil"/>
            </w:tcBorders>
          </w:tcPr>
          <w:p w14:paraId="41D11DF2"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0E769F1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11</w:t>
            </w:r>
          </w:p>
        </w:tc>
        <w:tc>
          <w:tcPr>
            <w:tcW w:w="1088" w:type="dxa"/>
            <w:tcBorders>
              <w:top w:val="nil"/>
              <w:left w:val="nil"/>
              <w:bottom w:val="nil"/>
              <w:right w:val="nil"/>
            </w:tcBorders>
          </w:tcPr>
          <w:p w14:paraId="77C2D8F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14</w:t>
            </w:r>
          </w:p>
        </w:tc>
        <w:tc>
          <w:tcPr>
            <w:tcW w:w="1418" w:type="dxa"/>
            <w:tcBorders>
              <w:top w:val="nil"/>
              <w:left w:val="nil"/>
              <w:bottom w:val="nil"/>
              <w:right w:val="nil"/>
            </w:tcBorders>
          </w:tcPr>
          <w:p w14:paraId="090AC69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w:t>
            </w:r>
          </w:p>
        </w:tc>
        <w:tc>
          <w:tcPr>
            <w:tcW w:w="1843" w:type="dxa"/>
            <w:tcBorders>
              <w:top w:val="nil"/>
              <w:left w:val="nil"/>
              <w:bottom w:val="nil"/>
              <w:right w:val="nil"/>
            </w:tcBorders>
          </w:tcPr>
          <w:p w14:paraId="7D7050C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60.71</w:t>
            </w:r>
          </w:p>
        </w:tc>
        <w:tc>
          <w:tcPr>
            <w:tcW w:w="1842" w:type="dxa"/>
            <w:tcBorders>
              <w:top w:val="nil"/>
              <w:left w:val="nil"/>
              <w:bottom w:val="nil"/>
              <w:right w:val="nil"/>
            </w:tcBorders>
          </w:tcPr>
          <w:p w14:paraId="58D7297F"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50.00</w:t>
            </w:r>
          </w:p>
        </w:tc>
      </w:tr>
      <w:tr w:rsidR="003801E8" w14:paraId="323D6D4E" w14:textId="77777777">
        <w:tc>
          <w:tcPr>
            <w:tcW w:w="1290" w:type="dxa"/>
            <w:tcBorders>
              <w:top w:val="nil"/>
              <w:left w:val="nil"/>
              <w:bottom w:val="nil"/>
              <w:right w:val="nil"/>
            </w:tcBorders>
          </w:tcPr>
          <w:p w14:paraId="6438A148"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6B902F3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12</w:t>
            </w:r>
          </w:p>
        </w:tc>
        <w:tc>
          <w:tcPr>
            <w:tcW w:w="1088" w:type="dxa"/>
            <w:tcBorders>
              <w:top w:val="nil"/>
              <w:left w:val="nil"/>
              <w:bottom w:val="nil"/>
              <w:right w:val="nil"/>
            </w:tcBorders>
          </w:tcPr>
          <w:p w14:paraId="1570CFB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11</w:t>
            </w:r>
          </w:p>
        </w:tc>
        <w:tc>
          <w:tcPr>
            <w:tcW w:w="1418" w:type="dxa"/>
            <w:tcBorders>
              <w:top w:val="nil"/>
              <w:left w:val="nil"/>
              <w:bottom w:val="nil"/>
              <w:right w:val="nil"/>
            </w:tcBorders>
          </w:tcPr>
          <w:p w14:paraId="23DE4F5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28</w:t>
            </w:r>
          </w:p>
        </w:tc>
        <w:tc>
          <w:tcPr>
            <w:tcW w:w="1843" w:type="dxa"/>
            <w:tcBorders>
              <w:top w:val="nil"/>
              <w:left w:val="nil"/>
              <w:bottom w:val="nil"/>
              <w:right w:val="nil"/>
            </w:tcBorders>
          </w:tcPr>
          <w:p w14:paraId="22959F1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57.14</w:t>
            </w:r>
          </w:p>
        </w:tc>
        <w:tc>
          <w:tcPr>
            <w:tcW w:w="1842" w:type="dxa"/>
            <w:tcBorders>
              <w:top w:val="nil"/>
              <w:left w:val="nil"/>
              <w:bottom w:val="nil"/>
              <w:right w:val="nil"/>
            </w:tcBorders>
          </w:tcPr>
          <w:p w14:paraId="6105AFF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60.71</w:t>
            </w:r>
          </w:p>
        </w:tc>
      </w:tr>
      <w:tr w:rsidR="003801E8" w14:paraId="556D8BBF" w14:textId="77777777">
        <w:tc>
          <w:tcPr>
            <w:tcW w:w="1290" w:type="dxa"/>
            <w:tcBorders>
              <w:top w:val="nil"/>
              <w:left w:val="nil"/>
              <w:bottom w:val="nil"/>
              <w:right w:val="nil"/>
            </w:tcBorders>
          </w:tcPr>
          <w:p w14:paraId="79970E7E"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b/>
                <w:bCs/>
                <w:sz w:val="18"/>
                <w:szCs w:val="18"/>
                <w:lang w:val="en-US"/>
              </w:rPr>
              <w:t>Prosjek</w:t>
            </w:r>
          </w:p>
        </w:tc>
        <w:tc>
          <w:tcPr>
            <w:tcW w:w="1019" w:type="dxa"/>
            <w:tcBorders>
              <w:top w:val="nil"/>
              <w:left w:val="nil"/>
              <w:bottom w:val="nil"/>
              <w:right w:val="nil"/>
            </w:tcBorders>
          </w:tcPr>
          <w:p w14:paraId="3313EAB7"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12.91</w:t>
            </w:r>
          </w:p>
        </w:tc>
        <w:tc>
          <w:tcPr>
            <w:tcW w:w="1088" w:type="dxa"/>
            <w:tcBorders>
              <w:top w:val="nil"/>
              <w:left w:val="nil"/>
              <w:bottom w:val="nil"/>
              <w:right w:val="nil"/>
            </w:tcBorders>
          </w:tcPr>
          <w:p w14:paraId="1E203A89"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13.33</w:t>
            </w:r>
          </w:p>
        </w:tc>
        <w:tc>
          <w:tcPr>
            <w:tcW w:w="1418" w:type="dxa"/>
            <w:tcBorders>
              <w:top w:val="nil"/>
              <w:left w:val="nil"/>
              <w:bottom w:val="nil"/>
              <w:right w:val="nil"/>
            </w:tcBorders>
          </w:tcPr>
          <w:p w14:paraId="55725B42"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26.25</w:t>
            </w:r>
          </w:p>
        </w:tc>
        <w:tc>
          <w:tcPr>
            <w:tcW w:w="1843" w:type="dxa"/>
            <w:tcBorders>
              <w:top w:val="nil"/>
              <w:left w:val="nil"/>
              <w:bottom w:val="nil"/>
              <w:right w:val="nil"/>
            </w:tcBorders>
          </w:tcPr>
          <w:p w14:paraId="1F23C360"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50.50</w:t>
            </w:r>
          </w:p>
        </w:tc>
        <w:tc>
          <w:tcPr>
            <w:tcW w:w="1842" w:type="dxa"/>
            <w:tcBorders>
              <w:top w:val="nil"/>
              <w:left w:val="nil"/>
              <w:bottom w:val="nil"/>
              <w:right w:val="nil"/>
            </w:tcBorders>
          </w:tcPr>
          <w:p w14:paraId="3A0B0FE5"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48.87</w:t>
            </w:r>
          </w:p>
        </w:tc>
      </w:tr>
      <w:tr w:rsidR="003801E8" w14:paraId="63DD5D3D" w14:textId="77777777">
        <w:tc>
          <w:tcPr>
            <w:tcW w:w="1290" w:type="dxa"/>
            <w:tcBorders>
              <w:top w:val="nil"/>
              <w:left w:val="nil"/>
              <w:bottom w:val="single" w:sz="4" w:space="0" w:color="000000" w:themeColor="text1"/>
              <w:right w:val="nil"/>
            </w:tcBorders>
          </w:tcPr>
          <w:p w14:paraId="66970A22"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BT</w:t>
            </w:r>
          </w:p>
        </w:tc>
        <w:tc>
          <w:tcPr>
            <w:tcW w:w="1019" w:type="dxa"/>
            <w:tcBorders>
              <w:top w:val="nil"/>
              <w:left w:val="nil"/>
              <w:bottom w:val="single" w:sz="4" w:space="0" w:color="000000" w:themeColor="text1"/>
              <w:right w:val="nil"/>
            </w:tcBorders>
          </w:tcPr>
          <w:p w14:paraId="4B6C9BD5"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i/>
                <w:iCs/>
                <w:sz w:val="18"/>
                <w:szCs w:val="18"/>
                <w:lang w:val="en-US"/>
              </w:rPr>
              <w:t>3.98333E-15</w:t>
            </w:r>
          </w:p>
        </w:tc>
        <w:tc>
          <w:tcPr>
            <w:tcW w:w="1088" w:type="dxa"/>
            <w:tcBorders>
              <w:top w:val="nil"/>
              <w:left w:val="nil"/>
              <w:bottom w:val="single" w:sz="4" w:space="0" w:color="000000" w:themeColor="text1"/>
              <w:right w:val="nil"/>
            </w:tcBorders>
          </w:tcPr>
          <w:p w14:paraId="20A32049"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i/>
                <w:iCs/>
                <w:sz w:val="18"/>
                <w:szCs w:val="18"/>
                <w:lang w:val="en-US"/>
              </w:rPr>
              <w:t>7.13386E-14</w:t>
            </w:r>
          </w:p>
        </w:tc>
        <w:tc>
          <w:tcPr>
            <w:tcW w:w="5103" w:type="dxa"/>
            <w:gridSpan w:val="3"/>
            <w:tcBorders>
              <w:top w:val="nil"/>
              <w:left w:val="nil"/>
              <w:bottom w:val="single" w:sz="4" w:space="0" w:color="000000" w:themeColor="text1"/>
              <w:right w:val="nil"/>
            </w:tcBorders>
          </w:tcPr>
          <w:p w14:paraId="2D1A4532" w14:textId="77777777" w:rsidR="003801E8" w:rsidRDefault="003801E8">
            <w:pPr>
              <w:tabs>
                <w:tab w:val="left" w:pos="3315"/>
              </w:tabs>
              <w:spacing w:after="0" w:line="360" w:lineRule="auto"/>
              <w:jc w:val="center"/>
              <w:rPr>
                <w:rFonts w:ascii="Book Antiqua" w:hAnsi="Book Antiqua" w:cs="Times New Roman"/>
                <w:b/>
                <w:bCs/>
                <w:sz w:val="18"/>
                <w:szCs w:val="18"/>
                <w:lang w:val="en-US"/>
              </w:rPr>
            </w:pPr>
          </w:p>
        </w:tc>
      </w:tr>
      <w:tr w:rsidR="003801E8" w14:paraId="70C1CAD2" w14:textId="77777777">
        <w:tc>
          <w:tcPr>
            <w:tcW w:w="8500" w:type="dxa"/>
            <w:gridSpan w:val="6"/>
            <w:tcBorders>
              <w:left w:val="nil"/>
              <w:right w:val="nil"/>
            </w:tcBorders>
          </w:tcPr>
          <w:p w14:paraId="3E4ED157"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i/>
                <w:iCs/>
                <w:sz w:val="18"/>
                <w:szCs w:val="18"/>
                <w:lang w:val="en-US"/>
              </w:rPr>
              <w:t xml:space="preserve">Biscogniauxia mediterraenea </w:t>
            </w:r>
            <w:r>
              <w:rPr>
                <w:rFonts w:ascii="Book Antiqua" w:hAnsi="Book Antiqua" w:cs="Times New Roman"/>
                <w:b/>
                <w:bCs/>
                <w:sz w:val="18"/>
                <w:szCs w:val="18"/>
                <w:lang w:val="en-US"/>
              </w:rPr>
              <w:t>MN001</w:t>
            </w:r>
          </w:p>
        </w:tc>
      </w:tr>
      <w:tr w:rsidR="003801E8" w14:paraId="2EF80E6F" w14:textId="77777777">
        <w:tc>
          <w:tcPr>
            <w:tcW w:w="1290" w:type="dxa"/>
            <w:tcBorders>
              <w:left w:val="nil"/>
              <w:right w:val="nil"/>
            </w:tcBorders>
          </w:tcPr>
          <w:p w14:paraId="558EE0C9" w14:textId="77777777" w:rsidR="003801E8" w:rsidRDefault="00E44AAE">
            <w:pPr>
              <w:tabs>
                <w:tab w:val="left" w:pos="3315"/>
              </w:tabs>
              <w:spacing w:after="0" w:line="360" w:lineRule="auto"/>
              <w:jc w:val="both"/>
              <w:rPr>
                <w:rFonts w:ascii="Book Antiqua" w:hAnsi="Book Antiqua" w:cs="Times New Roman"/>
                <w:b/>
                <w:bCs/>
                <w:sz w:val="18"/>
                <w:szCs w:val="18"/>
                <w:lang w:val="en-US"/>
              </w:rPr>
            </w:pPr>
            <w:r>
              <w:rPr>
                <w:rFonts w:ascii="Book Antiqua" w:hAnsi="Book Antiqua" w:cs="Times New Roman"/>
                <w:b/>
                <w:bCs/>
                <w:sz w:val="18"/>
                <w:szCs w:val="18"/>
                <w:lang w:val="sr-Latn-RS"/>
              </w:rPr>
              <w:t>Oznaka</w:t>
            </w:r>
          </w:p>
        </w:tc>
        <w:tc>
          <w:tcPr>
            <w:tcW w:w="1019" w:type="dxa"/>
            <w:tcBorders>
              <w:left w:val="nil"/>
              <w:right w:val="nil"/>
            </w:tcBorders>
          </w:tcPr>
          <w:p w14:paraId="65525AA8"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b/>
                <w:bCs/>
                <w:sz w:val="18"/>
                <w:szCs w:val="18"/>
                <w:lang w:val="sr-Latn-RS"/>
              </w:rPr>
              <w:t>BM x TC (mm)</w:t>
            </w:r>
          </w:p>
        </w:tc>
        <w:tc>
          <w:tcPr>
            <w:tcW w:w="1088" w:type="dxa"/>
            <w:tcBorders>
              <w:left w:val="nil"/>
              <w:right w:val="nil"/>
            </w:tcBorders>
          </w:tcPr>
          <w:p w14:paraId="236CBE7E" w14:textId="77777777" w:rsidR="003801E8" w:rsidRDefault="00E44AAE">
            <w:pPr>
              <w:tabs>
                <w:tab w:val="left" w:pos="3315"/>
              </w:tabs>
              <w:spacing w:after="0" w:line="360" w:lineRule="auto"/>
              <w:jc w:val="center"/>
              <w:rPr>
                <w:rFonts w:ascii="Book Antiqua" w:hAnsi="Book Antiqua" w:cs="Times New Roman"/>
                <w:i/>
                <w:iCs/>
                <w:sz w:val="18"/>
                <w:szCs w:val="18"/>
                <w:lang w:val="en-US"/>
              </w:rPr>
            </w:pPr>
            <w:r>
              <w:rPr>
                <w:rFonts w:ascii="Book Antiqua" w:hAnsi="Book Antiqua" w:cs="Times New Roman"/>
                <w:b/>
                <w:bCs/>
                <w:sz w:val="18"/>
                <w:szCs w:val="18"/>
                <w:lang w:val="sr-Latn-RS"/>
              </w:rPr>
              <w:t>BM x TA (mm)</w:t>
            </w:r>
          </w:p>
        </w:tc>
        <w:tc>
          <w:tcPr>
            <w:tcW w:w="1418" w:type="dxa"/>
            <w:tcBorders>
              <w:left w:val="nil"/>
              <w:right w:val="nil"/>
            </w:tcBorders>
          </w:tcPr>
          <w:p w14:paraId="1DD4AAFD"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sz w:val="18"/>
                <w:szCs w:val="18"/>
                <w:lang w:val="sr-Latn-RS"/>
              </w:rPr>
              <w:t>BM kontrola (mm)</w:t>
            </w:r>
          </w:p>
        </w:tc>
        <w:tc>
          <w:tcPr>
            <w:tcW w:w="1843" w:type="dxa"/>
            <w:tcBorders>
              <w:left w:val="nil"/>
              <w:right w:val="nil"/>
            </w:tcBorders>
          </w:tcPr>
          <w:p w14:paraId="02B05CC4"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sz w:val="18"/>
                <w:szCs w:val="18"/>
                <w:lang w:val="sr-Latn-RS"/>
              </w:rPr>
              <w:t>Inhibicija BM x TC      (%)</w:t>
            </w:r>
          </w:p>
        </w:tc>
        <w:tc>
          <w:tcPr>
            <w:tcW w:w="1842" w:type="dxa"/>
            <w:tcBorders>
              <w:left w:val="nil"/>
              <w:right w:val="nil"/>
            </w:tcBorders>
          </w:tcPr>
          <w:p w14:paraId="42E38F2A" w14:textId="77777777" w:rsidR="003801E8" w:rsidRDefault="00E44AAE">
            <w:pPr>
              <w:tabs>
                <w:tab w:val="left" w:pos="3315"/>
              </w:tabs>
              <w:spacing w:after="0" w:line="360" w:lineRule="auto"/>
              <w:jc w:val="center"/>
              <w:rPr>
                <w:rFonts w:ascii="Book Antiqua" w:hAnsi="Book Antiqua" w:cs="Times New Roman"/>
                <w:b/>
                <w:bCs/>
                <w:i/>
                <w:iCs/>
                <w:sz w:val="18"/>
                <w:szCs w:val="18"/>
                <w:lang w:val="en-US"/>
              </w:rPr>
            </w:pPr>
            <w:r>
              <w:rPr>
                <w:rFonts w:ascii="Book Antiqua" w:hAnsi="Book Antiqua" w:cs="Times New Roman"/>
                <w:b/>
                <w:bCs/>
                <w:sz w:val="18"/>
                <w:szCs w:val="18"/>
                <w:lang w:val="sr-Latn-RS"/>
              </w:rPr>
              <w:t>Inhibicija BM x TA (%)</w:t>
            </w:r>
          </w:p>
        </w:tc>
      </w:tr>
      <w:tr w:rsidR="003801E8" w14:paraId="1ED7022A" w14:textId="77777777">
        <w:tc>
          <w:tcPr>
            <w:tcW w:w="1290" w:type="dxa"/>
            <w:tcBorders>
              <w:left w:val="nil"/>
              <w:bottom w:val="nil"/>
              <w:right w:val="nil"/>
            </w:tcBorders>
          </w:tcPr>
          <w:p w14:paraId="7D4E9070" w14:textId="77777777" w:rsidR="003801E8" w:rsidRDefault="00E44AAE">
            <w:pPr>
              <w:tabs>
                <w:tab w:val="left" w:pos="3315"/>
              </w:tabs>
              <w:spacing w:after="0" w:line="360" w:lineRule="auto"/>
              <w:jc w:val="both"/>
              <w:rPr>
                <w:rFonts w:ascii="Book Antiqua" w:hAnsi="Book Antiqua" w:cs="Times New Roman"/>
                <w:b/>
                <w:bCs/>
                <w:sz w:val="18"/>
                <w:szCs w:val="18"/>
                <w:lang w:val="en-US"/>
              </w:rPr>
            </w:pPr>
            <w:r>
              <w:rPr>
                <w:rFonts w:ascii="Book Antiqua" w:hAnsi="Book Antiqua" w:cs="Times New Roman"/>
                <w:sz w:val="18"/>
                <w:szCs w:val="18"/>
                <w:lang w:val="en-US"/>
              </w:rPr>
              <w:t>P1</w:t>
            </w:r>
          </w:p>
        </w:tc>
        <w:tc>
          <w:tcPr>
            <w:tcW w:w="1019" w:type="dxa"/>
            <w:tcBorders>
              <w:left w:val="nil"/>
              <w:bottom w:val="nil"/>
              <w:right w:val="nil"/>
            </w:tcBorders>
          </w:tcPr>
          <w:p w14:paraId="4A0809E7"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24</w:t>
            </w:r>
          </w:p>
        </w:tc>
        <w:tc>
          <w:tcPr>
            <w:tcW w:w="1088" w:type="dxa"/>
            <w:tcBorders>
              <w:left w:val="nil"/>
              <w:bottom w:val="nil"/>
              <w:right w:val="nil"/>
            </w:tcBorders>
          </w:tcPr>
          <w:p w14:paraId="3170CE7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23</w:t>
            </w:r>
          </w:p>
        </w:tc>
        <w:tc>
          <w:tcPr>
            <w:tcW w:w="1418" w:type="dxa"/>
            <w:tcBorders>
              <w:left w:val="nil"/>
              <w:bottom w:val="nil"/>
              <w:right w:val="nil"/>
            </w:tcBorders>
          </w:tcPr>
          <w:p w14:paraId="4FAC91A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90</w:t>
            </w:r>
          </w:p>
        </w:tc>
        <w:tc>
          <w:tcPr>
            <w:tcW w:w="1843" w:type="dxa"/>
            <w:tcBorders>
              <w:left w:val="nil"/>
              <w:bottom w:val="nil"/>
              <w:right w:val="nil"/>
            </w:tcBorders>
          </w:tcPr>
          <w:p w14:paraId="2A5B996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73.33</w:t>
            </w:r>
          </w:p>
        </w:tc>
        <w:tc>
          <w:tcPr>
            <w:tcW w:w="1842" w:type="dxa"/>
            <w:tcBorders>
              <w:left w:val="nil"/>
              <w:bottom w:val="nil"/>
              <w:right w:val="nil"/>
            </w:tcBorders>
          </w:tcPr>
          <w:p w14:paraId="17186B3F"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74.44</w:t>
            </w:r>
          </w:p>
        </w:tc>
      </w:tr>
      <w:tr w:rsidR="003801E8" w14:paraId="1E225844" w14:textId="77777777">
        <w:tc>
          <w:tcPr>
            <w:tcW w:w="1290" w:type="dxa"/>
            <w:tcBorders>
              <w:top w:val="nil"/>
              <w:left w:val="nil"/>
              <w:bottom w:val="nil"/>
              <w:right w:val="nil"/>
            </w:tcBorders>
          </w:tcPr>
          <w:p w14:paraId="397ADA87" w14:textId="77777777" w:rsidR="003801E8" w:rsidRDefault="00E44AAE">
            <w:pPr>
              <w:tabs>
                <w:tab w:val="left" w:pos="3315"/>
              </w:tabs>
              <w:spacing w:after="0" w:line="360" w:lineRule="auto"/>
              <w:jc w:val="both"/>
              <w:rPr>
                <w:rFonts w:ascii="Book Antiqua" w:hAnsi="Book Antiqua" w:cs="Times New Roman"/>
                <w:b/>
                <w:bCs/>
                <w:sz w:val="18"/>
                <w:szCs w:val="18"/>
                <w:lang w:val="en-US"/>
              </w:rPr>
            </w:pPr>
            <w:r>
              <w:rPr>
                <w:rFonts w:ascii="Book Antiqua" w:hAnsi="Book Antiqua" w:cs="Times New Roman"/>
                <w:sz w:val="18"/>
                <w:szCs w:val="18"/>
                <w:lang w:val="en-US"/>
              </w:rPr>
              <w:t>P1</w:t>
            </w:r>
          </w:p>
        </w:tc>
        <w:tc>
          <w:tcPr>
            <w:tcW w:w="1019" w:type="dxa"/>
            <w:tcBorders>
              <w:top w:val="nil"/>
              <w:left w:val="nil"/>
              <w:bottom w:val="nil"/>
              <w:right w:val="nil"/>
            </w:tcBorders>
          </w:tcPr>
          <w:p w14:paraId="391E3BA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24</w:t>
            </w:r>
          </w:p>
        </w:tc>
        <w:tc>
          <w:tcPr>
            <w:tcW w:w="1088" w:type="dxa"/>
            <w:tcBorders>
              <w:top w:val="nil"/>
              <w:left w:val="nil"/>
              <w:bottom w:val="nil"/>
              <w:right w:val="nil"/>
            </w:tcBorders>
          </w:tcPr>
          <w:p w14:paraId="57E2F12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21</w:t>
            </w:r>
          </w:p>
        </w:tc>
        <w:tc>
          <w:tcPr>
            <w:tcW w:w="1418" w:type="dxa"/>
            <w:tcBorders>
              <w:top w:val="nil"/>
              <w:left w:val="nil"/>
              <w:bottom w:val="nil"/>
              <w:right w:val="nil"/>
            </w:tcBorders>
          </w:tcPr>
          <w:p w14:paraId="384B02B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90</w:t>
            </w:r>
          </w:p>
        </w:tc>
        <w:tc>
          <w:tcPr>
            <w:tcW w:w="1843" w:type="dxa"/>
            <w:tcBorders>
              <w:top w:val="nil"/>
              <w:left w:val="nil"/>
              <w:bottom w:val="nil"/>
              <w:right w:val="nil"/>
            </w:tcBorders>
          </w:tcPr>
          <w:p w14:paraId="30B42F9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73.33</w:t>
            </w:r>
          </w:p>
        </w:tc>
        <w:tc>
          <w:tcPr>
            <w:tcW w:w="1842" w:type="dxa"/>
            <w:tcBorders>
              <w:top w:val="nil"/>
              <w:left w:val="nil"/>
              <w:bottom w:val="nil"/>
              <w:right w:val="nil"/>
            </w:tcBorders>
          </w:tcPr>
          <w:p w14:paraId="0B92E9D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76.67</w:t>
            </w:r>
          </w:p>
        </w:tc>
      </w:tr>
      <w:tr w:rsidR="003801E8" w14:paraId="3BFE2CB3" w14:textId="77777777">
        <w:tc>
          <w:tcPr>
            <w:tcW w:w="1290" w:type="dxa"/>
            <w:tcBorders>
              <w:top w:val="nil"/>
              <w:left w:val="nil"/>
              <w:bottom w:val="nil"/>
              <w:right w:val="nil"/>
            </w:tcBorders>
          </w:tcPr>
          <w:p w14:paraId="26A0FD26" w14:textId="77777777" w:rsidR="003801E8" w:rsidRDefault="00E44AAE">
            <w:pPr>
              <w:tabs>
                <w:tab w:val="left" w:pos="3315"/>
              </w:tabs>
              <w:spacing w:after="0" w:line="360" w:lineRule="auto"/>
              <w:jc w:val="both"/>
              <w:rPr>
                <w:rFonts w:ascii="Book Antiqua" w:hAnsi="Book Antiqua" w:cs="Times New Roman"/>
                <w:b/>
                <w:bCs/>
                <w:sz w:val="18"/>
                <w:szCs w:val="18"/>
                <w:lang w:val="en-US"/>
              </w:rPr>
            </w:pPr>
            <w:r>
              <w:rPr>
                <w:rFonts w:ascii="Book Antiqua" w:hAnsi="Book Antiqua" w:cs="Times New Roman"/>
                <w:sz w:val="18"/>
                <w:szCs w:val="18"/>
                <w:lang w:val="en-US"/>
              </w:rPr>
              <w:lastRenderedPageBreak/>
              <w:t>P1</w:t>
            </w:r>
          </w:p>
        </w:tc>
        <w:tc>
          <w:tcPr>
            <w:tcW w:w="1019" w:type="dxa"/>
            <w:tcBorders>
              <w:top w:val="nil"/>
              <w:left w:val="nil"/>
              <w:bottom w:val="nil"/>
              <w:right w:val="nil"/>
            </w:tcBorders>
          </w:tcPr>
          <w:p w14:paraId="091C697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21</w:t>
            </w:r>
          </w:p>
        </w:tc>
        <w:tc>
          <w:tcPr>
            <w:tcW w:w="1088" w:type="dxa"/>
            <w:tcBorders>
              <w:top w:val="nil"/>
              <w:left w:val="nil"/>
              <w:bottom w:val="nil"/>
              <w:right w:val="nil"/>
            </w:tcBorders>
          </w:tcPr>
          <w:p w14:paraId="220762E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19</w:t>
            </w:r>
          </w:p>
        </w:tc>
        <w:tc>
          <w:tcPr>
            <w:tcW w:w="1418" w:type="dxa"/>
            <w:tcBorders>
              <w:top w:val="nil"/>
              <w:left w:val="nil"/>
              <w:bottom w:val="nil"/>
              <w:right w:val="nil"/>
            </w:tcBorders>
          </w:tcPr>
          <w:p w14:paraId="106951B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90</w:t>
            </w:r>
          </w:p>
        </w:tc>
        <w:tc>
          <w:tcPr>
            <w:tcW w:w="1843" w:type="dxa"/>
            <w:tcBorders>
              <w:top w:val="nil"/>
              <w:left w:val="nil"/>
              <w:bottom w:val="nil"/>
              <w:right w:val="nil"/>
            </w:tcBorders>
          </w:tcPr>
          <w:p w14:paraId="3370BC9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76.67</w:t>
            </w:r>
          </w:p>
        </w:tc>
        <w:tc>
          <w:tcPr>
            <w:tcW w:w="1842" w:type="dxa"/>
            <w:tcBorders>
              <w:top w:val="nil"/>
              <w:left w:val="nil"/>
              <w:bottom w:val="nil"/>
              <w:right w:val="nil"/>
            </w:tcBorders>
          </w:tcPr>
          <w:p w14:paraId="0700926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78.89</w:t>
            </w:r>
          </w:p>
        </w:tc>
      </w:tr>
      <w:tr w:rsidR="003801E8" w14:paraId="0FB43F13" w14:textId="77777777">
        <w:tc>
          <w:tcPr>
            <w:tcW w:w="1290" w:type="dxa"/>
            <w:tcBorders>
              <w:top w:val="nil"/>
              <w:left w:val="nil"/>
              <w:bottom w:val="nil"/>
              <w:right w:val="nil"/>
            </w:tcBorders>
          </w:tcPr>
          <w:p w14:paraId="2105A559" w14:textId="77777777" w:rsidR="003801E8" w:rsidRDefault="00E44AAE">
            <w:pPr>
              <w:tabs>
                <w:tab w:val="left" w:pos="3315"/>
              </w:tabs>
              <w:spacing w:after="0" w:line="360" w:lineRule="auto"/>
              <w:jc w:val="both"/>
              <w:rPr>
                <w:rFonts w:ascii="Book Antiqua" w:hAnsi="Book Antiqua" w:cs="Times New Roman"/>
                <w:b/>
                <w:bCs/>
                <w:sz w:val="18"/>
                <w:szCs w:val="18"/>
                <w:lang w:val="en-US"/>
              </w:rPr>
            </w:pPr>
            <w:r>
              <w:rPr>
                <w:rFonts w:ascii="Book Antiqua" w:hAnsi="Book Antiqua" w:cs="Times New Roman"/>
                <w:sz w:val="18"/>
                <w:szCs w:val="18"/>
                <w:lang w:val="en-US"/>
              </w:rPr>
              <w:t>P1</w:t>
            </w:r>
          </w:p>
        </w:tc>
        <w:tc>
          <w:tcPr>
            <w:tcW w:w="1019" w:type="dxa"/>
            <w:tcBorders>
              <w:top w:val="nil"/>
              <w:left w:val="nil"/>
              <w:bottom w:val="nil"/>
              <w:right w:val="nil"/>
            </w:tcBorders>
          </w:tcPr>
          <w:p w14:paraId="70A5046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21</w:t>
            </w:r>
          </w:p>
        </w:tc>
        <w:tc>
          <w:tcPr>
            <w:tcW w:w="1088" w:type="dxa"/>
            <w:tcBorders>
              <w:top w:val="nil"/>
              <w:left w:val="nil"/>
              <w:bottom w:val="nil"/>
              <w:right w:val="nil"/>
            </w:tcBorders>
          </w:tcPr>
          <w:p w14:paraId="05A6985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24</w:t>
            </w:r>
          </w:p>
        </w:tc>
        <w:tc>
          <w:tcPr>
            <w:tcW w:w="1418" w:type="dxa"/>
            <w:tcBorders>
              <w:top w:val="nil"/>
              <w:left w:val="nil"/>
              <w:bottom w:val="nil"/>
              <w:right w:val="nil"/>
            </w:tcBorders>
          </w:tcPr>
          <w:p w14:paraId="632E3E8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90</w:t>
            </w:r>
          </w:p>
        </w:tc>
        <w:tc>
          <w:tcPr>
            <w:tcW w:w="1843" w:type="dxa"/>
            <w:tcBorders>
              <w:top w:val="nil"/>
              <w:left w:val="nil"/>
              <w:bottom w:val="nil"/>
              <w:right w:val="nil"/>
            </w:tcBorders>
          </w:tcPr>
          <w:p w14:paraId="0022B35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76.67</w:t>
            </w:r>
          </w:p>
        </w:tc>
        <w:tc>
          <w:tcPr>
            <w:tcW w:w="1842" w:type="dxa"/>
            <w:tcBorders>
              <w:top w:val="nil"/>
              <w:left w:val="nil"/>
              <w:bottom w:val="nil"/>
              <w:right w:val="nil"/>
            </w:tcBorders>
          </w:tcPr>
          <w:p w14:paraId="4E46DDB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73.33</w:t>
            </w:r>
          </w:p>
        </w:tc>
      </w:tr>
      <w:tr w:rsidR="003801E8" w14:paraId="6FF5EA24" w14:textId="77777777">
        <w:tc>
          <w:tcPr>
            <w:tcW w:w="1290" w:type="dxa"/>
            <w:tcBorders>
              <w:top w:val="nil"/>
              <w:left w:val="nil"/>
              <w:bottom w:val="nil"/>
              <w:right w:val="nil"/>
            </w:tcBorders>
          </w:tcPr>
          <w:p w14:paraId="10E4875C"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2A298487"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22</w:t>
            </w:r>
          </w:p>
        </w:tc>
        <w:tc>
          <w:tcPr>
            <w:tcW w:w="1088" w:type="dxa"/>
            <w:tcBorders>
              <w:top w:val="nil"/>
              <w:left w:val="nil"/>
              <w:bottom w:val="nil"/>
              <w:right w:val="nil"/>
            </w:tcBorders>
          </w:tcPr>
          <w:p w14:paraId="15CDFA0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19</w:t>
            </w:r>
          </w:p>
        </w:tc>
        <w:tc>
          <w:tcPr>
            <w:tcW w:w="1418" w:type="dxa"/>
            <w:tcBorders>
              <w:top w:val="nil"/>
              <w:left w:val="nil"/>
              <w:bottom w:val="nil"/>
              <w:right w:val="nil"/>
            </w:tcBorders>
          </w:tcPr>
          <w:p w14:paraId="19FE716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90</w:t>
            </w:r>
          </w:p>
        </w:tc>
        <w:tc>
          <w:tcPr>
            <w:tcW w:w="1843" w:type="dxa"/>
            <w:tcBorders>
              <w:top w:val="nil"/>
              <w:left w:val="nil"/>
              <w:bottom w:val="nil"/>
              <w:right w:val="nil"/>
            </w:tcBorders>
          </w:tcPr>
          <w:p w14:paraId="515079F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75.56</w:t>
            </w:r>
          </w:p>
        </w:tc>
        <w:tc>
          <w:tcPr>
            <w:tcW w:w="1842" w:type="dxa"/>
            <w:tcBorders>
              <w:top w:val="nil"/>
              <w:left w:val="nil"/>
              <w:bottom w:val="nil"/>
              <w:right w:val="nil"/>
            </w:tcBorders>
          </w:tcPr>
          <w:p w14:paraId="1763EFDF"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78.89</w:t>
            </w:r>
          </w:p>
        </w:tc>
      </w:tr>
      <w:tr w:rsidR="003801E8" w14:paraId="76225D31" w14:textId="77777777">
        <w:tc>
          <w:tcPr>
            <w:tcW w:w="1290" w:type="dxa"/>
            <w:tcBorders>
              <w:top w:val="nil"/>
              <w:left w:val="nil"/>
              <w:bottom w:val="nil"/>
              <w:right w:val="nil"/>
            </w:tcBorders>
          </w:tcPr>
          <w:p w14:paraId="482466C1"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3786E7B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22</w:t>
            </w:r>
          </w:p>
        </w:tc>
        <w:tc>
          <w:tcPr>
            <w:tcW w:w="1088" w:type="dxa"/>
            <w:tcBorders>
              <w:top w:val="nil"/>
              <w:left w:val="nil"/>
              <w:bottom w:val="nil"/>
              <w:right w:val="nil"/>
            </w:tcBorders>
          </w:tcPr>
          <w:p w14:paraId="4D74E72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18</w:t>
            </w:r>
          </w:p>
        </w:tc>
        <w:tc>
          <w:tcPr>
            <w:tcW w:w="1418" w:type="dxa"/>
            <w:tcBorders>
              <w:top w:val="nil"/>
              <w:left w:val="nil"/>
              <w:bottom w:val="nil"/>
              <w:right w:val="nil"/>
            </w:tcBorders>
          </w:tcPr>
          <w:p w14:paraId="18D54E97"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90</w:t>
            </w:r>
          </w:p>
        </w:tc>
        <w:tc>
          <w:tcPr>
            <w:tcW w:w="1843" w:type="dxa"/>
            <w:tcBorders>
              <w:top w:val="nil"/>
              <w:left w:val="nil"/>
              <w:bottom w:val="nil"/>
              <w:right w:val="nil"/>
            </w:tcBorders>
          </w:tcPr>
          <w:p w14:paraId="4A34B4E5"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75.56</w:t>
            </w:r>
          </w:p>
        </w:tc>
        <w:tc>
          <w:tcPr>
            <w:tcW w:w="1842" w:type="dxa"/>
            <w:tcBorders>
              <w:top w:val="nil"/>
              <w:left w:val="nil"/>
              <w:bottom w:val="nil"/>
              <w:right w:val="nil"/>
            </w:tcBorders>
          </w:tcPr>
          <w:p w14:paraId="630C9E5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80.00</w:t>
            </w:r>
          </w:p>
        </w:tc>
      </w:tr>
      <w:tr w:rsidR="003801E8" w14:paraId="241B4403" w14:textId="77777777">
        <w:tc>
          <w:tcPr>
            <w:tcW w:w="1290" w:type="dxa"/>
            <w:tcBorders>
              <w:top w:val="nil"/>
              <w:left w:val="nil"/>
              <w:bottom w:val="nil"/>
              <w:right w:val="nil"/>
            </w:tcBorders>
          </w:tcPr>
          <w:p w14:paraId="1F5E23DA"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7992303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23</w:t>
            </w:r>
          </w:p>
        </w:tc>
        <w:tc>
          <w:tcPr>
            <w:tcW w:w="1088" w:type="dxa"/>
            <w:tcBorders>
              <w:top w:val="nil"/>
              <w:left w:val="nil"/>
              <w:bottom w:val="nil"/>
              <w:right w:val="nil"/>
            </w:tcBorders>
          </w:tcPr>
          <w:p w14:paraId="784FCB5F"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21</w:t>
            </w:r>
          </w:p>
        </w:tc>
        <w:tc>
          <w:tcPr>
            <w:tcW w:w="1418" w:type="dxa"/>
            <w:tcBorders>
              <w:top w:val="nil"/>
              <w:left w:val="nil"/>
              <w:bottom w:val="nil"/>
              <w:right w:val="nil"/>
            </w:tcBorders>
          </w:tcPr>
          <w:p w14:paraId="2839FA38"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90</w:t>
            </w:r>
          </w:p>
        </w:tc>
        <w:tc>
          <w:tcPr>
            <w:tcW w:w="1843" w:type="dxa"/>
            <w:tcBorders>
              <w:top w:val="nil"/>
              <w:left w:val="nil"/>
              <w:bottom w:val="nil"/>
              <w:right w:val="nil"/>
            </w:tcBorders>
          </w:tcPr>
          <w:p w14:paraId="5340EFD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74.44</w:t>
            </w:r>
          </w:p>
        </w:tc>
        <w:tc>
          <w:tcPr>
            <w:tcW w:w="1842" w:type="dxa"/>
            <w:tcBorders>
              <w:top w:val="nil"/>
              <w:left w:val="nil"/>
              <w:bottom w:val="nil"/>
              <w:right w:val="nil"/>
            </w:tcBorders>
          </w:tcPr>
          <w:p w14:paraId="7D3CE49D"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76.67</w:t>
            </w:r>
          </w:p>
        </w:tc>
      </w:tr>
      <w:tr w:rsidR="003801E8" w14:paraId="3AEFD667" w14:textId="77777777">
        <w:tc>
          <w:tcPr>
            <w:tcW w:w="1290" w:type="dxa"/>
            <w:tcBorders>
              <w:top w:val="nil"/>
              <w:left w:val="nil"/>
              <w:bottom w:val="nil"/>
              <w:right w:val="nil"/>
            </w:tcBorders>
          </w:tcPr>
          <w:p w14:paraId="450CECFF"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P2</w:t>
            </w:r>
          </w:p>
        </w:tc>
        <w:tc>
          <w:tcPr>
            <w:tcW w:w="1019" w:type="dxa"/>
            <w:tcBorders>
              <w:top w:val="nil"/>
              <w:left w:val="nil"/>
              <w:bottom w:val="nil"/>
              <w:right w:val="nil"/>
            </w:tcBorders>
          </w:tcPr>
          <w:p w14:paraId="1BECDE8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24</w:t>
            </w:r>
          </w:p>
        </w:tc>
        <w:tc>
          <w:tcPr>
            <w:tcW w:w="1088" w:type="dxa"/>
            <w:tcBorders>
              <w:top w:val="nil"/>
              <w:left w:val="nil"/>
              <w:bottom w:val="nil"/>
              <w:right w:val="nil"/>
            </w:tcBorders>
          </w:tcPr>
          <w:p w14:paraId="6921F6D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22</w:t>
            </w:r>
          </w:p>
        </w:tc>
        <w:tc>
          <w:tcPr>
            <w:tcW w:w="1418" w:type="dxa"/>
            <w:tcBorders>
              <w:top w:val="nil"/>
              <w:left w:val="nil"/>
              <w:bottom w:val="nil"/>
              <w:right w:val="nil"/>
            </w:tcBorders>
          </w:tcPr>
          <w:p w14:paraId="5706DA5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90</w:t>
            </w:r>
          </w:p>
        </w:tc>
        <w:tc>
          <w:tcPr>
            <w:tcW w:w="1843" w:type="dxa"/>
            <w:tcBorders>
              <w:top w:val="nil"/>
              <w:left w:val="nil"/>
              <w:bottom w:val="nil"/>
              <w:right w:val="nil"/>
            </w:tcBorders>
          </w:tcPr>
          <w:p w14:paraId="3CF20ADA"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73.33</w:t>
            </w:r>
          </w:p>
        </w:tc>
        <w:tc>
          <w:tcPr>
            <w:tcW w:w="1842" w:type="dxa"/>
            <w:tcBorders>
              <w:top w:val="nil"/>
              <w:left w:val="nil"/>
              <w:bottom w:val="nil"/>
              <w:right w:val="nil"/>
            </w:tcBorders>
          </w:tcPr>
          <w:p w14:paraId="2C97143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75.56</w:t>
            </w:r>
          </w:p>
        </w:tc>
      </w:tr>
      <w:tr w:rsidR="003801E8" w14:paraId="481B5992" w14:textId="77777777">
        <w:tc>
          <w:tcPr>
            <w:tcW w:w="1290" w:type="dxa"/>
            <w:tcBorders>
              <w:top w:val="nil"/>
              <w:left w:val="nil"/>
              <w:bottom w:val="nil"/>
              <w:right w:val="nil"/>
            </w:tcBorders>
          </w:tcPr>
          <w:p w14:paraId="1E010563"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283863E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24</w:t>
            </w:r>
          </w:p>
        </w:tc>
        <w:tc>
          <w:tcPr>
            <w:tcW w:w="1088" w:type="dxa"/>
            <w:tcBorders>
              <w:top w:val="nil"/>
              <w:left w:val="nil"/>
              <w:bottom w:val="nil"/>
              <w:right w:val="nil"/>
            </w:tcBorders>
          </w:tcPr>
          <w:p w14:paraId="165CA26E"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18</w:t>
            </w:r>
          </w:p>
        </w:tc>
        <w:tc>
          <w:tcPr>
            <w:tcW w:w="1418" w:type="dxa"/>
            <w:tcBorders>
              <w:top w:val="nil"/>
              <w:left w:val="nil"/>
              <w:bottom w:val="nil"/>
              <w:right w:val="nil"/>
            </w:tcBorders>
          </w:tcPr>
          <w:p w14:paraId="7AD01AD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90</w:t>
            </w:r>
          </w:p>
        </w:tc>
        <w:tc>
          <w:tcPr>
            <w:tcW w:w="1843" w:type="dxa"/>
            <w:tcBorders>
              <w:top w:val="nil"/>
              <w:left w:val="nil"/>
              <w:bottom w:val="nil"/>
              <w:right w:val="nil"/>
            </w:tcBorders>
          </w:tcPr>
          <w:p w14:paraId="1CA1C15C"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73.33</w:t>
            </w:r>
          </w:p>
        </w:tc>
        <w:tc>
          <w:tcPr>
            <w:tcW w:w="1842" w:type="dxa"/>
            <w:tcBorders>
              <w:top w:val="nil"/>
              <w:left w:val="nil"/>
              <w:bottom w:val="nil"/>
              <w:right w:val="nil"/>
            </w:tcBorders>
          </w:tcPr>
          <w:p w14:paraId="04839C9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80.00</w:t>
            </w:r>
          </w:p>
        </w:tc>
      </w:tr>
      <w:tr w:rsidR="003801E8" w14:paraId="733BC293" w14:textId="77777777">
        <w:tc>
          <w:tcPr>
            <w:tcW w:w="1290" w:type="dxa"/>
            <w:tcBorders>
              <w:top w:val="nil"/>
              <w:left w:val="nil"/>
              <w:bottom w:val="nil"/>
              <w:right w:val="nil"/>
            </w:tcBorders>
          </w:tcPr>
          <w:p w14:paraId="5C481486"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54483464"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21</w:t>
            </w:r>
          </w:p>
        </w:tc>
        <w:tc>
          <w:tcPr>
            <w:tcW w:w="1088" w:type="dxa"/>
            <w:tcBorders>
              <w:top w:val="nil"/>
              <w:left w:val="nil"/>
              <w:bottom w:val="nil"/>
              <w:right w:val="nil"/>
            </w:tcBorders>
          </w:tcPr>
          <w:p w14:paraId="710EC6C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24</w:t>
            </w:r>
          </w:p>
        </w:tc>
        <w:tc>
          <w:tcPr>
            <w:tcW w:w="1418" w:type="dxa"/>
            <w:tcBorders>
              <w:top w:val="nil"/>
              <w:left w:val="nil"/>
              <w:bottom w:val="nil"/>
              <w:right w:val="nil"/>
            </w:tcBorders>
          </w:tcPr>
          <w:p w14:paraId="5EEBBF9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90</w:t>
            </w:r>
          </w:p>
        </w:tc>
        <w:tc>
          <w:tcPr>
            <w:tcW w:w="1843" w:type="dxa"/>
            <w:tcBorders>
              <w:top w:val="nil"/>
              <w:left w:val="nil"/>
              <w:bottom w:val="nil"/>
              <w:right w:val="nil"/>
            </w:tcBorders>
          </w:tcPr>
          <w:p w14:paraId="1520F56B"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76.67</w:t>
            </w:r>
          </w:p>
        </w:tc>
        <w:tc>
          <w:tcPr>
            <w:tcW w:w="1842" w:type="dxa"/>
            <w:tcBorders>
              <w:top w:val="nil"/>
              <w:left w:val="nil"/>
              <w:bottom w:val="nil"/>
              <w:right w:val="nil"/>
            </w:tcBorders>
          </w:tcPr>
          <w:p w14:paraId="2C73D83F"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73.33</w:t>
            </w:r>
          </w:p>
        </w:tc>
      </w:tr>
      <w:tr w:rsidR="003801E8" w14:paraId="44AE3D43" w14:textId="77777777">
        <w:tc>
          <w:tcPr>
            <w:tcW w:w="1290" w:type="dxa"/>
            <w:tcBorders>
              <w:top w:val="nil"/>
              <w:left w:val="nil"/>
              <w:bottom w:val="nil"/>
              <w:right w:val="nil"/>
            </w:tcBorders>
          </w:tcPr>
          <w:p w14:paraId="56A46B80"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7CBCEF2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20</w:t>
            </w:r>
          </w:p>
        </w:tc>
        <w:tc>
          <w:tcPr>
            <w:tcW w:w="1088" w:type="dxa"/>
            <w:tcBorders>
              <w:top w:val="nil"/>
              <w:left w:val="nil"/>
              <w:bottom w:val="nil"/>
              <w:right w:val="nil"/>
            </w:tcBorders>
          </w:tcPr>
          <w:p w14:paraId="772EB8D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19</w:t>
            </w:r>
          </w:p>
        </w:tc>
        <w:tc>
          <w:tcPr>
            <w:tcW w:w="1418" w:type="dxa"/>
            <w:tcBorders>
              <w:top w:val="nil"/>
              <w:left w:val="nil"/>
              <w:bottom w:val="nil"/>
              <w:right w:val="nil"/>
            </w:tcBorders>
          </w:tcPr>
          <w:p w14:paraId="56756FF6"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90</w:t>
            </w:r>
          </w:p>
        </w:tc>
        <w:tc>
          <w:tcPr>
            <w:tcW w:w="1843" w:type="dxa"/>
            <w:tcBorders>
              <w:top w:val="nil"/>
              <w:left w:val="nil"/>
              <w:bottom w:val="nil"/>
              <w:right w:val="nil"/>
            </w:tcBorders>
          </w:tcPr>
          <w:p w14:paraId="72550D33"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77.78</w:t>
            </w:r>
          </w:p>
        </w:tc>
        <w:tc>
          <w:tcPr>
            <w:tcW w:w="1842" w:type="dxa"/>
            <w:tcBorders>
              <w:top w:val="nil"/>
              <w:left w:val="nil"/>
              <w:bottom w:val="nil"/>
              <w:right w:val="nil"/>
            </w:tcBorders>
          </w:tcPr>
          <w:p w14:paraId="43E85FC1"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78.89</w:t>
            </w:r>
          </w:p>
        </w:tc>
      </w:tr>
      <w:tr w:rsidR="003801E8" w14:paraId="1F1F3CFE" w14:textId="77777777">
        <w:tc>
          <w:tcPr>
            <w:tcW w:w="1290" w:type="dxa"/>
            <w:tcBorders>
              <w:top w:val="nil"/>
              <w:left w:val="nil"/>
              <w:bottom w:val="nil"/>
              <w:right w:val="nil"/>
            </w:tcBorders>
          </w:tcPr>
          <w:p w14:paraId="6B711E7C" w14:textId="77777777" w:rsidR="003801E8" w:rsidRDefault="00E44AAE">
            <w:pPr>
              <w:tabs>
                <w:tab w:val="left" w:pos="3315"/>
              </w:tabs>
              <w:spacing w:after="0" w:line="360" w:lineRule="auto"/>
              <w:jc w:val="both"/>
              <w:rPr>
                <w:rFonts w:ascii="Book Antiqua" w:hAnsi="Book Antiqua" w:cs="Times New Roman"/>
                <w:sz w:val="18"/>
                <w:szCs w:val="18"/>
                <w:lang w:val="en-US"/>
              </w:rPr>
            </w:pPr>
            <w:r>
              <w:rPr>
                <w:rFonts w:ascii="Book Antiqua" w:hAnsi="Book Antiqua" w:cs="Times New Roman"/>
                <w:sz w:val="18"/>
                <w:szCs w:val="18"/>
                <w:lang w:val="en-US"/>
              </w:rPr>
              <w:t>P3</w:t>
            </w:r>
          </w:p>
        </w:tc>
        <w:tc>
          <w:tcPr>
            <w:tcW w:w="1019" w:type="dxa"/>
            <w:tcBorders>
              <w:top w:val="nil"/>
              <w:left w:val="nil"/>
              <w:bottom w:val="nil"/>
              <w:right w:val="nil"/>
            </w:tcBorders>
          </w:tcPr>
          <w:p w14:paraId="6DAB718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21</w:t>
            </w:r>
          </w:p>
        </w:tc>
        <w:tc>
          <w:tcPr>
            <w:tcW w:w="1088" w:type="dxa"/>
            <w:tcBorders>
              <w:top w:val="nil"/>
              <w:left w:val="nil"/>
              <w:bottom w:val="nil"/>
              <w:right w:val="nil"/>
            </w:tcBorders>
          </w:tcPr>
          <w:p w14:paraId="652E68CF"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21</w:t>
            </w:r>
          </w:p>
        </w:tc>
        <w:tc>
          <w:tcPr>
            <w:tcW w:w="1418" w:type="dxa"/>
            <w:tcBorders>
              <w:top w:val="nil"/>
              <w:left w:val="nil"/>
              <w:bottom w:val="nil"/>
              <w:right w:val="nil"/>
            </w:tcBorders>
          </w:tcPr>
          <w:p w14:paraId="4077AC49"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90</w:t>
            </w:r>
          </w:p>
        </w:tc>
        <w:tc>
          <w:tcPr>
            <w:tcW w:w="1843" w:type="dxa"/>
            <w:tcBorders>
              <w:top w:val="nil"/>
              <w:left w:val="nil"/>
              <w:bottom w:val="nil"/>
              <w:right w:val="nil"/>
            </w:tcBorders>
          </w:tcPr>
          <w:p w14:paraId="4A193340"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76.67</w:t>
            </w:r>
          </w:p>
        </w:tc>
        <w:tc>
          <w:tcPr>
            <w:tcW w:w="1842" w:type="dxa"/>
            <w:tcBorders>
              <w:top w:val="nil"/>
              <w:left w:val="nil"/>
              <w:bottom w:val="nil"/>
              <w:right w:val="nil"/>
            </w:tcBorders>
          </w:tcPr>
          <w:p w14:paraId="43D00A12" w14:textId="77777777" w:rsidR="003801E8" w:rsidRDefault="00E44AAE">
            <w:pPr>
              <w:tabs>
                <w:tab w:val="left" w:pos="3315"/>
              </w:tabs>
              <w:spacing w:after="0" w:line="360" w:lineRule="auto"/>
              <w:jc w:val="center"/>
              <w:rPr>
                <w:rFonts w:ascii="Book Antiqua" w:hAnsi="Book Antiqua" w:cs="Times New Roman"/>
                <w:sz w:val="18"/>
                <w:szCs w:val="18"/>
                <w:lang w:val="en-US"/>
              </w:rPr>
            </w:pPr>
            <w:r>
              <w:rPr>
                <w:rFonts w:ascii="Book Antiqua" w:hAnsi="Book Antiqua" w:cs="Times New Roman"/>
                <w:sz w:val="18"/>
                <w:szCs w:val="18"/>
                <w:lang w:val="en-US"/>
              </w:rPr>
              <w:t>76.67</w:t>
            </w:r>
          </w:p>
        </w:tc>
      </w:tr>
      <w:tr w:rsidR="003801E8" w14:paraId="6D3FA25E" w14:textId="77777777">
        <w:tc>
          <w:tcPr>
            <w:tcW w:w="1290" w:type="dxa"/>
            <w:tcBorders>
              <w:top w:val="nil"/>
              <w:left w:val="nil"/>
              <w:bottom w:val="nil"/>
              <w:right w:val="nil"/>
            </w:tcBorders>
          </w:tcPr>
          <w:p w14:paraId="0C7397B2" w14:textId="77777777" w:rsidR="003801E8" w:rsidRDefault="00E44AAE">
            <w:pPr>
              <w:tabs>
                <w:tab w:val="left" w:pos="3315"/>
              </w:tabs>
              <w:spacing w:after="0" w:line="360" w:lineRule="auto"/>
              <w:jc w:val="both"/>
              <w:rPr>
                <w:rFonts w:ascii="Book Antiqua" w:hAnsi="Book Antiqua" w:cs="Times New Roman"/>
                <w:b/>
                <w:bCs/>
                <w:sz w:val="18"/>
                <w:szCs w:val="18"/>
                <w:lang w:val="en-US"/>
              </w:rPr>
            </w:pPr>
            <w:r>
              <w:rPr>
                <w:rFonts w:ascii="Book Antiqua" w:hAnsi="Book Antiqua" w:cs="Times New Roman"/>
                <w:b/>
                <w:bCs/>
                <w:sz w:val="18"/>
                <w:szCs w:val="18"/>
                <w:lang w:val="en-US"/>
              </w:rPr>
              <w:t>Prosjek</w:t>
            </w:r>
          </w:p>
        </w:tc>
        <w:tc>
          <w:tcPr>
            <w:tcW w:w="1019" w:type="dxa"/>
            <w:tcBorders>
              <w:top w:val="nil"/>
              <w:left w:val="nil"/>
              <w:bottom w:val="nil"/>
              <w:right w:val="nil"/>
            </w:tcBorders>
          </w:tcPr>
          <w:p w14:paraId="498F3CB7"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22.25</w:t>
            </w:r>
          </w:p>
        </w:tc>
        <w:tc>
          <w:tcPr>
            <w:tcW w:w="1088" w:type="dxa"/>
            <w:tcBorders>
              <w:top w:val="nil"/>
              <w:left w:val="nil"/>
              <w:bottom w:val="nil"/>
              <w:right w:val="nil"/>
            </w:tcBorders>
          </w:tcPr>
          <w:p w14:paraId="17190309"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20.75</w:t>
            </w:r>
          </w:p>
        </w:tc>
        <w:tc>
          <w:tcPr>
            <w:tcW w:w="1418" w:type="dxa"/>
            <w:tcBorders>
              <w:top w:val="nil"/>
              <w:left w:val="nil"/>
              <w:bottom w:val="nil"/>
              <w:right w:val="nil"/>
            </w:tcBorders>
          </w:tcPr>
          <w:p w14:paraId="35963FD8"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90</w:t>
            </w:r>
          </w:p>
        </w:tc>
        <w:tc>
          <w:tcPr>
            <w:tcW w:w="1843" w:type="dxa"/>
            <w:tcBorders>
              <w:top w:val="nil"/>
              <w:left w:val="nil"/>
              <w:bottom w:val="nil"/>
              <w:right w:val="nil"/>
            </w:tcBorders>
          </w:tcPr>
          <w:p w14:paraId="601C178F"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75.28</w:t>
            </w:r>
          </w:p>
        </w:tc>
        <w:tc>
          <w:tcPr>
            <w:tcW w:w="1842" w:type="dxa"/>
            <w:tcBorders>
              <w:top w:val="nil"/>
              <w:left w:val="nil"/>
              <w:bottom w:val="nil"/>
              <w:right w:val="nil"/>
            </w:tcBorders>
          </w:tcPr>
          <w:p w14:paraId="30C0BDD7" w14:textId="77777777" w:rsidR="003801E8" w:rsidRDefault="00E44AAE">
            <w:pPr>
              <w:tabs>
                <w:tab w:val="left" w:pos="3315"/>
              </w:tabs>
              <w:spacing w:after="0" w:line="360" w:lineRule="auto"/>
              <w:jc w:val="center"/>
              <w:rPr>
                <w:rFonts w:ascii="Book Antiqua" w:hAnsi="Book Antiqua" w:cs="Times New Roman"/>
                <w:b/>
                <w:bCs/>
                <w:sz w:val="18"/>
                <w:szCs w:val="18"/>
                <w:lang w:val="en-US"/>
              </w:rPr>
            </w:pPr>
            <w:r>
              <w:rPr>
                <w:rFonts w:ascii="Book Antiqua" w:hAnsi="Book Antiqua" w:cs="Times New Roman"/>
                <w:b/>
                <w:bCs/>
                <w:sz w:val="18"/>
                <w:szCs w:val="18"/>
                <w:lang w:val="en-US"/>
              </w:rPr>
              <w:t>76.94</w:t>
            </w:r>
          </w:p>
        </w:tc>
      </w:tr>
      <w:tr w:rsidR="003801E8" w14:paraId="14B4A637" w14:textId="77777777">
        <w:tc>
          <w:tcPr>
            <w:tcW w:w="1290" w:type="dxa"/>
            <w:tcBorders>
              <w:top w:val="nil"/>
              <w:left w:val="nil"/>
              <w:right w:val="nil"/>
            </w:tcBorders>
          </w:tcPr>
          <w:p w14:paraId="3D44D201" w14:textId="77777777" w:rsidR="003801E8" w:rsidRDefault="00E44AAE">
            <w:pPr>
              <w:tabs>
                <w:tab w:val="left" w:pos="3315"/>
              </w:tabs>
              <w:spacing w:after="0" w:line="360" w:lineRule="auto"/>
              <w:jc w:val="both"/>
              <w:rPr>
                <w:rFonts w:ascii="Book Antiqua" w:hAnsi="Book Antiqua" w:cs="Times New Roman"/>
                <w:b/>
                <w:bCs/>
                <w:sz w:val="18"/>
                <w:szCs w:val="18"/>
                <w:lang w:val="en-US"/>
              </w:rPr>
            </w:pPr>
            <w:r>
              <w:rPr>
                <w:rFonts w:ascii="Book Antiqua" w:hAnsi="Book Antiqua" w:cs="Times New Roman"/>
                <w:sz w:val="18"/>
                <w:szCs w:val="18"/>
                <w:lang w:val="en-US"/>
              </w:rPr>
              <w:t>BT</w:t>
            </w:r>
          </w:p>
        </w:tc>
        <w:tc>
          <w:tcPr>
            <w:tcW w:w="1019" w:type="dxa"/>
            <w:tcBorders>
              <w:top w:val="nil"/>
              <w:left w:val="nil"/>
              <w:right w:val="nil"/>
            </w:tcBorders>
          </w:tcPr>
          <w:p w14:paraId="143952E6" w14:textId="77777777" w:rsidR="003801E8" w:rsidRDefault="00E44AAE">
            <w:pPr>
              <w:spacing w:after="0" w:line="240" w:lineRule="auto"/>
              <w:rPr>
                <w:rFonts w:ascii="Book Antiqua" w:hAnsi="Book Antiqua" w:cs="Times New Roman"/>
                <w:i/>
                <w:iCs/>
                <w:sz w:val="18"/>
                <w:szCs w:val="18"/>
                <w:lang w:val="en-US"/>
              </w:rPr>
            </w:pPr>
            <w:r>
              <w:rPr>
                <w:rFonts w:ascii="Book Antiqua" w:hAnsi="Book Antiqua" w:cs="Calibri"/>
                <w:color w:val="000000"/>
                <w:sz w:val="18"/>
                <w:szCs w:val="18"/>
                <w:lang w:val="en-US"/>
              </w:rPr>
              <w:t>4.1108E-35</w:t>
            </w:r>
          </w:p>
        </w:tc>
        <w:tc>
          <w:tcPr>
            <w:tcW w:w="1088" w:type="dxa"/>
            <w:tcBorders>
              <w:top w:val="nil"/>
              <w:left w:val="nil"/>
              <w:right w:val="nil"/>
            </w:tcBorders>
          </w:tcPr>
          <w:p w14:paraId="762DEF8F" w14:textId="77777777" w:rsidR="003801E8" w:rsidRDefault="00E44AAE">
            <w:pPr>
              <w:tabs>
                <w:tab w:val="left" w:pos="3315"/>
              </w:tabs>
              <w:spacing w:after="0" w:line="360" w:lineRule="auto"/>
              <w:rPr>
                <w:rFonts w:ascii="Book Antiqua" w:hAnsi="Book Antiqua" w:cs="Times New Roman"/>
                <w:i/>
                <w:iCs/>
                <w:sz w:val="18"/>
                <w:szCs w:val="18"/>
                <w:lang w:val="en-US"/>
              </w:rPr>
            </w:pPr>
            <w:r>
              <w:rPr>
                <w:rFonts w:ascii="Book Antiqua" w:hAnsi="Book Antiqua" w:cs="Times New Roman"/>
                <w:i/>
                <w:iCs/>
                <w:sz w:val="18"/>
                <w:szCs w:val="18"/>
              </w:rPr>
              <w:t>1.16826E-31</w:t>
            </w:r>
          </w:p>
        </w:tc>
        <w:tc>
          <w:tcPr>
            <w:tcW w:w="5103" w:type="dxa"/>
            <w:gridSpan w:val="3"/>
            <w:tcBorders>
              <w:top w:val="nil"/>
              <w:left w:val="nil"/>
              <w:right w:val="nil"/>
            </w:tcBorders>
          </w:tcPr>
          <w:p w14:paraId="5B4C2F04" w14:textId="77777777" w:rsidR="003801E8" w:rsidRDefault="003801E8">
            <w:pPr>
              <w:tabs>
                <w:tab w:val="left" w:pos="3315"/>
              </w:tabs>
              <w:spacing w:after="0" w:line="360" w:lineRule="auto"/>
              <w:jc w:val="center"/>
              <w:rPr>
                <w:rFonts w:ascii="Book Antiqua" w:hAnsi="Book Antiqua" w:cs="Times New Roman"/>
                <w:b/>
                <w:bCs/>
                <w:i/>
                <w:iCs/>
                <w:sz w:val="18"/>
                <w:szCs w:val="18"/>
                <w:lang w:val="en-US"/>
              </w:rPr>
            </w:pPr>
          </w:p>
        </w:tc>
      </w:tr>
    </w:tbl>
    <w:p w14:paraId="715945D3" w14:textId="77777777" w:rsidR="003801E8" w:rsidRDefault="00E44AAE">
      <w:pPr>
        <w:tabs>
          <w:tab w:val="left" w:pos="3315"/>
        </w:tabs>
        <w:spacing w:line="240" w:lineRule="auto"/>
        <w:jc w:val="both"/>
        <w:rPr>
          <w:rFonts w:ascii="Book Antiqua" w:hAnsi="Book Antiqua" w:cs="Times New Roman"/>
          <w:sz w:val="16"/>
          <w:szCs w:val="16"/>
          <w:lang w:val="sr-Latn-RS"/>
        </w:rPr>
      </w:pPr>
      <w:r>
        <w:rPr>
          <w:rFonts w:ascii="Book Antiqua" w:hAnsi="Book Antiqua" w:cs="Times New Roman"/>
          <w:sz w:val="16"/>
          <w:szCs w:val="16"/>
          <w:lang w:val="sr-Latn-RS"/>
        </w:rPr>
        <w:t xml:space="preserve">NP – </w:t>
      </w:r>
      <w:r>
        <w:rPr>
          <w:rFonts w:ascii="Book Antiqua" w:hAnsi="Book Antiqua" w:cs="Times New Roman"/>
          <w:i/>
          <w:iCs/>
          <w:sz w:val="16"/>
          <w:szCs w:val="16"/>
          <w:lang w:val="sr-Latn-RS"/>
        </w:rPr>
        <w:t>N. parvum</w:t>
      </w:r>
      <w:r>
        <w:rPr>
          <w:rFonts w:ascii="Book Antiqua" w:hAnsi="Book Antiqua" w:cs="Times New Roman"/>
          <w:sz w:val="16"/>
          <w:szCs w:val="16"/>
          <w:lang w:val="sr-Latn-RS"/>
        </w:rPr>
        <w:t xml:space="preserve"> MN001; TC – </w:t>
      </w:r>
      <w:r>
        <w:rPr>
          <w:rFonts w:ascii="Book Antiqua" w:hAnsi="Book Antiqua" w:cs="Times New Roman"/>
          <w:i/>
          <w:iCs/>
          <w:sz w:val="16"/>
          <w:szCs w:val="16"/>
          <w:lang w:val="sr-Latn-RS"/>
        </w:rPr>
        <w:t>T. citrinoviride</w:t>
      </w:r>
      <w:r>
        <w:rPr>
          <w:rFonts w:ascii="Book Antiqua" w:hAnsi="Book Antiqua" w:cs="Times New Roman"/>
          <w:sz w:val="16"/>
          <w:szCs w:val="16"/>
          <w:lang w:val="sr-Latn-RS"/>
        </w:rPr>
        <w:t xml:space="preserve"> T-CG; TA – </w:t>
      </w:r>
      <w:r>
        <w:rPr>
          <w:rFonts w:ascii="Book Antiqua" w:hAnsi="Book Antiqua" w:cs="Times New Roman"/>
          <w:i/>
          <w:iCs/>
          <w:sz w:val="16"/>
          <w:szCs w:val="16"/>
          <w:lang w:val="sr-Latn-RS"/>
        </w:rPr>
        <w:t>T. atroviride</w:t>
      </w:r>
      <w:r>
        <w:rPr>
          <w:rFonts w:ascii="Book Antiqua" w:hAnsi="Book Antiqua" w:cs="Times New Roman"/>
          <w:sz w:val="16"/>
          <w:szCs w:val="16"/>
          <w:lang w:val="sr-Latn-RS"/>
        </w:rPr>
        <w:t xml:space="preserve"> SC1; BD- </w:t>
      </w:r>
      <w:r>
        <w:rPr>
          <w:rFonts w:ascii="Book Antiqua" w:hAnsi="Book Antiqua" w:cs="Times New Roman"/>
          <w:i/>
          <w:iCs/>
          <w:sz w:val="16"/>
          <w:szCs w:val="16"/>
          <w:lang w:val="sr-Latn-RS"/>
        </w:rPr>
        <w:t>B. dothidea</w:t>
      </w:r>
      <w:r>
        <w:rPr>
          <w:rFonts w:ascii="Book Antiqua" w:hAnsi="Book Antiqua" w:cs="Times New Roman"/>
          <w:sz w:val="16"/>
          <w:szCs w:val="16"/>
          <w:lang w:val="sr-Latn-RS"/>
        </w:rPr>
        <w:t xml:space="preserve"> MN001; DS – </w:t>
      </w:r>
      <w:r>
        <w:rPr>
          <w:rFonts w:ascii="Book Antiqua" w:hAnsi="Book Antiqua" w:cs="Times New Roman"/>
          <w:i/>
          <w:iCs/>
          <w:sz w:val="16"/>
          <w:szCs w:val="16"/>
          <w:lang w:val="sr-Latn-RS"/>
        </w:rPr>
        <w:t>D. seriata</w:t>
      </w:r>
      <w:r>
        <w:rPr>
          <w:rFonts w:ascii="Book Antiqua" w:hAnsi="Book Antiqua" w:cs="Times New Roman"/>
          <w:sz w:val="16"/>
          <w:szCs w:val="16"/>
          <w:lang w:val="sr-Latn-RS"/>
        </w:rPr>
        <w:t xml:space="preserve"> MN001; CL – </w:t>
      </w:r>
      <w:r>
        <w:rPr>
          <w:rFonts w:ascii="Book Antiqua" w:hAnsi="Book Antiqua" w:cs="Times New Roman"/>
          <w:i/>
          <w:iCs/>
          <w:sz w:val="16"/>
          <w:szCs w:val="16"/>
          <w:lang w:val="sr-Latn-RS"/>
        </w:rPr>
        <w:t>C. luteo olivacea</w:t>
      </w:r>
      <w:r>
        <w:rPr>
          <w:rFonts w:ascii="Book Antiqua" w:hAnsi="Book Antiqua" w:cs="Times New Roman"/>
          <w:sz w:val="16"/>
          <w:szCs w:val="16"/>
          <w:lang w:val="sr-Latn-RS"/>
        </w:rPr>
        <w:t xml:space="preserve"> MN001; BM – </w:t>
      </w:r>
      <w:r>
        <w:rPr>
          <w:rFonts w:ascii="Book Antiqua" w:hAnsi="Book Antiqua" w:cs="Times New Roman"/>
          <w:i/>
          <w:iCs/>
          <w:sz w:val="16"/>
          <w:szCs w:val="16"/>
          <w:lang w:val="sr-Latn-RS"/>
        </w:rPr>
        <w:t>B. mediterranea</w:t>
      </w:r>
      <w:r>
        <w:rPr>
          <w:rFonts w:ascii="Book Antiqua" w:hAnsi="Book Antiqua" w:cs="Times New Roman"/>
          <w:sz w:val="16"/>
          <w:szCs w:val="16"/>
          <w:lang w:val="sr-Latn-RS"/>
        </w:rPr>
        <w:t xml:space="preserve"> MN001; BT – Bonferoni test; P1 – Ponavljanje 1; P2 – Ponavljanje 2; P3 – Ponavljanje 3. </w:t>
      </w:r>
    </w:p>
    <w:p w14:paraId="08D89230" w14:textId="77777777" w:rsidR="003801E8" w:rsidRDefault="003801E8">
      <w:pPr>
        <w:tabs>
          <w:tab w:val="left" w:pos="3315"/>
        </w:tabs>
        <w:spacing w:line="360" w:lineRule="auto"/>
        <w:jc w:val="both"/>
        <w:rPr>
          <w:rFonts w:ascii="Book Antiqua" w:hAnsi="Book Antiqua" w:cs="Times New Roman"/>
          <w:sz w:val="24"/>
          <w:szCs w:val="24"/>
          <w:lang w:val="sr-Latn-RS"/>
        </w:rPr>
      </w:pPr>
    </w:p>
    <w:p w14:paraId="776CE984"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 xml:space="preserve">Analiza varijanse i Bonferonijeva metoda korekcije su pokazali statistički značajan antagonistički efekat gljiva iz roda </w:t>
      </w:r>
      <w:r>
        <w:rPr>
          <w:rFonts w:ascii="Book Antiqua" w:hAnsi="Book Antiqua" w:cs="Times New Roman"/>
          <w:i/>
          <w:iCs/>
          <w:sz w:val="24"/>
          <w:szCs w:val="24"/>
          <w:lang w:val="sr-Latn-RS"/>
        </w:rPr>
        <w:t>Trichoderma</w:t>
      </w:r>
      <w:r>
        <w:rPr>
          <w:rFonts w:ascii="Book Antiqua" w:hAnsi="Book Antiqua" w:cs="Times New Roman"/>
          <w:sz w:val="24"/>
          <w:szCs w:val="24"/>
          <w:lang w:val="sr-Latn-RS"/>
        </w:rPr>
        <w:t xml:space="preserve">, prema ispitivanim patogenima. Takođe, utvrđeno je da između antagonističkog efekta </w:t>
      </w:r>
      <w:r>
        <w:rPr>
          <w:rFonts w:ascii="Book Antiqua" w:hAnsi="Book Antiqua" w:cs="Times New Roman"/>
          <w:i/>
          <w:iCs/>
          <w:sz w:val="24"/>
          <w:szCs w:val="24"/>
          <w:lang w:val="sr-Latn-RS"/>
        </w:rPr>
        <w:t>T. atroviride</w:t>
      </w:r>
      <w:r>
        <w:rPr>
          <w:rFonts w:ascii="Book Antiqua" w:hAnsi="Book Antiqua" w:cs="Times New Roman"/>
          <w:sz w:val="24"/>
          <w:szCs w:val="24"/>
          <w:lang w:val="sr-Latn-RS"/>
        </w:rPr>
        <w:t xml:space="preserve"> SC1 i </w:t>
      </w:r>
      <w:r>
        <w:rPr>
          <w:rFonts w:ascii="Book Antiqua" w:hAnsi="Book Antiqua" w:cs="Times New Roman"/>
          <w:i/>
          <w:iCs/>
          <w:sz w:val="24"/>
          <w:szCs w:val="24"/>
          <w:lang w:val="sr-Latn-RS"/>
        </w:rPr>
        <w:t>T. citrinoviride</w:t>
      </w:r>
      <w:r>
        <w:rPr>
          <w:rFonts w:ascii="Book Antiqua" w:hAnsi="Book Antiqua" w:cs="Times New Roman"/>
          <w:sz w:val="24"/>
          <w:szCs w:val="24"/>
          <w:lang w:val="sr-Latn-RS"/>
        </w:rPr>
        <w:t xml:space="preserve"> T-CG nema statistički značajne razlike (</w:t>
      </w:r>
      <w:r>
        <w:rPr>
          <w:rFonts w:ascii="Book Antiqua" w:hAnsi="Book Antiqua" w:cs="Times New Roman"/>
          <w:i/>
          <w:iCs/>
          <w:sz w:val="24"/>
          <w:szCs w:val="24"/>
          <w:lang w:val="sr-Latn-RS"/>
        </w:rPr>
        <w:t>p</w:t>
      </w:r>
      <w:r>
        <w:rPr>
          <w:rFonts w:ascii="Book Antiqua" w:hAnsi="Book Antiqua" w:cs="Times New Roman"/>
          <w:sz w:val="24"/>
          <w:szCs w:val="24"/>
          <w:lang w:val="sr-Latn-RS"/>
        </w:rPr>
        <w:t xml:space="preserve">=0.06 – </w:t>
      </w:r>
      <w:r>
        <w:rPr>
          <w:rFonts w:ascii="Book Antiqua" w:hAnsi="Book Antiqua" w:cs="Times New Roman"/>
          <w:i/>
          <w:iCs/>
          <w:sz w:val="24"/>
          <w:szCs w:val="24"/>
          <w:lang w:val="sr-Latn-RS"/>
        </w:rPr>
        <w:t>B. mediterranea</w:t>
      </w:r>
      <w:r>
        <w:rPr>
          <w:rFonts w:ascii="Book Antiqua" w:hAnsi="Book Antiqua" w:cs="Times New Roman"/>
          <w:sz w:val="24"/>
          <w:szCs w:val="24"/>
          <w:lang w:val="sr-Latn-RS"/>
        </w:rPr>
        <w:t xml:space="preserve"> MN001; </w:t>
      </w:r>
      <w:r>
        <w:rPr>
          <w:rFonts w:ascii="Book Antiqua" w:hAnsi="Book Antiqua" w:cs="Times New Roman"/>
          <w:i/>
          <w:iCs/>
          <w:sz w:val="24"/>
          <w:szCs w:val="24"/>
          <w:lang w:val="sr-Latn-RS"/>
        </w:rPr>
        <w:t>p</w:t>
      </w:r>
      <w:r>
        <w:rPr>
          <w:rFonts w:ascii="Book Antiqua" w:hAnsi="Book Antiqua" w:cs="Times New Roman"/>
          <w:sz w:val="24"/>
          <w:szCs w:val="24"/>
          <w:lang w:val="sr-Latn-RS"/>
        </w:rPr>
        <w:t xml:space="preserve">=0.60 – </w:t>
      </w:r>
      <w:r>
        <w:rPr>
          <w:rFonts w:ascii="Book Antiqua" w:hAnsi="Book Antiqua" w:cs="Times New Roman"/>
          <w:i/>
          <w:iCs/>
          <w:sz w:val="24"/>
          <w:szCs w:val="24"/>
          <w:lang w:val="sr-Latn-RS"/>
        </w:rPr>
        <w:t>C. luteo olivacea</w:t>
      </w:r>
      <w:r>
        <w:rPr>
          <w:rFonts w:ascii="Book Antiqua" w:hAnsi="Book Antiqua" w:cs="Times New Roman"/>
          <w:sz w:val="24"/>
          <w:szCs w:val="24"/>
          <w:lang w:val="sr-Latn-RS"/>
        </w:rPr>
        <w:t xml:space="preserve"> MN001; </w:t>
      </w:r>
      <w:r>
        <w:rPr>
          <w:rFonts w:ascii="Book Antiqua" w:hAnsi="Book Antiqua" w:cs="Times New Roman"/>
          <w:i/>
          <w:iCs/>
          <w:sz w:val="24"/>
          <w:szCs w:val="24"/>
          <w:lang w:val="sr-Latn-RS"/>
        </w:rPr>
        <w:t>p</w:t>
      </w:r>
      <w:r>
        <w:rPr>
          <w:rFonts w:ascii="Book Antiqua" w:hAnsi="Book Antiqua" w:cs="Times New Roman"/>
          <w:sz w:val="24"/>
          <w:szCs w:val="24"/>
          <w:lang w:val="sr-Latn-RS"/>
        </w:rPr>
        <w:t xml:space="preserve">=0.02 – </w:t>
      </w:r>
      <w:r>
        <w:rPr>
          <w:rFonts w:ascii="Book Antiqua" w:hAnsi="Book Antiqua" w:cs="Times New Roman"/>
          <w:i/>
          <w:iCs/>
          <w:sz w:val="24"/>
          <w:szCs w:val="24"/>
          <w:lang w:val="sr-Latn-RS"/>
        </w:rPr>
        <w:t>D. seriata</w:t>
      </w:r>
      <w:r>
        <w:rPr>
          <w:rFonts w:ascii="Book Antiqua" w:hAnsi="Book Antiqua" w:cs="Times New Roman"/>
          <w:sz w:val="24"/>
          <w:szCs w:val="24"/>
          <w:lang w:val="sr-Latn-RS"/>
        </w:rPr>
        <w:t xml:space="preserve"> MN00; p=0.04 – </w:t>
      </w:r>
      <w:r>
        <w:rPr>
          <w:rFonts w:ascii="Book Antiqua" w:hAnsi="Book Antiqua" w:cs="Times New Roman"/>
          <w:i/>
          <w:iCs/>
          <w:sz w:val="24"/>
          <w:szCs w:val="24"/>
          <w:lang w:val="sr-Latn-RS"/>
        </w:rPr>
        <w:t>B. dothidea</w:t>
      </w:r>
      <w:r>
        <w:rPr>
          <w:rFonts w:ascii="Book Antiqua" w:hAnsi="Book Antiqua" w:cs="Times New Roman"/>
          <w:sz w:val="24"/>
          <w:szCs w:val="24"/>
          <w:lang w:val="sr-Latn-RS"/>
        </w:rPr>
        <w:t xml:space="preserve"> MN001; </w:t>
      </w:r>
      <w:r>
        <w:rPr>
          <w:rFonts w:ascii="Book Antiqua" w:hAnsi="Book Antiqua" w:cs="Times New Roman"/>
          <w:i/>
          <w:iCs/>
          <w:sz w:val="24"/>
          <w:szCs w:val="24"/>
          <w:lang w:val="sr-Latn-RS"/>
        </w:rPr>
        <w:t>p</w:t>
      </w:r>
      <w:r>
        <w:rPr>
          <w:rFonts w:ascii="Book Antiqua" w:hAnsi="Book Antiqua" w:cs="Times New Roman"/>
          <w:sz w:val="24"/>
          <w:szCs w:val="24"/>
          <w:lang w:val="sr-Latn-RS"/>
        </w:rPr>
        <w:t xml:space="preserve">=0.14 – </w:t>
      </w:r>
      <w:r>
        <w:rPr>
          <w:rFonts w:ascii="Book Antiqua" w:hAnsi="Book Antiqua" w:cs="Times New Roman"/>
          <w:i/>
          <w:iCs/>
          <w:sz w:val="24"/>
          <w:szCs w:val="24"/>
          <w:lang w:val="sr-Latn-RS"/>
        </w:rPr>
        <w:t>N. parvum</w:t>
      </w:r>
      <w:r>
        <w:rPr>
          <w:rFonts w:ascii="Book Antiqua" w:hAnsi="Book Antiqua" w:cs="Times New Roman"/>
          <w:sz w:val="24"/>
          <w:szCs w:val="24"/>
          <w:lang w:val="sr-Latn-RS"/>
        </w:rPr>
        <w:t xml:space="preserve"> MN001).</w:t>
      </w:r>
    </w:p>
    <w:p w14:paraId="284761FE" w14:textId="77777777" w:rsidR="003801E8" w:rsidRDefault="003801E8">
      <w:pPr>
        <w:tabs>
          <w:tab w:val="left" w:pos="3315"/>
        </w:tabs>
        <w:spacing w:line="360" w:lineRule="auto"/>
        <w:jc w:val="both"/>
        <w:rPr>
          <w:rFonts w:ascii="Book Antiqua" w:hAnsi="Book Antiqua" w:cs="Times New Roman"/>
          <w:sz w:val="24"/>
          <w:szCs w:val="24"/>
          <w:lang w:val="sr-Latn-RS"/>
        </w:rPr>
      </w:pPr>
    </w:p>
    <w:p w14:paraId="55871C9F" w14:textId="77777777" w:rsidR="003801E8" w:rsidRDefault="003801E8">
      <w:pPr>
        <w:tabs>
          <w:tab w:val="left" w:pos="3315"/>
        </w:tabs>
        <w:spacing w:line="360" w:lineRule="auto"/>
        <w:jc w:val="both"/>
        <w:rPr>
          <w:rFonts w:ascii="Book Antiqua" w:hAnsi="Book Antiqua" w:cs="Times New Roman"/>
          <w:sz w:val="24"/>
          <w:szCs w:val="24"/>
          <w:lang w:val="sr-Latn-RS"/>
        </w:rPr>
      </w:pPr>
    </w:p>
    <w:p w14:paraId="3B61E750" w14:textId="77777777" w:rsidR="003801E8" w:rsidRDefault="003801E8">
      <w:pPr>
        <w:tabs>
          <w:tab w:val="left" w:pos="3315"/>
        </w:tabs>
        <w:spacing w:line="360" w:lineRule="auto"/>
        <w:jc w:val="both"/>
        <w:rPr>
          <w:rFonts w:ascii="Book Antiqua" w:hAnsi="Book Antiqua" w:cs="Times New Roman"/>
          <w:sz w:val="24"/>
          <w:szCs w:val="24"/>
          <w:lang w:val="sr-Latn-RS"/>
        </w:rPr>
      </w:pPr>
    </w:p>
    <w:p w14:paraId="35F3C2F4" w14:textId="77777777" w:rsidR="003801E8" w:rsidRDefault="00E44AAE">
      <w:pPr>
        <w:tabs>
          <w:tab w:val="left" w:pos="3315"/>
        </w:tabs>
        <w:spacing w:line="240" w:lineRule="auto"/>
        <w:jc w:val="both"/>
        <w:rPr>
          <w:rFonts w:ascii="Book Antiqua" w:hAnsi="Book Antiqua" w:cs="Times New Roman"/>
          <w:sz w:val="24"/>
          <w:szCs w:val="24"/>
          <w:lang w:val="sr-Latn-RS"/>
        </w:rPr>
      </w:pPr>
      <w:r>
        <w:rPr>
          <w:rFonts w:ascii="Book Antiqua" w:hAnsi="Book Antiqua" w:cs="Times New Roman"/>
          <w:noProof/>
          <w:sz w:val="24"/>
          <w:szCs w:val="24"/>
          <w:lang w:val="en-US"/>
        </w:rPr>
        <w:lastRenderedPageBreak/>
        <w:drawing>
          <wp:inline distT="0" distB="0" distL="0" distR="0" wp14:anchorId="05540B49" wp14:editId="04419F67">
            <wp:extent cx="5400040" cy="2132965"/>
            <wp:effectExtent l="0" t="0" r="0" b="635"/>
            <wp:docPr id="16859625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962594" name="Picture 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2132965"/>
                    </a:xfrm>
                    <a:prstGeom prst="rect">
                      <a:avLst/>
                    </a:prstGeom>
                  </pic:spPr>
                </pic:pic>
              </a:graphicData>
            </a:graphic>
          </wp:inline>
        </w:drawing>
      </w:r>
    </w:p>
    <w:p w14:paraId="638ACAC7" w14:textId="77777777" w:rsidR="003801E8" w:rsidRDefault="00E44AAE">
      <w:pPr>
        <w:tabs>
          <w:tab w:val="left" w:pos="3315"/>
        </w:tabs>
        <w:spacing w:line="360" w:lineRule="auto"/>
        <w:jc w:val="both"/>
        <w:rPr>
          <w:rFonts w:ascii="Book Antiqua" w:hAnsi="Book Antiqua" w:cs="Times New Roman"/>
          <w:sz w:val="22"/>
          <w:szCs w:val="22"/>
          <w:lang w:val="sr-Latn-RS"/>
        </w:rPr>
      </w:pPr>
      <w:r>
        <w:rPr>
          <w:rFonts w:ascii="Book Antiqua" w:hAnsi="Book Antiqua" w:cs="Times New Roman"/>
          <w:b/>
          <w:bCs/>
          <w:sz w:val="22"/>
          <w:szCs w:val="22"/>
          <w:lang w:val="sr-Latn-RS"/>
        </w:rPr>
        <w:t>Slika 32</w:t>
      </w:r>
      <w:r>
        <w:rPr>
          <w:rFonts w:ascii="Book Antiqua" w:hAnsi="Book Antiqua" w:cs="Times New Roman"/>
          <w:sz w:val="22"/>
          <w:szCs w:val="22"/>
          <w:lang w:val="sr-Latn-RS"/>
        </w:rPr>
        <w:t xml:space="preserve">. A. </w:t>
      </w:r>
      <w:r>
        <w:rPr>
          <w:rFonts w:ascii="Book Antiqua" w:hAnsi="Book Antiqua" w:cs="Times New Roman"/>
          <w:i/>
          <w:iCs/>
          <w:sz w:val="22"/>
          <w:szCs w:val="22"/>
          <w:lang w:val="sr-Latn-RS"/>
        </w:rPr>
        <w:t>T. citrinoviride</w:t>
      </w:r>
      <w:r>
        <w:rPr>
          <w:rFonts w:ascii="Book Antiqua" w:hAnsi="Book Antiqua" w:cs="Times New Roman"/>
          <w:sz w:val="22"/>
          <w:szCs w:val="22"/>
          <w:lang w:val="sr-Latn-RS"/>
        </w:rPr>
        <w:t xml:space="preserve"> T-CG x </w:t>
      </w:r>
      <w:r>
        <w:rPr>
          <w:rFonts w:ascii="Book Antiqua" w:hAnsi="Book Antiqua" w:cs="Times New Roman"/>
          <w:i/>
          <w:iCs/>
          <w:sz w:val="22"/>
          <w:szCs w:val="22"/>
          <w:lang w:val="sr-Latn-RS"/>
        </w:rPr>
        <w:t xml:space="preserve">B. Dohidea </w:t>
      </w:r>
      <w:r>
        <w:rPr>
          <w:rFonts w:ascii="Book Antiqua" w:hAnsi="Book Antiqua" w:cs="Times New Roman"/>
          <w:sz w:val="22"/>
          <w:szCs w:val="22"/>
          <w:lang w:val="sr-Latn-RS"/>
        </w:rPr>
        <w:t xml:space="preserve">MN001; B. </w:t>
      </w:r>
      <w:r>
        <w:rPr>
          <w:rFonts w:ascii="Book Antiqua" w:hAnsi="Book Antiqua" w:cs="Times New Roman"/>
          <w:i/>
          <w:iCs/>
          <w:sz w:val="22"/>
          <w:szCs w:val="22"/>
          <w:lang w:val="sr-Latn-RS"/>
        </w:rPr>
        <w:t>T. atroviride</w:t>
      </w:r>
      <w:r>
        <w:rPr>
          <w:rFonts w:ascii="Book Antiqua" w:hAnsi="Book Antiqua" w:cs="Times New Roman"/>
          <w:sz w:val="22"/>
          <w:szCs w:val="22"/>
          <w:lang w:val="sr-Latn-RS"/>
        </w:rPr>
        <w:t xml:space="preserve"> SC1 x </w:t>
      </w:r>
      <w:r>
        <w:rPr>
          <w:rFonts w:ascii="Book Antiqua" w:hAnsi="Book Antiqua" w:cs="Times New Roman"/>
          <w:i/>
          <w:iCs/>
          <w:sz w:val="22"/>
          <w:szCs w:val="22"/>
          <w:lang w:val="sr-Latn-RS"/>
        </w:rPr>
        <w:t xml:space="preserve">B. Dothidea </w:t>
      </w:r>
      <w:r>
        <w:rPr>
          <w:rFonts w:ascii="Book Antiqua" w:hAnsi="Book Antiqua" w:cs="Times New Roman"/>
          <w:sz w:val="22"/>
          <w:szCs w:val="22"/>
          <w:lang w:val="sr-Latn-RS"/>
        </w:rPr>
        <w:t xml:space="preserve">MN001; C. </w:t>
      </w:r>
      <w:r>
        <w:rPr>
          <w:rFonts w:ascii="Book Antiqua" w:hAnsi="Book Antiqua" w:cs="Times New Roman"/>
          <w:i/>
          <w:iCs/>
          <w:sz w:val="22"/>
          <w:szCs w:val="22"/>
          <w:lang w:val="sr-Latn-RS"/>
        </w:rPr>
        <w:t>T. citrinoviride</w:t>
      </w:r>
      <w:r>
        <w:rPr>
          <w:rFonts w:ascii="Book Antiqua" w:hAnsi="Book Antiqua" w:cs="Times New Roman"/>
          <w:sz w:val="22"/>
          <w:szCs w:val="22"/>
          <w:lang w:val="sr-Latn-RS"/>
        </w:rPr>
        <w:t xml:space="preserve"> T-CG x </w:t>
      </w:r>
      <w:r>
        <w:rPr>
          <w:rFonts w:ascii="Book Antiqua" w:hAnsi="Book Antiqua" w:cs="Times New Roman"/>
          <w:i/>
          <w:iCs/>
          <w:sz w:val="22"/>
          <w:szCs w:val="22"/>
          <w:lang w:val="sr-Latn-RS"/>
        </w:rPr>
        <w:t xml:space="preserve">D. seriata </w:t>
      </w:r>
      <w:r>
        <w:rPr>
          <w:rFonts w:ascii="Book Antiqua" w:hAnsi="Book Antiqua" w:cs="Times New Roman"/>
          <w:sz w:val="22"/>
          <w:szCs w:val="22"/>
          <w:lang w:val="sr-Latn-RS"/>
        </w:rPr>
        <w:t xml:space="preserve">MN001; D. </w:t>
      </w:r>
      <w:r>
        <w:rPr>
          <w:rFonts w:ascii="Book Antiqua" w:hAnsi="Book Antiqua" w:cs="Times New Roman"/>
          <w:i/>
          <w:iCs/>
          <w:sz w:val="22"/>
          <w:szCs w:val="22"/>
          <w:lang w:val="sr-Latn-RS"/>
        </w:rPr>
        <w:t>T. atroviride</w:t>
      </w:r>
      <w:r>
        <w:rPr>
          <w:rFonts w:ascii="Book Antiqua" w:hAnsi="Book Antiqua" w:cs="Times New Roman"/>
          <w:sz w:val="22"/>
          <w:szCs w:val="22"/>
          <w:lang w:val="sr-Latn-RS"/>
        </w:rPr>
        <w:t xml:space="preserve"> SC1 x </w:t>
      </w:r>
      <w:r>
        <w:rPr>
          <w:rFonts w:ascii="Book Antiqua" w:hAnsi="Book Antiqua" w:cs="Times New Roman"/>
          <w:i/>
          <w:iCs/>
          <w:sz w:val="22"/>
          <w:szCs w:val="22"/>
          <w:lang w:val="sr-Latn-RS"/>
        </w:rPr>
        <w:t xml:space="preserve">D. seriata </w:t>
      </w:r>
      <w:r>
        <w:rPr>
          <w:rFonts w:ascii="Book Antiqua" w:hAnsi="Book Antiqua" w:cs="Times New Roman"/>
          <w:sz w:val="22"/>
          <w:szCs w:val="22"/>
          <w:lang w:val="sr-Latn-RS"/>
        </w:rPr>
        <w:t xml:space="preserve">MN001; E. </w:t>
      </w:r>
      <w:r>
        <w:rPr>
          <w:rFonts w:ascii="Book Antiqua" w:hAnsi="Book Antiqua" w:cs="Times New Roman"/>
          <w:i/>
          <w:iCs/>
          <w:sz w:val="22"/>
          <w:szCs w:val="22"/>
          <w:lang w:val="sr-Latn-RS"/>
        </w:rPr>
        <w:t>T. citrinoviride</w:t>
      </w:r>
      <w:r>
        <w:rPr>
          <w:rFonts w:ascii="Book Antiqua" w:hAnsi="Book Antiqua" w:cs="Times New Roman"/>
          <w:sz w:val="22"/>
          <w:szCs w:val="22"/>
          <w:lang w:val="sr-Latn-RS"/>
        </w:rPr>
        <w:t xml:space="preserve"> T-CG x </w:t>
      </w:r>
      <w:r>
        <w:rPr>
          <w:rFonts w:ascii="Book Antiqua" w:hAnsi="Book Antiqua" w:cs="Times New Roman"/>
          <w:i/>
          <w:iCs/>
          <w:sz w:val="22"/>
          <w:szCs w:val="22"/>
          <w:lang w:val="sr-Latn-RS"/>
        </w:rPr>
        <w:t xml:space="preserve">B. mediterranea </w:t>
      </w:r>
      <w:r>
        <w:rPr>
          <w:rFonts w:ascii="Book Antiqua" w:hAnsi="Book Antiqua" w:cs="Times New Roman"/>
          <w:sz w:val="22"/>
          <w:szCs w:val="22"/>
          <w:lang w:val="sr-Latn-RS"/>
        </w:rPr>
        <w:t xml:space="preserve">MN001; F. </w:t>
      </w:r>
      <w:r>
        <w:rPr>
          <w:rFonts w:ascii="Book Antiqua" w:hAnsi="Book Antiqua" w:cs="Times New Roman"/>
          <w:i/>
          <w:iCs/>
          <w:sz w:val="22"/>
          <w:szCs w:val="22"/>
          <w:lang w:val="sr-Latn-RS"/>
        </w:rPr>
        <w:t>T. atroviride</w:t>
      </w:r>
      <w:r>
        <w:rPr>
          <w:rFonts w:ascii="Book Antiqua" w:hAnsi="Book Antiqua" w:cs="Times New Roman"/>
          <w:sz w:val="22"/>
          <w:szCs w:val="22"/>
          <w:lang w:val="sr-Latn-RS"/>
        </w:rPr>
        <w:t xml:space="preserve"> SC1 x </w:t>
      </w:r>
      <w:r>
        <w:rPr>
          <w:rFonts w:ascii="Book Antiqua" w:hAnsi="Book Antiqua" w:cs="Times New Roman"/>
          <w:i/>
          <w:iCs/>
          <w:sz w:val="22"/>
          <w:szCs w:val="22"/>
          <w:lang w:val="sr-Latn-RS"/>
        </w:rPr>
        <w:t xml:space="preserve">B. mediterranea </w:t>
      </w:r>
      <w:r>
        <w:rPr>
          <w:rFonts w:ascii="Book Antiqua" w:hAnsi="Book Antiqua" w:cs="Times New Roman"/>
          <w:sz w:val="22"/>
          <w:szCs w:val="22"/>
          <w:lang w:val="sr-Latn-RS"/>
        </w:rPr>
        <w:t xml:space="preserve">MN001; G. </w:t>
      </w:r>
      <w:r>
        <w:rPr>
          <w:rFonts w:ascii="Book Antiqua" w:hAnsi="Book Antiqua" w:cs="Times New Roman"/>
          <w:i/>
          <w:iCs/>
          <w:sz w:val="22"/>
          <w:szCs w:val="22"/>
          <w:lang w:val="sr-Latn-RS"/>
        </w:rPr>
        <w:t>T. citrinoviride</w:t>
      </w:r>
      <w:r>
        <w:rPr>
          <w:rFonts w:ascii="Book Antiqua" w:hAnsi="Book Antiqua" w:cs="Times New Roman"/>
          <w:sz w:val="22"/>
          <w:szCs w:val="22"/>
          <w:lang w:val="sr-Latn-RS"/>
        </w:rPr>
        <w:t xml:space="preserve"> T-CG x </w:t>
      </w:r>
      <w:r>
        <w:rPr>
          <w:rFonts w:ascii="Book Antiqua" w:hAnsi="Book Antiqua" w:cs="Times New Roman"/>
          <w:i/>
          <w:iCs/>
          <w:sz w:val="22"/>
          <w:szCs w:val="22"/>
          <w:lang w:val="sr-Latn-RS"/>
        </w:rPr>
        <w:t xml:space="preserve">C. luteo olivacea </w:t>
      </w:r>
      <w:r>
        <w:rPr>
          <w:rFonts w:ascii="Book Antiqua" w:hAnsi="Book Antiqua" w:cs="Times New Roman"/>
          <w:sz w:val="22"/>
          <w:szCs w:val="22"/>
          <w:lang w:val="sr-Latn-RS"/>
        </w:rPr>
        <w:t xml:space="preserve">MN001; H. </w:t>
      </w:r>
      <w:r>
        <w:rPr>
          <w:rFonts w:ascii="Book Antiqua" w:hAnsi="Book Antiqua" w:cs="Times New Roman"/>
          <w:i/>
          <w:iCs/>
          <w:sz w:val="22"/>
          <w:szCs w:val="22"/>
          <w:lang w:val="sr-Latn-RS"/>
        </w:rPr>
        <w:t>T. atroviride</w:t>
      </w:r>
      <w:r>
        <w:rPr>
          <w:rFonts w:ascii="Book Antiqua" w:hAnsi="Book Antiqua" w:cs="Times New Roman"/>
          <w:sz w:val="22"/>
          <w:szCs w:val="22"/>
          <w:lang w:val="sr-Latn-RS"/>
        </w:rPr>
        <w:t xml:space="preserve"> SC1 x </w:t>
      </w:r>
      <w:r>
        <w:rPr>
          <w:rFonts w:ascii="Book Antiqua" w:hAnsi="Book Antiqua" w:cs="Times New Roman"/>
          <w:i/>
          <w:iCs/>
          <w:sz w:val="22"/>
          <w:szCs w:val="22"/>
          <w:lang w:val="sr-Latn-RS"/>
        </w:rPr>
        <w:t xml:space="preserve">C. luteo olivacea </w:t>
      </w:r>
      <w:r>
        <w:rPr>
          <w:rFonts w:ascii="Book Antiqua" w:hAnsi="Book Antiqua" w:cs="Times New Roman"/>
          <w:sz w:val="22"/>
          <w:szCs w:val="22"/>
          <w:lang w:val="sr-Latn-RS"/>
        </w:rPr>
        <w:t xml:space="preserve">MN001; I. </w:t>
      </w:r>
      <w:r>
        <w:rPr>
          <w:rFonts w:ascii="Book Antiqua" w:hAnsi="Book Antiqua" w:cs="Times New Roman"/>
          <w:i/>
          <w:iCs/>
          <w:sz w:val="22"/>
          <w:szCs w:val="22"/>
          <w:lang w:val="sr-Latn-RS"/>
        </w:rPr>
        <w:t xml:space="preserve">T. citrinoviride </w:t>
      </w:r>
      <w:r>
        <w:rPr>
          <w:rFonts w:ascii="Book Antiqua" w:hAnsi="Book Antiqua" w:cs="Times New Roman"/>
          <w:sz w:val="22"/>
          <w:szCs w:val="22"/>
          <w:lang w:val="sr-Latn-RS"/>
        </w:rPr>
        <w:t xml:space="preserve">T-CG x </w:t>
      </w:r>
      <w:r>
        <w:rPr>
          <w:rFonts w:ascii="Book Antiqua" w:hAnsi="Book Antiqua" w:cs="Times New Roman"/>
          <w:i/>
          <w:iCs/>
          <w:sz w:val="22"/>
          <w:szCs w:val="22"/>
          <w:lang w:val="sr-Latn-RS"/>
        </w:rPr>
        <w:t xml:space="preserve">N. parvum </w:t>
      </w:r>
      <w:r>
        <w:rPr>
          <w:rFonts w:ascii="Book Antiqua" w:hAnsi="Book Antiqua" w:cs="Times New Roman"/>
          <w:sz w:val="22"/>
          <w:szCs w:val="22"/>
          <w:lang w:val="sr-Latn-RS"/>
        </w:rPr>
        <w:t xml:space="preserve">mnsm23; J. </w:t>
      </w:r>
      <w:r>
        <w:rPr>
          <w:rFonts w:ascii="Book Antiqua" w:hAnsi="Book Antiqua" w:cs="Times New Roman"/>
          <w:i/>
          <w:iCs/>
          <w:sz w:val="22"/>
          <w:szCs w:val="22"/>
          <w:lang w:val="sr-Latn-RS"/>
        </w:rPr>
        <w:t>T. atroviride</w:t>
      </w:r>
      <w:r>
        <w:rPr>
          <w:rFonts w:ascii="Book Antiqua" w:hAnsi="Book Antiqua" w:cs="Times New Roman"/>
          <w:sz w:val="22"/>
          <w:szCs w:val="22"/>
          <w:lang w:val="sr-Latn-RS"/>
        </w:rPr>
        <w:t xml:space="preserve"> SC1 x </w:t>
      </w:r>
      <w:r>
        <w:rPr>
          <w:rFonts w:ascii="Book Antiqua" w:hAnsi="Book Antiqua" w:cs="Times New Roman"/>
          <w:i/>
          <w:iCs/>
          <w:sz w:val="22"/>
          <w:szCs w:val="22"/>
          <w:lang w:val="sr-Latn-RS"/>
        </w:rPr>
        <w:t>N. parvum</w:t>
      </w:r>
      <w:r>
        <w:rPr>
          <w:rFonts w:ascii="Book Antiqua" w:hAnsi="Book Antiqua" w:cs="Times New Roman"/>
          <w:sz w:val="22"/>
          <w:szCs w:val="22"/>
          <w:lang w:val="sr-Latn-RS"/>
        </w:rPr>
        <w:t xml:space="preserve"> mnsm23. </w:t>
      </w:r>
    </w:p>
    <w:p w14:paraId="5E9220B6" w14:textId="77777777" w:rsidR="003801E8" w:rsidRDefault="003801E8">
      <w:pPr>
        <w:tabs>
          <w:tab w:val="left" w:pos="3315"/>
        </w:tabs>
        <w:spacing w:line="240" w:lineRule="auto"/>
        <w:jc w:val="both"/>
        <w:rPr>
          <w:rFonts w:ascii="Book Antiqua" w:hAnsi="Book Antiqua" w:cs="Times New Roman"/>
          <w:sz w:val="22"/>
          <w:szCs w:val="22"/>
          <w:lang w:val="sr-Latn-RS"/>
        </w:rPr>
      </w:pPr>
    </w:p>
    <w:p w14:paraId="26FDDFF4" w14:textId="77777777" w:rsidR="003801E8" w:rsidRDefault="00E44AAE">
      <w:pPr>
        <w:tabs>
          <w:tab w:val="left" w:pos="3315"/>
        </w:tabs>
        <w:spacing w:line="360" w:lineRule="auto"/>
        <w:jc w:val="both"/>
        <w:rPr>
          <w:rFonts w:ascii="Book Antiqua" w:hAnsi="Book Antiqua" w:cs="Times New Roman"/>
          <w:b/>
          <w:bCs/>
          <w:color w:val="000000" w:themeColor="text1"/>
          <w:sz w:val="24"/>
          <w:szCs w:val="24"/>
          <w:lang w:val="sr-Latn-RS"/>
        </w:rPr>
      </w:pPr>
      <w:r>
        <w:rPr>
          <w:rFonts w:ascii="Book Antiqua" w:hAnsi="Book Antiqua" w:cs="Times New Roman"/>
          <w:b/>
          <w:bCs/>
          <w:color w:val="000000" w:themeColor="text1"/>
          <w:sz w:val="24"/>
          <w:szCs w:val="24"/>
          <w:lang w:val="sr-Latn-RS"/>
        </w:rPr>
        <w:t xml:space="preserve">5.12 </w:t>
      </w:r>
      <w:r>
        <w:rPr>
          <w:rFonts w:ascii="Book Antiqua" w:hAnsi="Book Antiqua" w:cs="Times New Roman"/>
          <w:b/>
          <w:bCs/>
          <w:i/>
          <w:iCs/>
          <w:color w:val="000000" w:themeColor="text1"/>
          <w:sz w:val="24"/>
          <w:szCs w:val="24"/>
          <w:lang w:val="sr-Latn-RS"/>
        </w:rPr>
        <w:t>In vivo</w:t>
      </w:r>
      <w:r>
        <w:rPr>
          <w:rFonts w:ascii="Book Antiqua" w:hAnsi="Book Antiqua" w:cs="Times New Roman"/>
          <w:b/>
          <w:bCs/>
          <w:color w:val="000000" w:themeColor="text1"/>
          <w:sz w:val="24"/>
          <w:szCs w:val="24"/>
          <w:lang w:val="sr-Latn-RS"/>
        </w:rPr>
        <w:t xml:space="preserve"> test </w:t>
      </w:r>
      <w:r>
        <w:rPr>
          <w:rFonts w:ascii="Book Antiqua" w:hAnsi="Book Antiqua" w:cs="Times New Roman"/>
          <w:b/>
          <w:bCs/>
          <w:i/>
          <w:iCs/>
          <w:color w:val="000000" w:themeColor="text1"/>
          <w:sz w:val="24"/>
          <w:szCs w:val="24"/>
          <w:lang w:val="sr-Latn-RS"/>
        </w:rPr>
        <w:t>T. citrinoviride</w:t>
      </w:r>
      <w:r>
        <w:rPr>
          <w:rFonts w:ascii="Book Antiqua" w:hAnsi="Book Antiqua" w:cs="Times New Roman"/>
          <w:b/>
          <w:bCs/>
          <w:color w:val="000000" w:themeColor="text1"/>
          <w:sz w:val="24"/>
          <w:szCs w:val="24"/>
          <w:lang w:val="sr-Latn-RS"/>
        </w:rPr>
        <w:t xml:space="preserve"> T-CG i </w:t>
      </w:r>
      <w:r>
        <w:rPr>
          <w:rFonts w:ascii="Book Antiqua" w:hAnsi="Book Antiqua" w:cs="Times New Roman"/>
          <w:b/>
          <w:bCs/>
          <w:i/>
          <w:iCs/>
          <w:color w:val="000000" w:themeColor="text1"/>
          <w:sz w:val="24"/>
          <w:szCs w:val="24"/>
          <w:lang w:val="sr-Latn-RS"/>
        </w:rPr>
        <w:t>T. atroviride</w:t>
      </w:r>
      <w:r>
        <w:rPr>
          <w:rFonts w:ascii="Book Antiqua" w:hAnsi="Book Antiqua" w:cs="Times New Roman"/>
          <w:b/>
          <w:bCs/>
          <w:color w:val="000000" w:themeColor="text1"/>
          <w:sz w:val="24"/>
          <w:szCs w:val="24"/>
          <w:lang w:val="sr-Latn-RS"/>
        </w:rPr>
        <w:t xml:space="preserve"> SC1 prema </w:t>
      </w:r>
      <w:r>
        <w:rPr>
          <w:rFonts w:ascii="Book Antiqua" w:hAnsi="Book Antiqua" w:cs="Times New Roman"/>
          <w:b/>
          <w:bCs/>
          <w:i/>
          <w:iCs/>
          <w:color w:val="000000" w:themeColor="text1"/>
          <w:sz w:val="24"/>
          <w:szCs w:val="24"/>
          <w:lang w:val="sr-Latn-RS"/>
        </w:rPr>
        <w:t>P. minimum</w:t>
      </w:r>
      <w:r>
        <w:rPr>
          <w:rFonts w:ascii="Book Antiqua" w:hAnsi="Book Antiqua" w:cs="Times New Roman"/>
          <w:b/>
          <w:bCs/>
          <w:color w:val="000000" w:themeColor="text1"/>
          <w:sz w:val="24"/>
          <w:szCs w:val="24"/>
          <w:lang w:val="sr-Latn-RS"/>
        </w:rPr>
        <w:t xml:space="preserve">, </w:t>
      </w:r>
      <w:r>
        <w:rPr>
          <w:rFonts w:ascii="Book Antiqua" w:hAnsi="Book Antiqua" w:cs="Times New Roman"/>
          <w:b/>
          <w:bCs/>
          <w:i/>
          <w:iCs/>
          <w:color w:val="000000" w:themeColor="text1"/>
          <w:sz w:val="24"/>
          <w:szCs w:val="24"/>
          <w:lang w:val="sr-Latn-RS"/>
        </w:rPr>
        <w:t>P. chlamydospora</w:t>
      </w:r>
      <w:r>
        <w:rPr>
          <w:rFonts w:ascii="Book Antiqua" w:hAnsi="Book Antiqua" w:cs="Times New Roman"/>
          <w:b/>
          <w:bCs/>
          <w:color w:val="000000" w:themeColor="text1"/>
          <w:sz w:val="24"/>
          <w:szCs w:val="24"/>
          <w:lang w:val="sr-Latn-RS"/>
        </w:rPr>
        <w:t xml:space="preserve">, </w:t>
      </w:r>
      <w:r>
        <w:rPr>
          <w:rFonts w:ascii="Book Antiqua" w:hAnsi="Book Antiqua" w:cs="Times New Roman"/>
          <w:b/>
          <w:bCs/>
          <w:i/>
          <w:iCs/>
          <w:color w:val="000000" w:themeColor="text1"/>
          <w:sz w:val="24"/>
          <w:szCs w:val="24"/>
          <w:lang w:val="sr-Latn-RS"/>
        </w:rPr>
        <w:t>N. parvum</w:t>
      </w:r>
      <w:r>
        <w:rPr>
          <w:rFonts w:ascii="Book Antiqua" w:hAnsi="Book Antiqua" w:cs="Times New Roman"/>
          <w:b/>
          <w:bCs/>
          <w:color w:val="000000" w:themeColor="text1"/>
          <w:sz w:val="24"/>
          <w:szCs w:val="24"/>
          <w:lang w:val="sr-Latn-RS"/>
        </w:rPr>
        <w:t xml:space="preserve"> </w:t>
      </w:r>
    </w:p>
    <w:p w14:paraId="74855473" w14:textId="77777777" w:rsidR="003801E8" w:rsidRDefault="00E44AAE">
      <w:pPr>
        <w:tabs>
          <w:tab w:val="left" w:pos="3315"/>
        </w:tabs>
        <w:spacing w:line="360" w:lineRule="auto"/>
        <w:jc w:val="both"/>
        <w:rPr>
          <w:rFonts w:ascii="Book Antiqua" w:hAnsi="Book Antiqua" w:cs="Times New Roman"/>
          <w:bCs/>
          <w:color w:val="000000" w:themeColor="text1"/>
          <w:kern w:val="2"/>
          <w:sz w:val="24"/>
          <w:szCs w:val="24"/>
          <w:lang w:val="en-US" w:eastAsia="sr-Latn-ME"/>
        </w:rPr>
      </w:pPr>
      <w:r>
        <w:rPr>
          <w:rFonts w:ascii="Book Antiqua" w:hAnsi="Book Antiqua" w:cs="Times New Roman"/>
          <w:bCs/>
          <w:color w:val="000000" w:themeColor="text1"/>
          <w:kern w:val="2"/>
          <w:sz w:val="24"/>
          <w:szCs w:val="24"/>
          <w:lang w:val="en-US" w:eastAsia="sr-Latn-ME"/>
        </w:rPr>
        <w:t>Postupkom reizolacije iz kontrolnih biljaka čiji su lastari inokulisani sporama patogena, reizolovani su izolati gljiva N.</w:t>
      </w:r>
      <w:r>
        <w:rPr>
          <w:rFonts w:ascii="Book Antiqua" w:hAnsi="Book Antiqua" w:cs="Times New Roman"/>
          <w:bCs/>
          <w:i/>
          <w:iCs/>
          <w:color w:val="000000" w:themeColor="text1"/>
          <w:kern w:val="2"/>
          <w:sz w:val="24"/>
          <w:szCs w:val="24"/>
          <w:lang w:val="en-US" w:eastAsia="sr-Latn-ME"/>
        </w:rPr>
        <w:t xml:space="preserve"> parvum </w:t>
      </w:r>
      <w:r>
        <w:rPr>
          <w:rFonts w:ascii="Book Antiqua" w:hAnsi="Book Antiqua" w:cs="Times New Roman"/>
          <w:bCs/>
          <w:color w:val="000000" w:themeColor="text1"/>
          <w:kern w:val="2"/>
          <w:sz w:val="24"/>
          <w:szCs w:val="24"/>
          <w:lang w:val="en-US" w:eastAsia="sr-Latn-ME"/>
        </w:rPr>
        <w:t xml:space="preserve">mnsm23, </w:t>
      </w:r>
      <w:r>
        <w:rPr>
          <w:rFonts w:ascii="Book Antiqua" w:hAnsi="Book Antiqua" w:cs="Times New Roman"/>
          <w:bCs/>
          <w:i/>
          <w:iCs/>
          <w:color w:val="000000" w:themeColor="text1"/>
          <w:kern w:val="2"/>
          <w:sz w:val="24"/>
          <w:szCs w:val="24"/>
          <w:lang w:val="en-US" w:eastAsia="sr-Latn-ME"/>
        </w:rPr>
        <w:t>P. minimum</w:t>
      </w:r>
      <w:r>
        <w:rPr>
          <w:rFonts w:ascii="Book Antiqua" w:hAnsi="Book Antiqua" w:cs="Times New Roman"/>
          <w:bCs/>
          <w:color w:val="000000" w:themeColor="text1"/>
          <w:kern w:val="2"/>
          <w:sz w:val="24"/>
          <w:szCs w:val="24"/>
          <w:lang w:val="en-US" w:eastAsia="sr-Latn-ME"/>
        </w:rPr>
        <w:t xml:space="preserve"> MN002 i </w:t>
      </w:r>
      <w:r>
        <w:rPr>
          <w:rFonts w:ascii="Book Antiqua" w:hAnsi="Book Antiqua" w:cs="Times New Roman"/>
          <w:bCs/>
          <w:i/>
          <w:iCs/>
          <w:color w:val="000000" w:themeColor="text1"/>
          <w:kern w:val="2"/>
          <w:sz w:val="24"/>
          <w:szCs w:val="24"/>
          <w:lang w:val="en-US" w:eastAsia="sr-Latn-ME"/>
        </w:rPr>
        <w:t xml:space="preserve">P. chlamydospora </w:t>
      </w:r>
      <w:r>
        <w:rPr>
          <w:rFonts w:ascii="Book Antiqua" w:hAnsi="Book Antiqua" w:cs="Times New Roman"/>
          <w:bCs/>
          <w:color w:val="000000" w:themeColor="text1"/>
          <w:kern w:val="2"/>
          <w:sz w:val="24"/>
          <w:szCs w:val="24"/>
          <w:lang w:val="en-US" w:eastAsia="sr-Latn-ME"/>
        </w:rPr>
        <w:t>MN011</w:t>
      </w:r>
      <w:r>
        <w:rPr>
          <w:rFonts w:ascii="Book Antiqua" w:hAnsi="Book Antiqua" w:cs="Times New Roman"/>
          <w:bCs/>
          <w:i/>
          <w:iCs/>
          <w:color w:val="000000" w:themeColor="text1"/>
          <w:kern w:val="2"/>
          <w:sz w:val="24"/>
          <w:szCs w:val="24"/>
          <w:lang w:val="en-US" w:eastAsia="sr-Latn-ME"/>
        </w:rPr>
        <w:t xml:space="preserve">. </w:t>
      </w:r>
      <w:r>
        <w:rPr>
          <w:rFonts w:ascii="Book Antiqua" w:hAnsi="Book Antiqua" w:cs="Times New Roman"/>
          <w:bCs/>
          <w:color w:val="000000" w:themeColor="text1"/>
          <w:kern w:val="2"/>
          <w:sz w:val="24"/>
          <w:szCs w:val="24"/>
          <w:lang w:val="en-US" w:eastAsia="sr-Latn-ME"/>
        </w:rPr>
        <w:t xml:space="preserve">Kod kontrolnih lastara koji su inokulisani destilovanom vodom nije došlo do reizolacije patogena. Procenat reizolacije za svaki od patogenih mikroorgnizama je prikazan u grafikonu 6. </w:t>
      </w:r>
    </w:p>
    <w:p w14:paraId="3A05C48D" w14:textId="77777777" w:rsidR="003801E8" w:rsidRDefault="00E44AAE">
      <w:pPr>
        <w:tabs>
          <w:tab w:val="left" w:pos="3315"/>
        </w:tabs>
        <w:spacing w:line="360" w:lineRule="auto"/>
        <w:jc w:val="both"/>
        <w:rPr>
          <w:rFonts w:ascii="Book Antiqua" w:hAnsi="Book Antiqua" w:cs="Times New Roman"/>
          <w:bCs/>
          <w:color w:val="000000" w:themeColor="text1"/>
          <w:kern w:val="2"/>
          <w:sz w:val="24"/>
          <w:szCs w:val="24"/>
          <w:lang w:eastAsia="sr-Latn-ME"/>
        </w:rPr>
      </w:pPr>
      <w:r>
        <w:rPr>
          <w:rFonts w:ascii="Book Antiqua" w:hAnsi="Book Antiqua" w:cs="Times New Roman"/>
          <w:bCs/>
          <w:color w:val="000000" w:themeColor="text1"/>
          <w:kern w:val="2"/>
          <w:sz w:val="24"/>
          <w:szCs w:val="24"/>
          <w:lang w:val="en-US" w:eastAsia="sr-Latn-ME"/>
        </w:rPr>
        <w:t>Kolonizacija patogena u tretiranim lastarima procentualno je varirala od 0 (</w:t>
      </w:r>
      <w:r>
        <w:rPr>
          <w:rFonts w:ascii="Book Antiqua" w:hAnsi="Book Antiqua" w:cs="Times New Roman"/>
          <w:bCs/>
          <w:i/>
          <w:iCs/>
          <w:color w:val="000000" w:themeColor="text1"/>
          <w:kern w:val="2"/>
          <w:sz w:val="24"/>
          <w:szCs w:val="24"/>
          <w:lang w:val="en-US" w:eastAsia="sr-Latn-ME"/>
        </w:rPr>
        <w:t>P. chlamydospora</w:t>
      </w:r>
      <w:r>
        <w:rPr>
          <w:rFonts w:ascii="Book Antiqua" w:hAnsi="Book Antiqua" w:cs="Times New Roman"/>
          <w:bCs/>
          <w:color w:val="000000" w:themeColor="text1"/>
          <w:kern w:val="2"/>
          <w:sz w:val="24"/>
          <w:szCs w:val="24"/>
          <w:lang w:val="en-US" w:eastAsia="sr-Latn-ME"/>
        </w:rPr>
        <w:t xml:space="preserve"> MN011) - 44,44% (</w:t>
      </w:r>
      <w:r>
        <w:rPr>
          <w:rFonts w:ascii="Book Antiqua" w:hAnsi="Book Antiqua" w:cs="Times New Roman"/>
          <w:bCs/>
          <w:i/>
          <w:iCs/>
          <w:color w:val="000000" w:themeColor="text1"/>
          <w:kern w:val="2"/>
          <w:sz w:val="24"/>
          <w:szCs w:val="24"/>
          <w:lang w:val="en-US" w:eastAsia="sr-Latn-ME"/>
        </w:rPr>
        <w:t xml:space="preserve">N. parvum </w:t>
      </w:r>
      <w:r>
        <w:rPr>
          <w:rFonts w:ascii="Book Antiqua" w:hAnsi="Book Antiqua" w:cs="Times New Roman"/>
          <w:bCs/>
          <w:color w:val="000000" w:themeColor="text1"/>
          <w:kern w:val="2"/>
          <w:sz w:val="24"/>
          <w:szCs w:val="24"/>
          <w:lang w:val="en-US" w:eastAsia="sr-Latn-ME"/>
        </w:rPr>
        <w:t xml:space="preserve">mnsm23) (Grafikon 6). U </w:t>
      </w:r>
      <w:r>
        <w:rPr>
          <w:rFonts w:ascii="Book Antiqua" w:hAnsi="Book Antiqua" w:cs="Times New Roman"/>
          <w:bCs/>
          <w:i/>
          <w:iCs/>
          <w:color w:val="000000" w:themeColor="text1"/>
          <w:kern w:val="2"/>
          <w:sz w:val="24"/>
          <w:szCs w:val="24"/>
          <w:lang w:val="en-US" w:eastAsia="sr-Latn-ME"/>
        </w:rPr>
        <w:t>in vivo</w:t>
      </w:r>
      <w:r>
        <w:rPr>
          <w:rFonts w:ascii="Book Antiqua" w:hAnsi="Book Antiqua" w:cs="Times New Roman"/>
          <w:bCs/>
          <w:color w:val="000000" w:themeColor="text1"/>
          <w:kern w:val="2"/>
          <w:sz w:val="24"/>
          <w:szCs w:val="24"/>
          <w:lang w:val="en-US" w:eastAsia="sr-Latn-ME"/>
        </w:rPr>
        <w:t xml:space="preserve"> testu </w:t>
      </w:r>
      <w:r>
        <w:rPr>
          <w:rFonts w:ascii="Book Antiqua" w:hAnsi="Book Antiqua" w:cs="Times New Roman"/>
          <w:bCs/>
          <w:i/>
          <w:iCs/>
          <w:color w:val="000000" w:themeColor="text1"/>
          <w:kern w:val="2"/>
          <w:sz w:val="24"/>
          <w:szCs w:val="24"/>
          <w:lang w:val="en-US" w:eastAsia="sr-Latn-ME"/>
        </w:rPr>
        <w:t xml:space="preserve">T. citrinoviride </w:t>
      </w:r>
      <w:r>
        <w:rPr>
          <w:rFonts w:ascii="Book Antiqua" w:hAnsi="Book Antiqua" w:cs="Times New Roman"/>
          <w:bCs/>
          <w:color w:val="000000" w:themeColor="text1"/>
          <w:kern w:val="2"/>
          <w:sz w:val="24"/>
          <w:szCs w:val="24"/>
          <w:lang w:val="en-US" w:eastAsia="sr-Latn-ME"/>
        </w:rPr>
        <w:t>T-CG</w:t>
      </w:r>
      <w:r>
        <w:rPr>
          <w:rFonts w:ascii="Book Antiqua" w:hAnsi="Book Antiqua" w:cs="Times New Roman"/>
          <w:bCs/>
          <w:i/>
          <w:iCs/>
          <w:color w:val="000000" w:themeColor="text1"/>
          <w:kern w:val="2"/>
          <w:sz w:val="24"/>
          <w:szCs w:val="24"/>
          <w:lang w:val="en-US" w:eastAsia="sr-Latn-ME"/>
        </w:rPr>
        <w:t xml:space="preserve">  </w:t>
      </w:r>
      <w:r>
        <w:rPr>
          <w:rFonts w:ascii="Book Antiqua" w:hAnsi="Book Antiqua" w:cs="Times New Roman"/>
          <w:bCs/>
          <w:color w:val="000000" w:themeColor="text1"/>
          <w:kern w:val="2"/>
          <w:sz w:val="24"/>
          <w:szCs w:val="24"/>
          <w:lang w:val="en-US" w:eastAsia="sr-Latn-ME"/>
        </w:rPr>
        <w:t xml:space="preserve">i </w:t>
      </w:r>
      <w:r>
        <w:rPr>
          <w:rFonts w:ascii="Book Antiqua" w:hAnsi="Book Antiqua" w:cs="Times New Roman"/>
          <w:bCs/>
          <w:i/>
          <w:iCs/>
          <w:color w:val="000000" w:themeColor="text1"/>
          <w:kern w:val="2"/>
          <w:sz w:val="24"/>
          <w:szCs w:val="24"/>
          <w:lang w:val="en-US" w:eastAsia="sr-Latn-ME"/>
        </w:rPr>
        <w:t>T. atroviride</w:t>
      </w:r>
      <w:r>
        <w:rPr>
          <w:rFonts w:ascii="Book Antiqua" w:hAnsi="Book Antiqua" w:cs="Times New Roman"/>
          <w:bCs/>
          <w:color w:val="000000" w:themeColor="text1"/>
          <w:kern w:val="2"/>
          <w:sz w:val="24"/>
          <w:szCs w:val="24"/>
          <w:lang w:val="en-US" w:eastAsia="sr-Latn-ME"/>
        </w:rPr>
        <w:t xml:space="preserve"> SC1 su u potpunosti sprije</w:t>
      </w:r>
      <w:r>
        <w:rPr>
          <w:rFonts w:ascii="Book Antiqua" w:hAnsi="Book Antiqua" w:cs="Times New Roman"/>
          <w:bCs/>
          <w:color w:val="000000" w:themeColor="text1"/>
          <w:kern w:val="2"/>
          <w:sz w:val="24"/>
          <w:szCs w:val="24"/>
          <w:lang w:eastAsia="sr-Latn-ME"/>
        </w:rPr>
        <w:t>čile</w:t>
      </w:r>
      <w:r>
        <w:rPr>
          <w:rFonts w:ascii="Book Antiqua" w:hAnsi="Book Antiqua" w:cs="Times New Roman"/>
          <w:bCs/>
          <w:color w:val="000000" w:themeColor="text1"/>
          <w:kern w:val="2"/>
          <w:sz w:val="24"/>
          <w:szCs w:val="24"/>
          <w:lang w:val="en-US" w:eastAsia="sr-Latn-ME"/>
        </w:rPr>
        <w:t xml:space="preserve"> razvoj infekcije izolatom MN011 gljive </w:t>
      </w:r>
      <w:r>
        <w:rPr>
          <w:rFonts w:ascii="Book Antiqua" w:hAnsi="Book Antiqua" w:cs="Times New Roman"/>
          <w:bCs/>
          <w:i/>
          <w:iCs/>
          <w:color w:val="000000" w:themeColor="text1"/>
          <w:kern w:val="2"/>
          <w:sz w:val="24"/>
          <w:szCs w:val="24"/>
          <w:lang w:val="en-US" w:eastAsia="sr-Latn-ME"/>
        </w:rPr>
        <w:t>P. chlamydospora</w:t>
      </w:r>
      <w:r>
        <w:rPr>
          <w:rFonts w:ascii="Book Antiqua" w:hAnsi="Book Antiqua" w:cs="Times New Roman"/>
          <w:bCs/>
          <w:color w:val="000000" w:themeColor="text1"/>
          <w:kern w:val="2"/>
          <w:sz w:val="24"/>
          <w:szCs w:val="24"/>
          <w:lang w:val="en-US" w:eastAsia="sr-Latn-ME"/>
        </w:rPr>
        <w:t xml:space="preserve"> MN011 na tretiranim lastarima i redukovale intenzitet infekcija patogenih izolata MN002 (</w:t>
      </w:r>
      <w:r>
        <w:rPr>
          <w:rFonts w:ascii="Book Antiqua" w:hAnsi="Book Antiqua" w:cs="Times New Roman"/>
          <w:bCs/>
          <w:i/>
          <w:iCs/>
          <w:color w:val="000000" w:themeColor="text1"/>
          <w:kern w:val="2"/>
          <w:sz w:val="24"/>
          <w:szCs w:val="24"/>
          <w:lang w:val="en-US" w:eastAsia="sr-Latn-ME"/>
        </w:rPr>
        <w:t>P. minimum</w:t>
      </w:r>
      <w:r>
        <w:rPr>
          <w:rFonts w:ascii="Book Antiqua" w:hAnsi="Book Antiqua" w:cs="Times New Roman"/>
          <w:bCs/>
          <w:color w:val="000000" w:themeColor="text1"/>
          <w:kern w:val="2"/>
          <w:sz w:val="24"/>
          <w:szCs w:val="24"/>
          <w:lang w:val="en-US" w:eastAsia="sr-Latn-ME"/>
        </w:rPr>
        <w:t>) i mnsm23 (</w:t>
      </w:r>
      <w:r>
        <w:rPr>
          <w:rFonts w:ascii="Book Antiqua" w:hAnsi="Book Antiqua" w:cs="Times New Roman"/>
          <w:bCs/>
          <w:i/>
          <w:iCs/>
          <w:color w:val="000000" w:themeColor="text1"/>
          <w:kern w:val="2"/>
          <w:sz w:val="24"/>
          <w:szCs w:val="24"/>
          <w:lang w:val="en-US" w:eastAsia="sr-Latn-ME"/>
        </w:rPr>
        <w:t>N. parvum</w:t>
      </w:r>
      <w:r>
        <w:rPr>
          <w:rFonts w:ascii="Book Antiqua" w:hAnsi="Book Antiqua" w:cs="Times New Roman"/>
          <w:bCs/>
          <w:color w:val="000000" w:themeColor="text1"/>
          <w:kern w:val="2"/>
          <w:sz w:val="24"/>
          <w:szCs w:val="24"/>
          <w:lang w:val="en-US" w:eastAsia="sr-Latn-ME"/>
        </w:rPr>
        <w:t xml:space="preserve">). Takođe, </w:t>
      </w:r>
      <w:r>
        <w:rPr>
          <w:rFonts w:ascii="Book Antiqua" w:hAnsi="Book Antiqua" w:cs="Times New Roman"/>
          <w:bCs/>
          <w:i/>
          <w:iCs/>
          <w:color w:val="000000" w:themeColor="text1"/>
          <w:kern w:val="2"/>
          <w:sz w:val="24"/>
          <w:szCs w:val="24"/>
          <w:lang w:val="en-US" w:eastAsia="sr-Latn-ME"/>
        </w:rPr>
        <w:t>T. citrinoviride</w:t>
      </w:r>
      <w:r>
        <w:rPr>
          <w:rFonts w:ascii="Book Antiqua" w:hAnsi="Book Antiqua" w:cs="Times New Roman"/>
          <w:bCs/>
          <w:color w:val="000000" w:themeColor="text1"/>
          <w:kern w:val="2"/>
          <w:sz w:val="24"/>
          <w:szCs w:val="24"/>
          <w:lang w:val="en-US" w:eastAsia="sr-Latn-ME"/>
        </w:rPr>
        <w:t xml:space="preserve"> T-CG je spriječila širenje infekcije prouzrokovane izolatom mnsm23 gljive </w:t>
      </w:r>
      <w:r>
        <w:rPr>
          <w:rFonts w:ascii="Book Antiqua" w:hAnsi="Book Antiqua" w:cs="Times New Roman"/>
          <w:bCs/>
          <w:i/>
          <w:iCs/>
          <w:color w:val="000000" w:themeColor="text1"/>
          <w:kern w:val="2"/>
          <w:sz w:val="24"/>
          <w:szCs w:val="24"/>
          <w:lang w:val="en-US" w:eastAsia="sr-Latn-ME"/>
        </w:rPr>
        <w:t>N. parvum</w:t>
      </w:r>
      <w:r>
        <w:rPr>
          <w:rFonts w:ascii="Book Antiqua" w:hAnsi="Book Antiqua" w:cs="Times New Roman"/>
          <w:bCs/>
          <w:color w:val="000000" w:themeColor="text1"/>
          <w:kern w:val="2"/>
          <w:sz w:val="24"/>
          <w:szCs w:val="24"/>
          <w:lang w:val="en-US" w:eastAsia="sr-Latn-ME"/>
        </w:rPr>
        <w:t xml:space="preserve"> dublje od 2-3 cm dužine </w:t>
      </w:r>
      <w:r>
        <w:rPr>
          <w:rFonts w:ascii="Book Antiqua" w:hAnsi="Book Antiqua" w:cs="Times New Roman"/>
          <w:bCs/>
          <w:color w:val="000000" w:themeColor="text1"/>
          <w:kern w:val="2"/>
          <w:sz w:val="24"/>
          <w:szCs w:val="24"/>
          <w:lang w:val="en-US" w:eastAsia="sr-Latn-ME"/>
        </w:rPr>
        <w:lastRenderedPageBreak/>
        <w:t xml:space="preserve">inokulisanih lastara (Tabela 26). Srednja efikasnost </w:t>
      </w:r>
      <w:r>
        <w:rPr>
          <w:rFonts w:ascii="Book Antiqua" w:hAnsi="Book Antiqua" w:cs="Times New Roman"/>
          <w:bCs/>
          <w:i/>
          <w:iCs/>
          <w:color w:val="000000" w:themeColor="text1"/>
          <w:kern w:val="2"/>
          <w:sz w:val="24"/>
          <w:szCs w:val="24"/>
          <w:lang w:val="en-US" w:eastAsia="sr-Latn-ME"/>
        </w:rPr>
        <w:t>T. citrinoviride</w:t>
      </w:r>
      <w:r>
        <w:rPr>
          <w:rFonts w:ascii="Book Antiqua" w:hAnsi="Book Antiqua" w:cs="Times New Roman"/>
          <w:bCs/>
          <w:color w:val="000000" w:themeColor="text1"/>
          <w:kern w:val="2"/>
          <w:sz w:val="24"/>
          <w:szCs w:val="24"/>
          <w:lang w:val="en-US" w:eastAsia="sr-Latn-ME"/>
        </w:rPr>
        <w:t xml:space="preserve"> T-CG i </w:t>
      </w:r>
      <w:r>
        <w:rPr>
          <w:rFonts w:ascii="Book Antiqua" w:hAnsi="Book Antiqua" w:cs="Times New Roman"/>
          <w:bCs/>
          <w:i/>
          <w:iCs/>
          <w:color w:val="000000" w:themeColor="text1"/>
          <w:kern w:val="2"/>
          <w:sz w:val="24"/>
          <w:szCs w:val="24"/>
          <w:lang w:val="en-US" w:eastAsia="sr-Latn-ME"/>
        </w:rPr>
        <w:t>T. atroviride</w:t>
      </w:r>
      <w:r>
        <w:rPr>
          <w:rFonts w:ascii="Book Antiqua" w:hAnsi="Book Antiqua" w:cs="Times New Roman"/>
          <w:bCs/>
          <w:color w:val="000000" w:themeColor="text1"/>
          <w:kern w:val="2"/>
          <w:sz w:val="24"/>
          <w:szCs w:val="24"/>
          <w:lang w:val="en-US" w:eastAsia="sr-Latn-ME"/>
        </w:rPr>
        <w:t xml:space="preserve"> SC1 prema ispitivanim patogenima, prikazana je u grafikonu 7. </w:t>
      </w:r>
    </w:p>
    <w:p w14:paraId="0A5229F8" w14:textId="77777777" w:rsidR="003801E8" w:rsidRDefault="00E44AAE">
      <w:pPr>
        <w:tabs>
          <w:tab w:val="left" w:pos="3315"/>
        </w:tabs>
        <w:spacing w:after="0" w:line="360" w:lineRule="auto"/>
        <w:jc w:val="both"/>
        <w:rPr>
          <w:rFonts w:ascii="Book Antiqua" w:hAnsi="Book Antiqua" w:cs="Times New Roman"/>
          <w:bCs/>
          <w:color w:val="000000" w:themeColor="text1"/>
          <w:kern w:val="2"/>
          <w:sz w:val="24"/>
          <w:szCs w:val="24"/>
          <w:lang w:val="en-US" w:eastAsia="sr-Latn-ME"/>
        </w:rPr>
      </w:pPr>
      <w:r>
        <w:rPr>
          <w:rFonts w:ascii="Book Antiqua" w:hAnsi="Book Antiqua" w:cs="Times New Roman"/>
          <w:bCs/>
          <w:noProof/>
          <w:color w:val="000000" w:themeColor="text1"/>
          <w:kern w:val="2"/>
          <w:sz w:val="24"/>
          <w:szCs w:val="24"/>
          <w:lang w:val="en-US"/>
        </w:rPr>
        <w:drawing>
          <wp:inline distT="0" distB="0" distL="0" distR="0" wp14:anchorId="648CE884" wp14:editId="0CC0EF57">
            <wp:extent cx="5314950" cy="2743200"/>
            <wp:effectExtent l="0" t="0" r="0" b="0"/>
            <wp:docPr id="641326872"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D20D348" w14:textId="77777777" w:rsidR="003801E8" w:rsidRDefault="00E44AAE">
      <w:pPr>
        <w:tabs>
          <w:tab w:val="left" w:pos="3315"/>
        </w:tabs>
        <w:spacing w:after="0" w:line="360" w:lineRule="auto"/>
        <w:jc w:val="both"/>
        <w:rPr>
          <w:rFonts w:ascii="Book Antiqua" w:hAnsi="Book Antiqua" w:cs="Times New Roman"/>
          <w:bCs/>
          <w:color w:val="000000" w:themeColor="text1"/>
          <w:kern w:val="2"/>
          <w:sz w:val="22"/>
          <w:szCs w:val="22"/>
          <w:lang w:val="en-US" w:eastAsia="sr-Latn-ME"/>
        </w:rPr>
      </w:pPr>
      <w:r>
        <w:rPr>
          <w:rFonts w:ascii="Book Antiqua" w:hAnsi="Book Antiqua" w:cs="Times New Roman"/>
          <w:b/>
          <w:color w:val="000000" w:themeColor="text1"/>
          <w:kern w:val="2"/>
          <w:sz w:val="22"/>
          <w:szCs w:val="22"/>
          <w:lang w:val="en-US" w:eastAsia="sr-Latn-ME"/>
        </w:rPr>
        <w:t>Grafikon 6</w:t>
      </w:r>
      <w:r>
        <w:rPr>
          <w:rFonts w:ascii="Book Antiqua" w:hAnsi="Book Antiqua" w:cs="Times New Roman"/>
          <w:bCs/>
          <w:color w:val="000000" w:themeColor="text1"/>
          <w:kern w:val="2"/>
          <w:sz w:val="22"/>
          <w:szCs w:val="22"/>
          <w:lang w:val="en-US" w:eastAsia="sr-Latn-ME"/>
        </w:rPr>
        <w:t xml:space="preserve">. Procenat lastara kolonizovanih patogenima u kontroli i tretmanima </w:t>
      </w:r>
    </w:p>
    <w:p w14:paraId="3F562FDF" w14:textId="77777777" w:rsidR="003801E8" w:rsidRDefault="003801E8">
      <w:pPr>
        <w:tabs>
          <w:tab w:val="left" w:pos="3315"/>
        </w:tabs>
        <w:spacing w:after="0" w:line="360" w:lineRule="auto"/>
        <w:jc w:val="both"/>
        <w:rPr>
          <w:rFonts w:ascii="Book Antiqua" w:hAnsi="Book Antiqua" w:cs="Times New Roman"/>
          <w:bCs/>
          <w:color w:val="000000" w:themeColor="text1"/>
          <w:kern w:val="2"/>
          <w:sz w:val="22"/>
          <w:szCs w:val="22"/>
          <w:lang w:val="en-US" w:eastAsia="sr-Latn-ME"/>
        </w:rPr>
      </w:pPr>
    </w:p>
    <w:p w14:paraId="6877591F" w14:textId="77777777" w:rsidR="003801E8" w:rsidRDefault="003801E8">
      <w:pPr>
        <w:tabs>
          <w:tab w:val="left" w:pos="3315"/>
        </w:tabs>
        <w:spacing w:after="0" w:line="360" w:lineRule="auto"/>
        <w:jc w:val="both"/>
        <w:rPr>
          <w:rFonts w:ascii="Book Antiqua" w:hAnsi="Book Antiqua" w:cs="Times New Roman"/>
          <w:b/>
          <w:color w:val="000000" w:themeColor="text1"/>
          <w:kern w:val="2"/>
          <w:sz w:val="22"/>
          <w:szCs w:val="22"/>
          <w:lang w:val="en-US" w:eastAsia="sr-Latn-ME"/>
        </w:rPr>
      </w:pPr>
    </w:p>
    <w:p w14:paraId="45A2F5AB" w14:textId="77777777" w:rsidR="003801E8" w:rsidRDefault="00E44AAE">
      <w:pPr>
        <w:tabs>
          <w:tab w:val="left" w:pos="3315"/>
        </w:tabs>
        <w:spacing w:after="0" w:line="360" w:lineRule="auto"/>
        <w:jc w:val="both"/>
        <w:rPr>
          <w:rFonts w:ascii="Book Antiqua" w:hAnsi="Book Antiqua" w:cs="Times New Roman"/>
          <w:bCs/>
          <w:color w:val="000000" w:themeColor="text1"/>
          <w:kern w:val="2"/>
          <w:sz w:val="22"/>
          <w:szCs w:val="22"/>
          <w:lang w:val="en-US" w:eastAsia="sr-Latn-ME"/>
        </w:rPr>
      </w:pPr>
      <w:r>
        <w:rPr>
          <w:rFonts w:ascii="Book Antiqua" w:hAnsi="Book Antiqua" w:cs="Times New Roman"/>
          <w:b/>
          <w:color w:val="000000" w:themeColor="text1"/>
          <w:kern w:val="2"/>
          <w:sz w:val="22"/>
          <w:szCs w:val="22"/>
          <w:lang w:val="en-US" w:eastAsia="sr-Latn-ME"/>
        </w:rPr>
        <w:t>Tabela 26</w:t>
      </w:r>
      <w:r>
        <w:rPr>
          <w:rFonts w:ascii="Book Antiqua" w:hAnsi="Book Antiqua" w:cs="Times New Roman"/>
          <w:bCs/>
          <w:color w:val="000000" w:themeColor="text1"/>
          <w:kern w:val="2"/>
          <w:sz w:val="22"/>
          <w:szCs w:val="22"/>
          <w:lang w:val="en-US" w:eastAsia="sr-Latn-ME"/>
        </w:rPr>
        <w:t xml:space="preserve">. Procenat reizolacije </w:t>
      </w:r>
      <w:r>
        <w:rPr>
          <w:rFonts w:ascii="Book Antiqua" w:hAnsi="Book Antiqua" w:cs="Times New Roman"/>
          <w:bCs/>
          <w:i/>
          <w:iCs/>
          <w:color w:val="000000" w:themeColor="text1"/>
          <w:kern w:val="2"/>
          <w:sz w:val="22"/>
          <w:szCs w:val="22"/>
          <w:lang w:val="en-US" w:eastAsia="sr-Latn-ME"/>
        </w:rPr>
        <w:t xml:space="preserve">N. parvum </w:t>
      </w:r>
      <w:r>
        <w:rPr>
          <w:rFonts w:ascii="Book Antiqua" w:hAnsi="Book Antiqua" w:cs="Times New Roman"/>
          <w:bCs/>
          <w:color w:val="000000" w:themeColor="text1"/>
          <w:kern w:val="2"/>
          <w:sz w:val="22"/>
          <w:szCs w:val="22"/>
          <w:lang w:val="en-US" w:eastAsia="sr-Latn-ME"/>
        </w:rPr>
        <w:t xml:space="preserve">mnsm23, </w:t>
      </w:r>
      <w:r>
        <w:rPr>
          <w:rFonts w:ascii="Book Antiqua" w:hAnsi="Book Antiqua" w:cs="Times New Roman"/>
          <w:bCs/>
          <w:i/>
          <w:iCs/>
          <w:color w:val="000000" w:themeColor="text1"/>
          <w:kern w:val="2"/>
          <w:sz w:val="22"/>
          <w:szCs w:val="22"/>
          <w:lang w:val="en-US" w:eastAsia="sr-Latn-ME"/>
        </w:rPr>
        <w:t>P. minimum</w:t>
      </w:r>
      <w:r>
        <w:rPr>
          <w:rFonts w:ascii="Book Antiqua" w:hAnsi="Book Antiqua" w:cs="Times New Roman"/>
          <w:bCs/>
          <w:color w:val="000000" w:themeColor="text1"/>
          <w:kern w:val="2"/>
          <w:sz w:val="22"/>
          <w:szCs w:val="22"/>
          <w:lang w:val="en-US" w:eastAsia="sr-Latn-ME"/>
        </w:rPr>
        <w:t xml:space="preserve"> MN002 i </w:t>
      </w:r>
      <w:r>
        <w:rPr>
          <w:rFonts w:ascii="Book Antiqua" w:hAnsi="Book Antiqua" w:cs="Times New Roman"/>
          <w:bCs/>
          <w:i/>
          <w:iCs/>
          <w:color w:val="000000" w:themeColor="text1"/>
          <w:kern w:val="2"/>
          <w:sz w:val="22"/>
          <w:szCs w:val="22"/>
          <w:lang w:val="en-US" w:eastAsia="sr-Latn-ME"/>
        </w:rPr>
        <w:t>P. chlamydospora</w:t>
      </w:r>
      <w:r>
        <w:rPr>
          <w:rFonts w:ascii="Book Antiqua" w:hAnsi="Book Antiqua" w:cs="Times New Roman"/>
          <w:bCs/>
          <w:color w:val="000000" w:themeColor="text1"/>
          <w:kern w:val="2"/>
          <w:sz w:val="22"/>
          <w:szCs w:val="22"/>
          <w:lang w:val="en-US" w:eastAsia="sr-Latn-ME"/>
        </w:rPr>
        <w:t xml:space="preserve"> MN011 u tretmanima i kontroli  po dubini inokulisanih lastara</w:t>
      </w:r>
    </w:p>
    <w:p w14:paraId="17B7812F" w14:textId="77777777" w:rsidR="003801E8" w:rsidRDefault="003801E8">
      <w:pPr>
        <w:tabs>
          <w:tab w:val="left" w:pos="3315"/>
        </w:tabs>
        <w:spacing w:after="0" w:line="360" w:lineRule="auto"/>
        <w:jc w:val="both"/>
        <w:rPr>
          <w:rFonts w:ascii="Book Antiqua" w:hAnsi="Book Antiqua" w:cs="Times New Roman"/>
          <w:bCs/>
          <w:color w:val="000000" w:themeColor="text1"/>
          <w:kern w:val="2"/>
          <w:sz w:val="24"/>
          <w:szCs w:val="24"/>
          <w:lang w:val="en-US" w:eastAsia="sr-Latn-ME"/>
        </w:rPr>
      </w:pPr>
    </w:p>
    <w:tbl>
      <w:tblPr>
        <w:tblStyle w:val="TableGrid"/>
        <w:tblW w:w="0" w:type="auto"/>
        <w:tblLook w:val="04A0" w:firstRow="1" w:lastRow="0" w:firstColumn="1" w:lastColumn="0" w:noHBand="0" w:noVBand="1"/>
      </w:tblPr>
      <w:tblGrid>
        <w:gridCol w:w="2138"/>
        <w:gridCol w:w="1391"/>
        <w:gridCol w:w="1244"/>
        <w:gridCol w:w="1243"/>
        <w:gridCol w:w="1244"/>
        <w:gridCol w:w="1244"/>
      </w:tblGrid>
      <w:tr w:rsidR="003801E8" w14:paraId="22043E35" w14:textId="77777777">
        <w:tc>
          <w:tcPr>
            <w:tcW w:w="2238" w:type="dxa"/>
            <w:tcBorders>
              <w:left w:val="nil"/>
              <w:right w:val="nil"/>
            </w:tcBorders>
          </w:tcPr>
          <w:p w14:paraId="75E3964D" w14:textId="77777777" w:rsidR="003801E8" w:rsidRDefault="00E44AAE">
            <w:pPr>
              <w:tabs>
                <w:tab w:val="left" w:pos="3315"/>
              </w:tabs>
              <w:spacing w:after="0" w:line="360" w:lineRule="auto"/>
              <w:jc w:val="both"/>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 xml:space="preserve">Tretman </w:t>
            </w:r>
          </w:p>
        </w:tc>
        <w:tc>
          <w:tcPr>
            <w:tcW w:w="1443" w:type="dxa"/>
            <w:tcBorders>
              <w:left w:val="nil"/>
              <w:right w:val="nil"/>
            </w:tcBorders>
          </w:tcPr>
          <w:p w14:paraId="370A0AF3"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Zona novog lastara (%)</w:t>
            </w:r>
          </w:p>
        </w:tc>
        <w:tc>
          <w:tcPr>
            <w:tcW w:w="1276" w:type="dxa"/>
            <w:tcBorders>
              <w:left w:val="nil"/>
              <w:right w:val="nil"/>
            </w:tcBorders>
          </w:tcPr>
          <w:p w14:paraId="1752D33D"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Dubina 1–2 cm (%)</w:t>
            </w:r>
          </w:p>
        </w:tc>
        <w:tc>
          <w:tcPr>
            <w:tcW w:w="1275" w:type="dxa"/>
            <w:tcBorders>
              <w:left w:val="nil"/>
              <w:right w:val="nil"/>
            </w:tcBorders>
          </w:tcPr>
          <w:p w14:paraId="5F7E7F29"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Dubina 2-3 cm (%)</w:t>
            </w:r>
          </w:p>
        </w:tc>
        <w:tc>
          <w:tcPr>
            <w:tcW w:w="1276" w:type="dxa"/>
            <w:tcBorders>
              <w:left w:val="nil"/>
              <w:right w:val="nil"/>
            </w:tcBorders>
          </w:tcPr>
          <w:p w14:paraId="12E123FC"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Dubina 3-4 cm (%)</w:t>
            </w:r>
          </w:p>
        </w:tc>
        <w:tc>
          <w:tcPr>
            <w:tcW w:w="1276" w:type="dxa"/>
            <w:tcBorders>
              <w:left w:val="nil"/>
              <w:right w:val="nil"/>
            </w:tcBorders>
          </w:tcPr>
          <w:p w14:paraId="622E3716"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Dubina 4-5 cm (%)</w:t>
            </w:r>
          </w:p>
        </w:tc>
      </w:tr>
      <w:tr w:rsidR="003801E8" w14:paraId="61E963BC" w14:textId="77777777">
        <w:tc>
          <w:tcPr>
            <w:tcW w:w="2238" w:type="dxa"/>
            <w:tcBorders>
              <w:left w:val="nil"/>
              <w:right w:val="nil"/>
            </w:tcBorders>
          </w:tcPr>
          <w:p w14:paraId="17D32A5C"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Kontrola (-)</w:t>
            </w:r>
          </w:p>
        </w:tc>
        <w:tc>
          <w:tcPr>
            <w:tcW w:w="1443" w:type="dxa"/>
            <w:tcBorders>
              <w:left w:val="nil"/>
              <w:right w:val="nil"/>
            </w:tcBorders>
          </w:tcPr>
          <w:p w14:paraId="1B0CBA41"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5252173E"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5" w:type="dxa"/>
            <w:tcBorders>
              <w:left w:val="nil"/>
              <w:right w:val="nil"/>
            </w:tcBorders>
          </w:tcPr>
          <w:p w14:paraId="3252983D"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25A73986"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1B568999"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r>
      <w:tr w:rsidR="003801E8" w14:paraId="402E3D05" w14:textId="77777777">
        <w:tc>
          <w:tcPr>
            <w:tcW w:w="2238" w:type="dxa"/>
            <w:tcBorders>
              <w:left w:val="nil"/>
              <w:right w:val="nil"/>
            </w:tcBorders>
          </w:tcPr>
          <w:p w14:paraId="51A40321"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 xml:space="preserve">Kontrola (+) </w:t>
            </w:r>
            <w:r>
              <w:rPr>
                <w:rFonts w:ascii="Book Antiqua" w:hAnsi="Book Antiqua" w:cs="Times New Roman"/>
                <w:bCs/>
                <w:i/>
                <w:iCs/>
                <w:color w:val="000000" w:themeColor="text1"/>
                <w:kern w:val="2"/>
                <w:sz w:val="18"/>
                <w:szCs w:val="18"/>
                <w:lang w:val="en-US" w:eastAsia="sr-Latn-ME"/>
              </w:rPr>
              <w:t>N. par</w:t>
            </w:r>
          </w:p>
        </w:tc>
        <w:tc>
          <w:tcPr>
            <w:tcW w:w="1443" w:type="dxa"/>
            <w:tcBorders>
              <w:left w:val="nil"/>
              <w:right w:val="nil"/>
            </w:tcBorders>
          </w:tcPr>
          <w:p w14:paraId="1C18EF0B"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03973B9D"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69,44</w:t>
            </w:r>
          </w:p>
        </w:tc>
        <w:tc>
          <w:tcPr>
            <w:tcW w:w="1275" w:type="dxa"/>
            <w:tcBorders>
              <w:left w:val="nil"/>
              <w:right w:val="nil"/>
            </w:tcBorders>
          </w:tcPr>
          <w:p w14:paraId="5BD69581"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30,56</w:t>
            </w:r>
          </w:p>
        </w:tc>
        <w:tc>
          <w:tcPr>
            <w:tcW w:w="1276" w:type="dxa"/>
            <w:tcBorders>
              <w:left w:val="nil"/>
              <w:right w:val="nil"/>
            </w:tcBorders>
          </w:tcPr>
          <w:p w14:paraId="52325ACA"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16,67</w:t>
            </w:r>
          </w:p>
        </w:tc>
        <w:tc>
          <w:tcPr>
            <w:tcW w:w="1276" w:type="dxa"/>
            <w:tcBorders>
              <w:left w:val="nil"/>
              <w:right w:val="nil"/>
            </w:tcBorders>
          </w:tcPr>
          <w:p w14:paraId="70D1EAEB"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r>
      <w:tr w:rsidR="003801E8" w14:paraId="31316649" w14:textId="77777777">
        <w:tc>
          <w:tcPr>
            <w:tcW w:w="2238" w:type="dxa"/>
            <w:tcBorders>
              <w:left w:val="nil"/>
              <w:right w:val="nil"/>
            </w:tcBorders>
          </w:tcPr>
          <w:p w14:paraId="48E7C833"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 xml:space="preserve">Kontrola (+) </w:t>
            </w:r>
            <w:r>
              <w:rPr>
                <w:rFonts w:ascii="Book Antiqua" w:hAnsi="Book Antiqua" w:cs="Times New Roman"/>
                <w:bCs/>
                <w:i/>
                <w:iCs/>
                <w:color w:val="000000" w:themeColor="text1"/>
                <w:kern w:val="2"/>
                <w:sz w:val="18"/>
                <w:szCs w:val="18"/>
                <w:lang w:val="en-US" w:eastAsia="sr-Latn-ME"/>
              </w:rPr>
              <w:t>P. min</w:t>
            </w:r>
          </w:p>
        </w:tc>
        <w:tc>
          <w:tcPr>
            <w:tcW w:w="1443" w:type="dxa"/>
            <w:tcBorders>
              <w:left w:val="nil"/>
              <w:right w:val="nil"/>
            </w:tcBorders>
          </w:tcPr>
          <w:p w14:paraId="7EF82F21"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123506B1"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63,89</w:t>
            </w:r>
          </w:p>
        </w:tc>
        <w:tc>
          <w:tcPr>
            <w:tcW w:w="1275" w:type="dxa"/>
            <w:tcBorders>
              <w:left w:val="nil"/>
              <w:right w:val="nil"/>
            </w:tcBorders>
          </w:tcPr>
          <w:p w14:paraId="174E77F7"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25,00</w:t>
            </w:r>
          </w:p>
        </w:tc>
        <w:tc>
          <w:tcPr>
            <w:tcW w:w="1276" w:type="dxa"/>
            <w:tcBorders>
              <w:left w:val="nil"/>
              <w:right w:val="nil"/>
            </w:tcBorders>
          </w:tcPr>
          <w:p w14:paraId="385CF308"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60E44B80"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r>
      <w:tr w:rsidR="003801E8" w14:paraId="4AC8D9EF" w14:textId="77777777">
        <w:tc>
          <w:tcPr>
            <w:tcW w:w="2238" w:type="dxa"/>
            <w:tcBorders>
              <w:left w:val="nil"/>
              <w:right w:val="nil"/>
            </w:tcBorders>
          </w:tcPr>
          <w:p w14:paraId="4F2DD0DD"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 xml:space="preserve">Kontrola (+)  </w:t>
            </w:r>
            <w:r>
              <w:rPr>
                <w:rFonts w:ascii="Book Antiqua" w:hAnsi="Book Antiqua" w:cs="Times New Roman"/>
                <w:bCs/>
                <w:i/>
                <w:iCs/>
                <w:color w:val="000000" w:themeColor="text1"/>
                <w:kern w:val="2"/>
                <w:sz w:val="18"/>
                <w:szCs w:val="18"/>
                <w:lang w:val="en-US" w:eastAsia="sr-Latn-ME"/>
              </w:rPr>
              <w:t>P.chl</w:t>
            </w:r>
          </w:p>
        </w:tc>
        <w:tc>
          <w:tcPr>
            <w:tcW w:w="1443" w:type="dxa"/>
            <w:tcBorders>
              <w:left w:val="nil"/>
              <w:right w:val="nil"/>
            </w:tcBorders>
          </w:tcPr>
          <w:p w14:paraId="2BB2A007"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7EB1FC0A"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41,67</w:t>
            </w:r>
          </w:p>
        </w:tc>
        <w:tc>
          <w:tcPr>
            <w:tcW w:w="1275" w:type="dxa"/>
            <w:tcBorders>
              <w:left w:val="nil"/>
              <w:right w:val="nil"/>
            </w:tcBorders>
          </w:tcPr>
          <w:p w14:paraId="0D1F0120"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16,67</w:t>
            </w:r>
          </w:p>
        </w:tc>
        <w:tc>
          <w:tcPr>
            <w:tcW w:w="1276" w:type="dxa"/>
            <w:tcBorders>
              <w:left w:val="nil"/>
              <w:right w:val="nil"/>
            </w:tcBorders>
          </w:tcPr>
          <w:p w14:paraId="797AD4E8"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7846AF88"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r>
      <w:tr w:rsidR="003801E8" w14:paraId="6330A9BB" w14:textId="77777777">
        <w:tc>
          <w:tcPr>
            <w:tcW w:w="2238" w:type="dxa"/>
            <w:tcBorders>
              <w:left w:val="nil"/>
              <w:right w:val="nil"/>
            </w:tcBorders>
          </w:tcPr>
          <w:p w14:paraId="165D8476"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i/>
                <w:iCs/>
                <w:color w:val="000000" w:themeColor="text1"/>
                <w:kern w:val="2"/>
                <w:sz w:val="18"/>
                <w:szCs w:val="18"/>
                <w:lang w:val="en-US" w:eastAsia="sr-Latn-ME"/>
              </w:rPr>
              <w:t>N. par</w:t>
            </w:r>
            <w:r>
              <w:rPr>
                <w:rFonts w:ascii="Book Antiqua" w:hAnsi="Book Antiqua" w:cs="Times New Roman"/>
                <w:bCs/>
                <w:color w:val="000000" w:themeColor="text1"/>
                <w:kern w:val="2"/>
                <w:sz w:val="18"/>
                <w:szCs w:val="18"/>
                <w:lang w:val="en-US" w:eastAsia="sr-Latn-ME"/>
              </w:rPr>
              <w:t xml:space="preserve"> x </w:t>
            </w:r>
            <w:r>
              <w:rPr>
                <w:rFonts w:ascii="Book Antiqua" w:hAnsi="Book Antiqua" w:cs="Times New Roman"/>
                <w:bCs/>
                <w:i/>
                <w:iCs/>
                <w:color w:val="000000" w:themeColor="text1"/>
                <w:kern w:val="2"/>
                <w:sz w:val="18"/>
                <w:szCs w:val="18"/>
                <w:lang w:val="en-US" w:eastAsia="sr-Latn-ME"/>
              </w:rPr>
              <w:t>T. cit</w:t>
            </w:r>
          </w:p>
        </w:tc>
        <w:tc>
          <w:tcPr>
            <w:tcW w:w="1443" w:type="dxa"/>
            <w:tcBorders>
              <w:left w:val="nil"/>
              <w:right w:val="nil"/>
            </w:tcBorders>
          </w:tcPr>
          <w:p w14:paraId="1CAF6628"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0FEEC45B"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22,22</w:t>
            </w:r>
          </w:p>
        </w:tc>
        <w:tc>
          <w:tcPr>
            <w:tcW w:w="1275" w:type="dxa"/>
            <w:tcBorders>
              <w:left w:val="nil"/>
              <w:right w:val="nil"/>
            </w:tcBorders>
          </w:tcPr>
          <w:p w14:paraId="55EF96E6"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8,33</w:t>
            </w:r>
          </w:p>
        </w:tc>
        <w:tc>
          <w:tcPr>
            <w:tcW w:w="1276" w:type="dxa"/>
            <w:tcBorders>
              <w:left w:val="nil"/>
              <w:right w:val="nil"/>
            </w:tcBorders>
          </w:tcPr>
          <w:p w14:paraId="637CC61A"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44C8B766"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r>
      <w:tr w:rsidR="003801E8" w14:paraId="776C2672" w14:textId="77777777">
        <w:tc>
          <w:tcPr>
            <w:tcW w:w="2238" w:type="dxa"/>
            <w:tcBorders>
              <w:left w:val="nil"/>
              <w:right w:val="nil"/>
            </w:tcBorders>
          </w:tcPr>
          <w:p w14:paraId="5CEC576E"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i/>
                <w:iCs/>
                <w:color w:val="000000" w:themeColor="text1"/>
                <w:kern w:val="2"/>
                <w:sz w:val="18"/>
                <w:szCs w:val="18"/>
                <w:lang w:val="en-US" w:eastAsia="sr-Latn-ME"/>
              </w:rPr>
              <w:t>N. par</w:t>
            </w:r>
            <w:r>
              <w:rPr>
                <w:rFonts w:ascii="Book Antiqua" w:hAnsi="Book Antiqua" w:cs="Times New Roman"/>
                <w:bCs/>
                <w:color w:val="000000" w:themeColor="text1"/>
                <w:kern w:val="2"/>
                <w:sz w:val="18"/>
                <w:szCs w:val="18"/>
                <w:lang w:val="en-US" w:eastAsia="sr-Latn-ME"/>
              </w:rPr>
              <w:t xml:space="preserve"> x </w:t>
            </w:r>
            <w:r>
              <w:rPr>
                <w:rFonts w:ascii="Book Antiqua" w:hAnsi="Book Antiqua" w:cs="Times New Roman"/>
                <w:bCs/>
                <w:i/>
                <w:iCs/>
                <w:color w:val="000000" w:themeColor="text1"/>
                <w:kern w:val="2"/>
                <w:sz w:val="18"/>
                <w:szCs w:val="18"/>
                <w:lang w:val="en-US" w:eastAsia="sr-Latn-ME"/>
              </w:rPr>
              <w:t>T. atr</w:t>
            </w:r>
            <w:r>
              <w:rPr>
                <w:rFonts w:ascii="Book Antiqua" w:hAnsi="Book Antiqua" w:cs="Times New Roman"/>
                <w:bCs/>
                <w:color w:val="000000" w:themeColor="text1"/>
                <w:kern w:val="2"/>
                <w:sz w:val="18"/>
                <w:szCs w:val="18"/>
                <w:lang w:val="en-US" w:eastAsia="sr-Latn-ME"/>
              </w:rPr>
              <w:t>SC1</w:t>
            </w:r>
          </w:p>
        </w:tc>
        <w:tc>
          <w:tcPr>
            <w:tcW w:w="1443" w:type="dxa"/>
            <w:tcBorders>
              <w:left w:val="nil"/>
              <w:right w:val="nil"/>
            </w:tcBorders>
          </w:tcPr>
          <w:p w14:paraId="71E2F166"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2A53B91D"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25,00</w:t>
            </w:r>
          </w:p>
        </w:tc>
        <w:tc>
          <w:tcPr>
            <w:tcW w:w="1275" w:type="dxa"/>
            <w:tcBorders>
              <w:left w:val="nil"/>
              <w:right w:val="nil"/>
            </w:tcBorders>
          </w:tcPr>
          <w:p w14:paraId="68F1461B"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5,56</w:t>
            </w:r>
          </w:p>
        </w:tc>
        <w:tc>
          <w:tcPr>
            <w:tcW w:w="1276" w:type="dxa"/>
            <w:tcBorders>
              <w:left w:val="nil"/>
              <w:right w:val="nil"/>
            </w:tcBorders>
          </w:tcPr>
          <w:p w14:paraId="0B1B58F9"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2,78</w:t>
            </w:r>
          </w:p>
        </w:tc>
        <w:tc>
          <w:tcPr>
            <w:tcW w:w="1276" w:type="dxa"/>
            <w:tcBorders>
              <w:left w:val="nil"/>
              <w:right w:val="nil"/>
            </w:tcBorders>
          </w:tcPr>
          <w:p w14:paraId="3330EFCC"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r>
      <w:tr w:rsidR="003801E8" w14:paraId="591EB577" w14:textId="77777777">
        <w:tc>
          <w:tcPr>
            <w:tcW w:w="2238" w:type="dxa"/>
            <w:tcBorders>
              <w:left w:val="nil"/>
              <w:right w:val="nil"/>
            </w:tcBorders>
          </w:tcPr>
          <w:p w14:paraId="0B0BCC3E"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i/>
                <w:iCs/>
                <w:color w:val="000000" w:themeColor="text1"/>
                <w:kern w:val="2"/>
                <w:sz w:val="18"/>
                <w:szCs w:val="18"/>
                <w:lang w:val="en-US" w:eastAsia="sr-Latn-ME"/>
              </w:rPr>
              <w:t>P. min</w:t>
            </w:r>
            <w:r>
              <w:rPr>
                <w:rFonts w:ascii="Book Antiqua" w:hAnsi="Book Antiqua" w:cs="Times New Roman"/>
                <w:bCs/>
                <w:color w:val="000000" w:themeColor="text1"/>
                <w:kern w:val="2"/>
                <w:sz w:val="18"/>
                <w:szCs w:val="18"/>
                <w:lang w:val="en-US" w:eastAsia="sr-Latn-ME"/>
              </w:rPr>
              <w:t xml:space="preserve"> x </w:t>
            </w:r>
            <w:r>
              <w:rPr>
                <w:rFonts w:ascii="Book Antiqua" w:hAnsi="Book Antiqua" w:cs="Times New Roman"/>
                <w:bCs/>
                <w:i/>
                <w:iCs/>
                <w:color w:val="000000" w:themeColor="text1"/>
                <w:kern w:val="2"/>
                <w:sz w:val="18"/>
                <w:szCs w:val="18"/>
                <w:lang w:val="en-US" w:eastAsia="sr-Latn-ME"/>
              </w:rPr>
              <w:t>T. cit</w:t>
            </w:r>
          </w:p>
        </w:tc>
        <w:tc>
          <w:tcPr>
            <w:tcW w:w="1443" w:type="dxa"/>
            <w:tcBorders>
              <w:left w:val="nil"/>
              <w:right w:val="nil"/>
            </w:tcBorders>
          </w:tcPr>
          <w:p w14:paraId="5EA71E7E"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4C49BBE9"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13,89</w:t>
            </w:r>
          </w:p>
        </w:tc>
        <w:tc>
          <w:tcPr>
            <w:tcW w:w="1275" w:type="dxa"/>
            <w:tcBorders>
              <w:left w:val="nil"/>
              <w:right w:val="nil"/>
            </w:tcBorders>
          </w:tcPr>
          <w:p w14:paraId="43BAC850"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2,78</w:t>
            </w:r>
          </w:p>
        </w:tc>
        <w:tc>
          <w:tcPr>
            <w:tcW w:w="1276" w:type="dxa"/>
            <w:tcBorders>
              <w:left w:val="nil"/>
              <w:right w:val="nil"/>
            </w:tcBorders>
          </w:tcPr>
          <w:p w14:paraId="6FA389C3"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6FE902D6"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r>
      <w:tr w:rsidR="003801E8" w14:paraId="6A1CB17B" w14:textId="77777777">
        <w:tc>
          <w:tcPr>
            <w:tcW w:w="2238" w:type="dxa"/>
            <w:tcBorders>
              <w:left w:val="nil"/>
              <w:right w:val="nil"/>
            </w:tcBorders>
          </w:tcPr>
          <w:p w14:paraId="0A247B76"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i/>
                <w:iCs/>
                <w:color w:val="000000" w:themeColor="text1"/>
                <w:kern w:val="2"/>
                <w:sz w:val="18"/>
                <w:szCs w:val="18"/>
                <w:lang w:val="en-US" w:eastAsia="sr-Latn-ME"/>
              </w:rPr>
              <w:t>P. min</w:t>
            </w:r>
            <w:r>
              <w:rPr>
                <w:rFonts w:ascii="Book Antiqua" w:hAnsi="Book Antiqua" w:cs="Times New Roman"/>
                <w:bCs/>
                <w:color w:val="000000" w:themeColor="text1"/>
                <w:kern w:val="2"/>
                <w:sz w:val="18"/>
                <w:szCs w:val="18"/>
                <w:lang w:val="en-US" w:eastAsia="sr-Latn-ME"/>
              </w:rPr>
              <w:t xml:space="preserve"> x </w:t>
            </w:r>
            <w:r>
              <w:rPr>
                <w:rFonts w:ascii="Book Antiqua" w:hAnsi="Book Antiqua" w:cs="Times New Roman"/>
                <w:bCs/>
                <w:i/>
                <w:iCs/>
                <w:color w:val="000000" w:themeColor="text1"/>
                <w:kern w:val="2"/>
                <w:sz w:val="18"/>
                <w:szCs w:val="18"/>
                <w:lang w:val="en-US" w:eastAsia="sr-Latn-ME"/>
              </w:rPr>
              <w:t xml:space="preserve">T. atr </w:t>
            </w:r>
            <w:r>
              <w:rPr>
                <w:rFonts w:ascii="Book Antiqua" w:hAnsi="Book Antiqua" w:cs="Times New Roman"/>
                <w:bCs/>
                <w:color w:val="000000" w:themeColor="text1"/>
                <w:kern w:val="2"/>
                <w:sz w:val="18"/>
                <w:szCs w:val="18"/>
                <w:lang w:val="en-US" w:eastAsia="sr-Latn-ME"/>
              </w:rPr>
              <w:t>SC1</w:t>
            </w:r>
          </w:p>
        </w:tc>
        <w:tc>
          <w:tcPr>
            <w:tcW w:w="1443" w:type="dxa"/>
            <w:tcBorders>
              <w:left w:val="nil"/>
              <w:right w:val="nil"/>
            </w:tcBorders>
          </w:tcPr>
          <w:p w14:paraId="34A1208E"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246AB464"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11,11</w:t>
            </w:r>
          </w:p>
        </w:tc>
        <w:tc>
          <w:tcPr>
            <w:tcW w:w="1275" w:type="dxa"/>
            <w:tcBorders>
              <w:left w:val="nil"/>
              <w:right w:val="nil"/>
            </w:tcBorders>
          </w:tcPr>
          <w:p w14:paraId="2C971AC6"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5,56</w:t>
            </w:r>
          </w:p>
        </w:tc>
        <w:tc>
          <w:tcPr>
            <w:tcW w:w="1276" w:type="dxa"/>
            <w:tcBorders>
              <w:left w:val="nil"/>
              <w:right w:val="nil"/>
            </w:tcBorders>
          </w:tcPr>
          <w:p w14:paraId="3BEAEB7B"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3E58A773"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r>
      <w:tr w:rsidR="003801E8" w14:paraId="3EA4B3CA" w14:textId="77777777">
        <w:tc>
          <w:tcPr>
            <w:tcW w:w="2238" w:type="dxa"/>
            <w:tcBorders>
              <w:left w:val="nil"/>
              <w:right w:val="nil"/>
            </w:tcBorders>
          </w:tcPr>
          <w:p w14:paraId="69D19931"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i/>
                <w:iCs/>
                <w:color w:val="000000" w:themeColor="text1"/>
                <w:kern w:val="2"/>
                <w:sz w:val="18"/>
                <w:szCs w:val="18"/>
                <w:lang w:val="en-US" w:eastAsia="sr-Latn-ME"/>
              </w:rPr>
              <w:t>P. chl</w:t>
            </w:r>
            <w:r>
              <w:rPr>
                <w:rFonts w:ascii="Book Antiqua" w:hAnsi="Book Antiqua" w:cs="Times New Roman"/>
                <w:bCs/>
                <w:color w:val="000000" w:themeColor="text1"/>
                <w:kern w:val="2"/>
                <w:sz w:val="18"/>
                <w:szCs w:val="18"/>
                <w:lang w:val="en-US" w:eastAsia="sr-Latn-ME"/>
              </w:rPr>
              <w:t xml:space="preserve"> x </w:t>
            </w:r>
            <w:r>
              <w:rPr>
                <w:rFonts w:ascii="Book Antiqua" w:hAnsi="Book Antiqua" w:cs="Times New Roman"/>
                <w:bCs/>
                <w:i/>
                <w:iCs/>
                <w:color w:val="000000" w:themeColor="text1"/>
                <w:kern w:val="2"/>
                <w:sz w:val="18"/>
                <w:szCs w:val="18"/>
                <w:lang w:val="en-US" w:eastAsia="sr-Latn-ME"/>
              </w:rPr>
              <w:t>T. cit</w:t>
            </w:r>
          </w:p>
        </w:tc>
        <w:tc>
          <w:tcPr>
            <w:tcW w:w="1443" w:type="dxa"/>
            <w:tcBorders>
              <w:left w:val="nil"/>
              <w:right w:val="nil"/>
            </w:tcBorders>
          </w:tcPr>
          <w:p w14:paraId="28EEE104"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6F3B25BA"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5" w:type="dxa"/>
            <w:tcBorders>
              <w:left w:val="nil"/>
              <w:right w:val="nil"/>
            </w:tcBorders>
          </w:tcPr>
          <w:p w14:paraId="4B233127"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20218441"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40DB7859"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r>
      <w:tr w:rsidR="003801E8" w14:paraId="389271EF" w14:textId="77777777">
        <w:tc>
          <w:tcPr>
            <w:tcW w:w="2238" w:type="dxa"/>
            <w:tcBorders>
              <w:left w:val="nil"/>
              <w:right w:val="nil"/>
            </w:tcBorders>
          </w:tcPr>
          <w:p w14:paraId="4F9234D5"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i/>
                <w:iCs/>
                <w:color w:val="000000" w:themeColor="text1"/>
                <w:kern w:val="2"/>
                <w:sz w:val="18"/>
                <w:szCs w:val="18"/>
                <w:lang w:val="en-US" w:eastAsia="sr-Latn-ME"/>
              </w:rPr>
              <w:t>P. chl</w:t>
            </w:r>
            <w:r>
              <w:rPr>
                <w:rFonts w:ascii="Book Antiqua" w:hAnsi="Book Antiqua" w:cs="Times New Roman"/>
                <w:bCs/>
                <w:color w:val="000000" w:themeColor="text1"/>
                <w:kern w:val="2"/>
                <w:sz w:val="18"/>
                <w:szCs w:val="18"/>
                <w:lang w:val="en-US" w:eastAsia="sr-Latn-ME"/>
              </w:rPr>
              <w:t xml:space="preserve"> x </w:t>
            </w:r>
            <w:r>
              <w:rPr>
                <w:rFonts w:ascii="Book Antiqua" w:hAnsi="Book Antiqua" w:cs="Times New Roman"/>
                <w:bCs/>
                <w:i/>
                <w:iCs/>
                <w:color w:val="000000" w:themeColor="text1"/>
                <w:kern w:val="2"/>
                <w:sz w:val="18"/>
                <w:szCs w:val="18"/>
                <w:lang w:val="en-US" w:eastAsia="sr-Latn-ME"/>
              </w:rPr>
              <w:t xml:space="preserve">T. atr </w:t>
            </w:r>
            <w:r>
              <w:rPr>
                <w:rFonts w:ascii="Book Antiqua" w:hAnsi="Book Antiqua" w:cs="Times New Roman"/>
                <w:bCs/>
                <w:color w:val="000000" w:themeColor="text1"/>
                <w:kern w:val="2"/>
                <w:sz w:val="18"/>
                <w:szCs w:val="18"/>
                <w:lang w:val="en-US" w:eastAsia="sr-Latn-ME"/>
              </w:rPr>
              <w:t>SC1</w:t>
            </w:r>
          </w:p>
        </w:tc>
        <w:tc>
          <w:tcPr>
            <w:tcW w:w="1443" w:type="dxa"/>
            <w:tcBorders>
              <w:left w:val="nil"/>
              <w:right w:val="nil"/>
            </w:tcBorders>
          </w:tcPr>
          <w:p w14:paraId="3701B129"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56F64D4E"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5" w:type="dxa"/>
            <w:tcBorders>
              <w:left w:val="nil"/>
              <w:right w:val="nil"/>
            </w:tcBorders>
          </w:tcPr>
          <w:p w14:paraId="42009A41"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2C2A7F30"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755E2A87"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r>
    </w:tbl>
    <w:p w14:paraId="65299F16" w14:textId="77777777" w:rsidR="003801E8" w:rsidRDefault="003801E8">
      <w:pPr>
        <w:tabs>
          <w:tab w:val="left" w:pos="3315"/>
        </w:tabs>
        <w:spacing w:line="360" w:lineRule="auto"/>
        <w:jc w:val="both"/>
        <w:rPr>
          <w:rFonts w:ascii="Book Antiqua" w:hAnsi="Book Antiqua" w:cs="Times New Roman"/>
          <w:bCs/>
          <w:color w:val="000000" w:themeColor="text1"/>
          <w:kern w:val="2"/>
          <w:sz w:val="24"/>
          <w:szCs w:val="24"/>
          <w:lang w:val="en-US" w:eastAsia="sr-Latn-ME"/>
        </w:rPr>
      </w:pPr>
    </w:p>
    <w:p w14:paraId="08C8F0DA" w14:textId="77777777" w:rsidR="003801E8" w:rsidRDefault="00E44AAE">
      <w:pPr>
        <w:tabs>
          <w:tab w:val="left" w:pos="3315"/>
        </w:tabs>
        <w:spacing w:line="360" w:lineRule="auto"/>
        <w:jc w:val="center"/>
        <w:rPr>
          <w:rFonts w:ascii="Book Antiqua" w:hAnsi="Book Antiqua" w:cs="Times New Roman"/>
          <w:bCs/>
          <w:color w:val="000000" w:themeColor="text1"/>
          <w:kern w:val="2"/>
          <w:sz w:val="24"/>
          <w:szCs w:val="24"/>
          <w:lang w:val="en-US" w:eastAsia="sr-Latn-ME"/>
        </w:rPr>
      </w:pPr>
      <w:r>
        <w:rPr>
          <w:rFonts w:ascii="Book Antiqua" w:hAnsi="Book Antiqua" w:cs="Times New Roman"/>
          <w:bCs/>
          <w:noProof/>
          <w:color w:val="000000" w:themeColor="text1"/>
          <w:kern w:val="2"/>
          <w:sz w:val="24"/>
          <w:szCs w:val="24"/>
          <w:lang w:val="en-US"/>
        </w:rPr>
        <w:lastRenderedPageBreak/>
        <w:drawing>
          <wp:inline distT="0" distB="0" distL="0" distR="0" wp14:anchorId="60AA98D9" wp14:editId="0BB6982C">
            <wp:extent cx="5486400" cy="3200400"/>
            <wp:effectExtent l="0" t="0" r="0" b="0"/>
            <wp:docPr id="621551279"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FCC9737" w14:textId="77777777" w:rsidR="003801E8" w:rsidRDefault="00E44AAE">
      <w:pPr>
        <w:tabs>
          <w:tab w:val="left" w:pos="3315"/>
        </w:tabs>
        <w:spacing w:line="360" w:lineRule="auto"/>
        <w:jc w:val="both"/>
        <w:rPr>
          <w:rFonts w:ascii="Book Antiqua" w:hAnsi="Book Antiqua" w:cs="Times New Roman"/>
          <w:bCs/>
          <w:i/>
          <w:iCs/>
          <w:color w:val="000000" w:themeColor="text1"/>
          <w:kern w:val="2"/>
          <w:sz w:val="22"/>
          <w:szCs w:val="22"/>
          <w:lang w:val="en-US" w:eastAsia="sr-Latn-ME"/>
        </w:rPr>
      </w:pPr>
      <w:r>
        <w:rPr>
          <w:rFonts w:ascii="Book Antiqua" w:hAnsi="Book Antiqua" w:cs="Times New Roman"/>
          <w:b/>
          <w:color w:val="000000" w:themeColor="text1"/>
          <w:kern w:val="2"/>
          <w:sz w:val="22"/>
          <w:szCs w:val="22"/>
          <w:lang w:val="en-US" w:eastAsia="sr-Latn-ME"/>
        </w:rPr>
        <w:t>Grafikon 7</w:t>
      </w:r>
      <w:r>
        <w:rPr>
          <w:rFonts w:ascii="Book Antiqua" w:hAnsi="Book Antiqua" w:cs="Times New Roman"/>
          <w:bCs/>
          <w:color w:val="000000" w:themeColor="text1"/>
          <w:kern w:val="2"/>
          <w:sz w:val="22"/>
          <w:szCs w:val="22"/>
          <w:lang w:val="en-US" w:eastAsia="sr-Latn-ME"/>
        </w:rPr>
        <w:t xml:space="preserve">. Srednja efikasnost </w:t>
      </w:r>
      <w:r>
        <w:rPr>
          <w:rFonts w:ascii="Book Antiqua" w:hAnsi="Book Antiqua" w:cs="Times New Roman"/>
          <w:bCs/>
          <w:i/>
          <w:iCs/>
          <w:color w:val="000000" w:themeColor="text1"/>
          <w:kern w:val="2"/>
          <w:sz w:val="22"/>
          <w:szCs w:val="22"/>
          <w:lang w:val="en-US" w:eastAsia="sr-Latn-ME"/>
        </w:rPr>
        <w:t>T. citrinoviride</w:t>
      </w:r>
      <w:r>
        <w:rPr>
          <w:rFonts w:ascii="Book Antiqua" w:hAnsi="Book Antiqua" w:cs="Times New Roman"/>
          <w:bCs/>
          <w:color w:val="000000" w:themeColor="text1"/>
          <w:kern w:val="2"/>
          <w:sz w:val="22"/>
          <w:szCs w:val="22"/>
          <w:lang w:val="en-US" w:eastAsia="sr-Latn-ME"/>
        </w:rPr>
        <w:t xml:space="preserve"> T-CG i </w:t>
      </w:r>
      <w:r>
        <w:rPr>
          <w:rFonts w:ascii="Book Antiqua" w:hAnsi="Book Antiqua" w:cs="Times New Roman"/>
          <w:bCs/>
          <w:i/>
          <w:iCs/>
          <w:color w:val="000000" w:themeColor="text1"/>
          <w:kern w:val="2"/>
          <w:sz w:val="22"/>
          <w:szCs w:val="22"/>
          <w:lang w:val="en-US" w:eastAsia="sr-Latn-ME"/>
        </w:rPr>
        <w:t>T. atroviride</w:t>
      </w:r>
      <w:r>
        <w:rPr>
          <w:rFonts w:ascii="Book Antiqua" w:hAnsi="Book Antiqua" w:cs="Times New Roman"/>
          <w:bCs/>
          <w:color w:val="000000" w:themeColor="text1"/>
          <w:kern w:val="2"/>
          <w:sz w:val="22"/>
          <w:szCs w:val="22"/>
          <w:lang w:val="en-US" w:eastAsia="sr-Latn-ME"/>
        </w:rPr>
        <w:t xml:space="preserve"> SC1 prema </w:t>
      </w:r>
      <w:r>
        <w:rPr>
          <w:rFonts w:ascii="Book Antiqua" w:hAnsi="Book Antiqua" w:cs="Times New Roman"/>
          <w:bCs/>
          <w:i/>
          <w:iCs/>
          <w:color w:val="000000" w:themeColor="text1"/>
          <w:kern w:val="2"/>
          <w:sz w:val="22"/>
          <w:szCs w:val="22"/>
          <w:lang w:val="en-US" w:eastAsia="sr-Latn-ME"/>
        </w:rPr>
        <w:t xml:space="preserve">N. parvum </w:t>
      </w:r>
      <w:r>
        <w:rPr>
          <w:rFonts w:ascii="Book Antiqua" w:hAnsi="Book Antiqua" w:cs="Times New Roman"/>
          <w:bCs/>
          <w:color w:val="000000" w:themeColor="text1"/>
          <w:kern w:val="2"/>
          <w:sz w:val="22"/>
          <w:szCs w:val="22"/>
          <w:lang w:val="en-US" w:eastAsia="sr-Latn-ME"/>
        </w:rPr>
        <w:t xml:space="preserve">mnsm23, </w:t>
      </w:r>
      <w:r>
        <w:rPr>
          <w:rFonts w:ascii="Book Antiqua" w:hAnsi="Book Antiqua" w:cs="Times New Roman"/>
          <w:bCs/>
          <w:i/>
          <w:iCs/>
          <w:color w:val="000000" w:themeColor="text1"/>
          <w:kern w:val="2"/>
          <w:sz w:val="22"/>
          <w:szCs w:val="22"/>
          <w:lang w:val="en-US" w:eastAsia="sr-Latn-ME"/>
        </w:rPr>
        <w:t xml:space="preserve">P. minimum </w:t>
      </w:r>
      <w:r>
        <w:rPr>
          <w:rFonts w:ascii="Book Antiqua" w:hAnsi="Book Antiqua" w:cs="Times New Roman"/>
          <w:bCs/>
          <w:color w:val="000000" w:themeColor="text1"/>
          <w:kern w:val="2"/>
          <w:sz w:val="22"/>
          <w:szCs w:val="22"/>
          <w:lang w:val="en-US" w:eastAsia="sr-Latn-ME"/>
        </w:rPr>
        <w:t xml:space="preserve">MN002, </w:t>
      </w:r>
      <w:r>
        <w:rPr>
          <w:rFonts w:ascii="Book Antiqua" w:hAnsi="Book Antiqua" w:cs="Times New Roman"/>
          <w:bCs/>
          <w:i/>
          <w:iCs/>
          <w:color w:val="000000" w:themeColor="text1"/>
          <w:kern w:val="2"/>
          <w:sz w:val="22"/>
          <w:szCs w:val="22"/>
          <w:lang w:val="en-US" w:eastAsia="sr-Latn-ME"/>
        </w:rPr>
        <w:t xml:space="preserve">P. chlamydospora </w:t>
      </w:r>
      <w:r>
        <w:rPr>
          <w:rFonts w:ascii="Book Antiqua" w:hAnsi="Book Antiqua" w:cs="Times New Roman"/>
          <w:bCs/>
          <w:color w:val="000000" w:themeColor="text1"/>
          <w:kern w:val="2"/>
          <w:sz w:val="22"/>
          <w:szCs w:val="22"/>
          <w:lang w:val="en-US" w:eastAsia="sr-Latn-ME"/>
        </w:rPr>
        <w:t>MN011</w:t>
      </w:r>
    </w:p>
    <w:p w14:paraId="06D1DF6B" w14:textId="77777777" w:rsidR="003801E8" w:rsidRDefault="00E44AAE">
      <w:pPr>
        <w:tabs>
          <w:tab w:val="left" w:pos="3315"/>
        </w:tabs>
        <w:spacing w:line="360" w:lineRule="auto"/>
        <w:jc w:val="both"/>
        <w:rPr>
          <w:rFonts w:ascii="Book Antiqua" w:hAnsi="Book Antiqua" w:cs="Times New Roman"/>
          <w:bCs/>
          <w:color w:val="000000" w:themeColor="text1"/>
          <w:kern w:val="2"/>
          <w:sz w:val="24"/>
          <w:szCs w:val="24"/>
          <w:lang w:val="en-US" w:eastAsia="sr-Latn-ME"/>
        </w:rPr>
      </w:pPr>
      <w:r>
        <w:rPr>
          <w:rFonts w:ascii="Book Antiqua" w:hAnsi="Book Antiqua" w:cs="Times New Roman"/>
          <w:bCs/>
          <w:color w:val="000000" w:themeColor="text1"/>
          <w:kern w:val="2"/>
          <w:sz w:val="24"/>
          <w:szCs w:val="24"/>
          <w:lang w:val="en-US" w:eastAsia="sr-Latn-ME"/>
        </w:rPr>
        <w:t xml:space="preserve">U sprovedenom eksperimentu </w:t>
      </w:r>
      <w:r>
        <w:rPr>
          <w:rFonts w:ascii="Book Antiqua" w:hAnsi="Book Antiqua" w:cs="Times New Roman"/>
          <w:bCs/>
          <w:i/>
          <w:iCs/>
          <w:color w:val="000000" w:themeColor="text1"/>
          <w:kern w:val="2"/>
          <w:sz w:val="24"/>
          <w:szCs w:val="24"/>
          <w:lang w:val="en-US" w:eastAsia="sr-Latn-ME"/>
        </w:rPr>
        <w:t>T. citrinoviride</w:t>
      </w:r>
      <w:r>
        <w:rPr>
          <w:rFonts w:ascii="Book Antiqua" w:hAnsi="Book Antiqua" w:cs="Times New Roman"/>
          <w:bCs/>
          <w:color w:val="000000" w:themeColor="text1"/>
          <w:kern w:val="2"/>
          <w:sz w:val="24"/>
          <w:szCs w:val="24"/>
          <w:lang w:val="en-US" w:eastAsia="sr-Latn-ME"/>
        </w:rPr>
        <w:t xml:space="preserve"> T-CG je kolonizovala sprovodne sudove lastara na većim dubinama, kako bazipetalno tako i akropetalno, u odnosu na </w:t>
      </w:r>
      <w:r>
        <w:rPr>
          <w:rFonts w:ascii="Book Antiqua" w:hAnsi="Book Antiqua" w:cs="Times New Roman"/>
          <w:bCs/>
          <w:i/>
          <w:iCs/>
          <w:color w:val="000000" w:themeColor="text1"/>
          <w:kern w:val="2"/>
          <w:sz w:val="24"/>
          <w:szCs w:val="24"/>
          <w:lang w:val="en-US" w:eastAsia="sr-Latn-ME"/>
        </w:rPr>
        <w:t>T. atroviride</w:t>
      </w:r>
      <w:r>
        <w:rPr>
          <w:rFonts w:ascii="Book Antiqua" w:hAnsi="Book Antiqua" w:cs="Times New Roman"/>
          <w:bCs/>
          <w:color w:val="000000" w:themeColor="text1"/>
          <w:kern w:val="2"/>
          <w:sz w:val="24"/>
          <w:szCs w:val="24"/>
          <w:lang w:val="en-US" w:eastAsia="sr-Latn-ME"/>
        </w:rPr>
        <w:t xml:space="preserve"> SC1. Sposobnost </w:t>
      </w:r>
      <w:r>
        <w:rPr>
          <w:rFonts w:ascii="Book Antiqua" w:hAnsi="Book Antiqua" w:cs="Times New Roman"/>
          <w:bCs/>
          <w:i/>
          <w:iCs/>
          <w:color w:val="000000" w:themeColor="text1"/>
          <w:kern w:val="2"/>
          <w:sz w:val="24"/>
          <w:szCs w:val="24"/>
          <w:lang w:val="en-US" w:eastAsia="sr-Latn-ME"/>
        </w:rPr>
        <w:t>T. citrinoviride</w:t>
      </w:r>
      <w:r>
        <w:rPr>
          <w:rFonts w:ascii="Book Antiqua" w:hAnsi="Book Antiqua" w:cs="Times New Roman"/>
          <w:bCs/>
          <w:color w:val="000000" w:themeColor="text1"/>
          <w:kern w:val="2"/>
          <w:sz w:val="24"/>
          <w:szCs w:val="24"/>
          <w:lang w:val="en-US" w:eastAsia="sr-Latn-ME"/>
        </w:rPr>
        <w:t xml:space="preserve"> T-CG i </w:t>
      </w:r>
      <w:r>
        <w:rPr>
          <w:rFonts w:ascii="Book Antiqua" w:hAnsi="Book Antiqua" w:cs="Times New Roman"/>
          <w:bCs/>
          <w:i/>
          <w:iCs/>
          <w:color w:val="000000" w:themeColor="text1"/>
          <w:kern w:val="2"/>
          <w:sz w:val="24"/>
          <w:szCs w:val="24"/>
          <w:lang w:val="en-US" w:eastAsia="sr-Latn-ME"/>
        </w:rPr>
        <w:t>T. atroviride</w:t>
      </w:r>
      <w:r>
        <w:rPr>
          <w:rFonts w:ascii="Book Antiqua" w:hAnsi="Book Antiqua" w:cs="Times New Roman"/>
          <w:bCs/>
          <w:color w:val="000000" w:themeColor="text1"/>
          <w:kern w:val="2"/>
          <w:sz w:val="24"/>
          <w:szCs w:val="24"/>
          <w:lang w:val="en-US" w:eastAsia="sr-Latn-ME"/>
        </w:rPr>
        <w:t xml:space="preserve"> SC1 da kolonizuju biljno tkivo u konkurenciji sa različitim patogenima, prikazana je u Tabeli 27. </w:t>
      </w:r>
    </w:p>
    <w:p w14:paraId="3C74B575" w14:textId="77777777" w:rsidR="003801E8" w:rsidRDefault="00E44AAE">
      <w:pPr>
        <w:tabs>
          <w:tab w:val="left" w:pos="3315"/>
        </w:tabs>
        <w:spacing w:line="360" w:lineRule="auto"/>
        <w:jc w:val="both"/>
        <w:rPr>
          <w:rFonts w:ascii="Book Antiqua" w:hAnsi="Book Antiqua" w:cs="Times New Roman"/>
          <w:bCs/>
          <w:color w:val="000000" w:themeColor="text1"/>
          <w:kern w:val="2"/>
          <w:sz w:val="22"/>
          <w:szCs w:val="22"/>
          <w:lang w:val="en-US" w:eastAsia="sr-Latn-ME"/>
        </w:rPr>
      </w:pPr>
      <w:r>
        <w:rPr>
          <w:rFonts w:ascii="Book Antiqua" w:hAnsi="Book Antiqua" w:cs="Times New Roman"/>
          <w:b/>
          <w:color w:val="000000" w:themeColor="text1"/>
          <w:kern w:val="2"/>
          <w:sz w:val="22"/>
          <w:szCs w:val="22"/>
          <w:lang w:val="en-US" w:eastAsia="sr-Latn-ME"/>
        </w:rPr>
        <w:t>Tabela 27</w:t>
      </w:r>
      <w:r>
        <w:rPr>
          <w:rFonts w:ascii="Book Antiqua" w:hAnsi="Book Antiqua" w:cs="Times New Roman"/>
          <w:bCs/>
          <w:color w:val="000000" w:themeColor="text1"/>
          <w:kern w:val="2"/>
          <w:sz w:val="22"/>
          <w:szCs w:val="22"/>
          <w:lang w:val="en-US" w:eastAsia="sr-Latn-ME"/>
        </w:rPr>
        <w:t xml:space="preserve">. Procenat reizolacije </w:t>
      </w:r>
      <w:r>
        <w:rPr>
          <w:rFonts w:ascii="Book Antiqua" w:hAnsi="Book Antiqua" w:cs="Times New Roman"/>
          <w:bCs/>
          <w:i/>
          <w:iCs/>
          <w:color w:val="000000" w:themeColor="text1"/>
          <w:kern w:val="2"/>
          <w:sz w:val="22"/>
          <w:szCs w:val="22"/>
          <w:lang w:val="en-US" w:eastAsia="sr-Latn-ME"/>
        </w:rPr>
        <w:t>T. citrinoviride</w:t>
      </w:r>
      <w:r>
        <w:rPr>
          <w:rFonts w:ascii="Book Antiqua" w:hAnsi="Book Antiqua" w:cs="Times New Roman"/>
          <w:bCs/>
          <w:color w:val="000000" w:themeColor="text1"/>
          <w:kern w:val="2"/>
          <w:sz w:val="22"/>
          <w:szCs w:val="22"/>
          <w:lang w:val="en-US" w:eastAsia="sr-Latn-ME"/>
        </w:rPr>
        <w:t xml:space="preserve"> T-CG i </w:t>
      </w:r>
      <w:r>
        <w:rPr>
          <w:rFonts w:ascii="Book Antiqua" w:hAnsi="Book Antiqua" w:cs="Times New Roman"/>
          <w:bCs/>
          <w:i/>
          <w:iCs/>
          <w:color w:val="000000" w:themeColor="text1"/>
          <w:kern w:val="2"/>
          <w:sz w:val="22"/>
          <w:szCs w:val="22"/>
          <w:lang w:val="en-US" w:eastAsia="sr-Latn-ME"/>
        </w:rPr>
        <w:t xml:space="preserve">T. atroviride </w:t>
      </w:r>
      <w:r>
        <w:rPr>
          <w:rFonts w:ascii="Book Antiqua" w:hAnsi="Book Antiqua" w:cs="Times New Roman"/>
          <w:bCs/>
          <w:color w:val="000000" w:themeColor="text1"/>
          <w:kern w:val="2"/>
          <w:sz w:val="22"/>
          <w:szCs w:val="22"/>
          <w:lang w:val="en-US" w:eastAsia="sr-Latn-ME"/>
        </w:rPr>
        <w:t xml:space="preserve">SC1 </w:t>
      </w:r>
    </w:p>
    <w:tbl>
      <w:tblPr>
        <w:tblStyle w:val="TableGrid"/>
        <w:tblW w:w="0" w:type="auto"/>
        <w:tblLook w:val="04A0" w:firstRow="1" w:lastRow="0" w:firstColumn="1" w:lastColumn="0" w:noHBand="0" w:noVBand="1"/>
      </w:tblPr>
      <w:tblGrid>
        <w:gridCol w:w="2171"/>
        <w:gridCol w:w="1398"/>
        <w:gridCol w:w="1234"/>
        <w:gridCol w:w="1233"/>
        <w:gridCol w:w="1234"/>
        <w:gridCol w:w="1234"/>
      </w:tblGrid>
      <w:tr w:rsidR="003801E8" w14:paraId="1000EC9A" w14:textId="77777777">
        <w:tc>
          <w:tcPr>
            <w:tcW w:w="2238" w:type="dxa"/>
            <w:tcBorders>
              <w:left w:val="nil"/>
              <w:right w:val="nil"/>
            </w:tcBorders>
          </w:tcPr>
          <w:p w14:paraId="64621C13" w14:textId="77777777" w:rsidR="003801E8" w:rsidRDefault="00E44AAE">
            <w:pPr>
              <w:tabs>
                <w:tab w:val="left" w:pos="3315"/>
              </w:tabs>
              <w:spacing w:after="0" w:line="360" w:lineRule="auto"/>
              <w:jc w:val="both"/>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 xml:space="preserve">Inokulacija/ tretman </w:t>
            </w:r>
          </w:p>
        </w:tc>
        <w:tc>
          <w:tcPr>
            <w:tcW w:w="1443" w:type="dxa"/>
            <w:tcBorders>
              <w:left w:val="nil"/>
              <w:right w:val="nil"/>
            </w:tcBorders>
          </w:tcPr>
          <w:p w14:paraId="22DBE530"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Zona novog lastara (%)</w:t>
            </w:r>
          </w:p>
        </w:tc>
        <w:tc>
          <w:tcPr>
            <w:tcW w:w="1276" w:type="dxa"/>
            <w:tcBorders>
              <w:left w:val="nil"/>
              <w:right w:val="nil"/>
            </w:tcBorders>
          </w:tcPr>
          <w:p w14:paraId="68F42592"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Zona 1-2 cm (%)</w:t>
            </w:r>
          </w:p>
        </w:tc>
        <w:tc>
          <w:tcPr>
            <w:tcW w:w="1275" w:type="dxa"/>
            <w:tcBorders>
              <w:left w:val="nil"/>
              <w:right w:val="nil"/>
            </w:tcBorders>
          </w:tcPr>
          <w:p w14:paraId="795248A6"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Zona 2-3 cm (%)</w:t>
            </w:r>
          </w:p>
        </w:tc>
        <w:tc>
          <w:tcPr>
            <w:tcW w:w="1276" w:type="dxa"/>
            <w:tcBorders>
              <w:left w:val="nil"/>
              <w:right w:val="nil"/>
            </w:tcBorders>
          </w:tcPr>
          <w:p w14:paraId="64B9F6BF"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Zona 3-4 cm (%)</w:t>
            </w:r>
          </w:p>
        </w:tc>
        <w:tc>
          <w:tcPr>
            <w:tcW w:w="1276" w:type="dxa"/>
            <w:tcBorders>
              <w:left w:val="nil"/>
              <w:right w:val="nil"/>
            </w:tcBorders>
          </w:tcPr>
          <w:p w14:paraId="4D3BF3B3"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Zona 4-5 cm (%)</w:t>
            </w:r>
          </w:p>
        </w:tc>
      </w:tr>
      <w:tr w:rsidR="003801E8" w14:paraId="01552B14" w14:textId="77777777">
        <w:tc>
          <w:tcPr>
            <w:tcW w:w="2238" w:type="dxa"/>
            <w:tcBorders>
              <w:left w:val="nil"/>
              <w:right w:val="nil"/>
            </w:tcBorders>
          </w:tcPr>
          <w:p w14:paraId="0E8189DE"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i/>
                <w:iCs/>
                <w:color w:val="000000" w:themeColor="text1"/>
                <w:kern w:val="2"/>
                <w:sz w:val="18"/>
                <w:szCs w:val="18"/>
                <w:lang w:val="en-US" w:eastAsia="sr-Latn-ME"/>
              </w:rPr>
              <w:t xml:space="preserve">T. cit </w:t>
            </w:r>
            <w:r>
              <w:rPr>
                <w:rFonts w:ascii="Book Antiqua" w:hAnsi="Book Antiqua" w:cs="Times New Roman"/>
                <w:bCs/>
                <w:color w:val="000000" w:themeColor="text1"/>
                <w:kern w:val="2"/>
                <w:sz w:val="18"/>
                <w:szCs w:val="18"/>
                <w:lang w:val="en-US" w:eastAsia="sr-Latn-ME"/>
              </w:rPr>
              <w:t>x</w:t>
            </w:r>
            <w:r>
              <w:rPr>
                <w:rFonts w:ascii="Book Antiqua" w:hAnsi="Book Antiqua" w:cs="Times New Roman"/>
                <w:bCs/>
                <w:i/>
                <w:iCs/>
                <w:color w:val="000000" w:themeColor="text1"/>
                <w:kern w:val="2"/>
                <w:sz w:val="18"/>
                <w:szCs w:val="18"/>
                <w:lang w:val="en-US" w:eastAsia="sr-Latn-ME"/>
              </w:rPr>
              <w:t xml:space="preserve"> N. par</w:t>
            </w:r>
          </w:p>
        </w:tc>
        <w:tc>
          <w:tcPr>
            <w:tcW w:w="1443" w:type="dxa"/>
            <w:tcBorders>
              <w:left w:val="nil"/>
              <w:right w:val="nil"/>
            </w:tcBorders>
          </w:tcPr>
          <w:p w14:paraId="1A92CCC9"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22,22</w:t>
            </w:r>
          </w:p>
        </w:tc>
        <w:tc>
          <w:tcPr>
            <w:tcW w:w="1276" w:type="dxa"/>
            <w:tcBorders>
              <w:left w:val="nil"/>
              <w:right w:val="nil"/>
            </w:tcBorders>
          </w:tcPr>
          <w:p w14:paraId="0CC70B45"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61,11</w:t>
            </w:r>
          </w:p>
        </w:tc>
        <w:tc>
          <w:tcPr>
            <w:tcW w:w="1275" w:type="dxa"/>
            <w:tcBorders>
              <w:left w:val="nil"/>
              <w:right w:val="nil"/>
            </w:tcBorders>
          </w:tcPr>
          <w:p w14:paraId="4B081E26"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36,11</w:t>
            </w:r>
          </w:p>
        </w:tc>
        <w:tc>
          <w:tcPr>
            <w:tcW w:w="1276" w:type="dxa"/>
            <w:tcBorders>
              <w:left w:val="nil"/>
              <w:right w:val="nil"/>
            </w:tcBorders>
          </w:tcPr>
          <w:p w14:paraId="1179679B"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19,44</w:t>
            </w:r>
          </w:p>
        </w:tc>
        <w:tc>
          <w:tcPr>
            <w:tcW w:w="1276" w:type="dxa"/>
            <w:tcBorders>
              <w:left w:val="nil"/>
              <w:right w:val="nil"/>
            </w:tcBorders>
          </w:tcPr>
          <w:p w14:paraId="798869F1"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11,11</w:t>
            </w:r>
          </w:p>
        </w:tc>
      </w:tr>
      <w:tr w:rsidR="003801E8" w14:paraId="58E43A26" w14:textId="77777777">
        <w:tc>
          <w:tcPr>
            <w:tcW w:w="2238" w:type="dxa"/>
            <w:tcBorders>
              <w:left w:val="nil"/>
              <w:right w:val="nil"/>
            </w:tcBorders>
          </w:tcPr>
          <w:p w14:paraId="3B6260BA"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i/>
                <w:iCs/>
                <w:color w:val="000000" w:themeColor="text1"/>
                <w:kern w:val="2"/>
                <w:sz w:val="18"/>
                <w:szCs w:val="18"/>
                <w:lang w:val="en-US" w:eastAsia="sr-Latn-ME"/>
              </w:rPr>
              <w:t xml:space="preserve">T. atr </w:t>
            </w:r>
            <w:r>
              <w:rPr>
                <w:rFonts w:ascii="Book Antiqua" w:hAnsi="Book Antiqua" w:cs="Times New Roman"/>
                <w:bCs/>
                <w:color w:val="000000" w:themeColor="text1"/>
                <w:kern w:val="2"/>
                <w:sz w:val="18"/>
                <w:szCs w:val="18"/>
                <w:lang w:val="en-US" w:eastAsia="sr-Latn-ME"/>
              </w:rPr>
              <w:t xml:space="preserve">SC1 x </w:t>
            </w:r>
            <w:r>
              <w:rPr>
                <w:rFonts w:ascii="Book Antiqua" w:hAnsi="Book Antiqua" w:cs="Times New Roman"/>
                <w:bCs/>
                <w:i/>
                <w:iCs/>
                <w:color w:val="000000" w:themeColor="text1"/>
                <w:kern w:val="2"/>
                <w:sz w:val="18"/>
                <w:szCs w:val="18"/>
                <w:lang w:val="en-US" w:eastAsia="sr-Latn-ME"/>
              </w:rPr>
              <w:t>N. par</w:t>
            </w:r>
          </w:p>
        </w:tc>
        <w:tc>
          <w:tcPr>
            <w:tcW w:w="1443" w:type="dxa"/>
            <w:tcBorders>
              <w:left w:val="nil"/>
              <w:right w:val="nil"/>
            </w:tcBorders>
          </w:tcPr>
          <w:p w14:paraId="48259DD5"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6624C6A6"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47,22</w:t>
            </w:r>
          </w:p>
        </w:tc>
        <w:tc>
          <w:tcPr>
            <w:tcW w:w="1275" w:type="dxa"/>
            <w:tcBorders>
              <w:left w:val="nil"/>
              <w:right w:val="nil"/>
            </w:tcBorders>
          </w:tcPr>
          <w:p w14:paraId="2BE5B914"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8,33</w:t>
            </w:r>
          </w:p>
        </w:tc>
        <w:tc>
          <w:tcPr>
            <w:tcW w:w="1276" w:type="dxa"/>
            <w:tcBorders>
              <w:left w:val="nil"/>
              <w:right w:val="nil"/>
            </w:tcBorders>
          </w:tcPr>
          <w:p w14:paraId="26FA07E3"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610D5E36"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r>
      <w:tr w:rsidR="003801E8" w14:paraId="40BCF467" w14:textId="77777777">
        <w:tc>
          <w:tcPr>
            <w:tcW w:w="2238" w:type="dxa"/>
            <w:tcBorders>
              <w:left w:val="nil"/>
              <w:right w:val="nil"/>
            </w:tcBorders>
          </w:tcPr>
          <w:p w14:paraId="4697994C"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i/>
                <w:iCs/>
                <w:color w:val="000000" w:themeColor="text1"/>
                <w:kern w:val="2"/>
                <w:sz w:val="18"/>
                <w:szCs w:val="18"/>
                <w:lang w:val="en-US" w:eastAsia="sr-Latn-ME"/>
              </w:rPr>
              <w:t xml:space="preserve">T. cit </w:t>
            </w:r>
            <w:r>
              <w:rPr>
                <w:rFonts w:ascii="Book Antiqua" w:hAnsi="Book Antiqua" w:cs="Times New Roman"/>
                <w:bCs/>
                <w:color w:val="000000" w:themeColor="text1"/>
                <w:kern w:val="2"/>
                <w:sz w:val="18"/>
                <w:szCs w:val="18"/>
                <w:lang w:val="en-US" w:eastAsia="sr-Latn-ME"/>
              </w:rPr>
              <w:t>x</w:t>
            </w:r>
            <w:r>
              <w:rPr>
                <w:rFonts w:ascii="Book Antiqua" w:hAnsi="Book Antiqua" w:cs="Times New Roman"/>
                <w:bCs/>
                <w:i/>
                <w:iCs/>
                <w:color w:val="000000" w:themeColor="text1"/>
                <w:kern w:val="2"/>
                <w:sz w:val="18"/>
                <w:szCs w:val="18"/>
                <w:lang w:val="en-US" w:eastAsia="sr-Latn-ME"/>
              </w:rPr>
              <w:t xml:space="preserve"> P. min</w:t>
            </w:r>
            <w:r>
              <w:rPr>
                <w:rFonts w:ascii="Book Antiqua" w:hAnsi="Book Antiqua" w:cs="Times New Roman"/>
                <w:bCs/>
                <w:color w:val="000000" w:themeColor="text1"/>
                <w:kern w:val="2"/>
                <w:sz w:val="18"/>
                <w:szCs w:val="18"/>
                <w:lang w:val="en-US" w:eastAsia="sr-Latn-ME"/>
              </w:rPr>
              <w:t xml:space="preserve"> </w:t>
            </w:r>
          </w:p>
        </w:tc>
        <w:tc>
          <w:tcPr>
            <w:tcW w:w="1443" w:type="dxa"/>
            <w:tcBorders>
              <w:left w:val="nil"/>
              <w:right w:val="nil"/>
            </w:tcBorders>
          </w:tcPr>
          <w:p w14:paraId="40E0DC1D"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30,56</w:t>
            </w:r>
          </w:p>
        </w:tc>
        <w:tc>
          <w:tcPr>
            <w:tcW w:w="1276" w:type="dxa"/>
            <w:tcBorders>
              <w:left w:val="nil"/>
              <w:right w:val="nil"/>
            </w:tcBorders>
          </w:tcPr>
          <w:p w14:paraId="0D6926C5"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63,89</w:t>
            </w:r>
          </w:p>
        </w:tc>
        <w:tc>
          <w:tcPr>
            <w:tcW w:w="1275" w:type="dxa"/>
            <w:tcBorders>
              <w:left w:val="nil"/>
              <w:right w:val="nil"/>
            </w:tcBorders>
          </w:tcPr>
          <w:p w14:paraId="16010C11"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30,56</w:t>
            </w:r>
          </w:p>
        </w:tc>
        <w:tc>
          <w:tcPr>
            <w:tcW w:w="1276" w:type="dxa"/>
            <w:tcBorders>
              <w:left w:val="nil"/>
              <w:right w:val="nil"/>
            </w:tcBorders>
          </w:tcPr>
          <w:p w14:paraId="41389A01"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16,67</w:t>
            </w:r>
          </w:p>
        </w:tc>
        <w:tc>
          <w:tcPr>
            <w:tcW w:w="1276" w:type="dxa"/>
            <w:tcBorders>
              <w:left w:val="nil"/>
              <w:right w:val="nil"/>
            </w:tcBorders>
          </w:tcPr>
          <w:p w14:paraId="3378EA30"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13,89</w:t>
            </w:r>
          </w:p>
        </w:tc>
      </w:tr>
      <w:tr w:rsidR="003801E8" w14:paraId="2AB6EAC3" w14:textId="77777777">
        <w:tc>
          <w:tcPr>
            <w:tcW w:w="2238" w:type="dxa"/>
            <w:tcBorders>
              <w:left w:val="nil"/>
              <w:right w:val="nil"/>
            </w:tcBorders>
          </w:tcPr>
          <w:p w14:paraId="2BF8D967"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i/>
                <w:iCs/>
                <w:color w:val="000000" w:themeColor="text1"/>
                <w:kern w:val="2"/>
                <w:sz w:val="18"/>
                <w:szCs w:val="18"/>
                <w:lang w:val="en-US" w:eastAsia="sr-Latn-ME"/>
              </w:rPr>
              <w:t xml:space="preserve">T. atr </w:t>
            </w:r>
            <w:r>
              <w:rPr>
                <w:rFonts w:ascii="Book Antiqua" w:hAnsi="Book Antiqua" w:cs="Times New Roman"/>
                <w:bCs/>
                <w:color w:val="000000" w:themeColor="text1"/>
                <w:kern w:val="2"/>
                <w:sz w:val="18"/>
                <w:szCs w:val="18"/>
                <w:lang w:val="en-US" w:eastAsia="sr-Latn-ME"/>
              </w:rPr>
              <w:t>SC1 x</w:t>
            </w:r>
            <w:r>
              <w:rPr>
                <w:rFonts w:ascii="Book Antiqua" w:hAnsi="Book Antiqua" w:cs="Times New Roman"/>
                <w:bCs/>
                <w:i/>
                <w:iCs/>
                <w:color w:val="000000" w:themeColor="text1"/>
                <w:kern w:val="2"/>
                <w:sz w:val="18"/>
                <w:szCs w:val="18"/>
                <w:lang w:val="en-US" w:eastAsia="sr-Latn-ME"/>
              </w:rPr>
              <w:t xml:space="preserve"> P. min</w:t>
            </w:r>
            <w:r>
              <w:rPr>
                <w:rFonts w:ascii="Book Antiqua" w:hAnsi="Book Antiqua" w:cs="Times New Roman"/>
                <w:bCs/>
                <w:color w:val="000000" w:themeColor="text1"/>
                <w:kern w:val="2"/>
                <w:sz w:val="18"/>
                <w:szCs w:val="18"/>
                <w:lang w:val="en-US" w:eastAsia="sr-Latn-ME"/>
              </w:rPr>
              <w:t xml:space="preserve"> </w:t>
            </w:r>
          </w:p>
        </w:tc>
        <w:tc>
          <w:tcPr>
            <w:tcW w:w="1443" w:type="dxa"/>
            <w:tcBorders>
              <w:left w:val="nil"/>
              <w:right w:val="nil"/>
            </w:tcBorders>
          </w:tcPr>
          <w:p w14:paraId="04B910EC"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8,33</w:t>
            </w:r>
          </w:p>
        </w:tc>
        <w:tc>
          <w:tcPr>
            <w:tcW w:w="1276" w:type="dxa"/>
            <w:tcBorders>
              <w:left w:val="nil"/>
              <w:right w:val="nil"/>
            </w:tcBorders>
          </w:tcPr>
          <w:p w14:paraId="4ACAF2AB"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41,67</w:t>
            </w:r>
          </w:p>
        </w:tc>
        <w:tc>
          <w:tcPr>
            <w:tcW w:w="1275" w:type="dxa"/>
            <w:tcBorders>
              <w:left w:val="nil"/>
              <w:right w:val="nil"/>
            </w:tcBorders>
          </w:tcPr>
          <w:p w14:paraId="66CC6827"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16,67</w:t>
            </w:r>
          </w:p>
        </w:tc>
        <w:tc>
          <w:tcPr>
            <w:tcW w:w="1276" w:type="dxa"/>
            <w:tcBorders>
              <w:left w:val="nil"/>
              <w:right w:val="nil"/>
            </w:tcBorders>
          </w:tcPr>
          <w:p w14:paraId="4AC49ECC"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740CD0E6"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r>
      <w:tr w:rsidR="003801E8" w14:paraId="50A64514" w14:textId="77777777">
        <w:tc>
          <w:tcPr>
            <w:tcW w:w="2238" w:type="dxa"/>
            <w:tcBorders>
              <w:left w:val="nil"/>
              <w:right w:val="nil"/>
            </w:tcBorders>
          </w:tcPr>
          <w:p w14:paraId="46590133"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i/>
                <w:iCs/>
                <w:color w:val="000000" w:themeColor="text1"/>
                <w:kern w:val="2"/>
                <w:sz w:val="18"/>
                <w:szCs w:val="18"/>
                <w:lang w:val="en-US" w:eastAsia="sr-Latn-ME"/>
              </w:rPr>
              <w:t xml:space="preserve">T. cit </w:t>
            </w:r>
            <w:r>
              <w:rPr>
                <w:rFonts w:ascii="Book Antiqua" w:hAnsi="Book Antiqua" w:cs="Times New Roman"/>
                <w:bCs/>
                <w:color w:val="000000" w:themeColor="text1"/>
                <w:kern w:val="2"/>
                <w:sz w:val="18"/>
                <w:szCs w:val="18"/>
                <w:lang w:val="en-US" w:eastAsia="sr-Latn-ME"/>
              </w:rPr>
              <w:t xml:space="preserve">x </w:t>
            </w:r>
            <w:r>
              <w:rPr>
                <w:rFonts w:ascii="Book Antiqua" w:hAnsi="Book Antiqua" w:cs="Times New Roman"/>
                <w:bCs/>
                <w:i/>
                <w:iCs/>
                <w:color w:val="000000" w:themeColor="text1"/>
                <w:kern w:val="2"/>
                <w:sz w:val="18"/>
                <w:szCs w:val="18"/>
                <w:lang w:val="en-US" w:eastAsia="sr-Latn-ME"/>
              </w:rPr>
              <w:t>P. chl</w:t>
            </w:r>
            <w:r>
              <w:rPr>
                <w:rFonts w:ascii="Book Antiqua" w:hAnsi="Book Antiqua" w:cs="Times New Roman"/>
                <w:bCs/>
                <w:color w:val="000000" w:themeColor="text1"/>
                <w:kern w:val="2"/>
                <w:sz w:val="18"/>
                <w:szCs w:val="18"/>
                <w:lang w:val="en-US" w:eastAsia="sr-Latn-ME"/>
              </w:rPr>
              <w:t xml:space="preserve"> </w:t>
            </w:r>
          </w:p>
        </w:tc>
        <w:tc>
          <w:tcPr>
            <w:tcW w:w="1443" w:type="dxa"/>
            <w:tcBorders>
              <w:left w:val="nil"/>
              <w:right w:val="nil"/>
            </w:tcBorders>
          </w:tcPr>
          <w:p w14:paraId="5F8FCA82"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33,33</w:t>
            </w:r>
          </w:p>
        </w:tc>
        <w:tc>
          <w:tcPr>
            <w:tcW w:w="1276" w:type="dxa"/>
            <w:tcBorders>
              <w:left w:val="nil"/>
              <w:right w:val="nil"/>
            </w:tcBorders>
          </w:tcPr>
          <w:p w14:paraId="2A58B3EC"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83,33</w:t>
            </w:r>
          </w:p>
        </w:tc>
        <w:tc>
          <w:tcPr>
            <w:tcW w:w="1275" w:type="dxa"/>
            <w:tcBorders>
              <w:left w:val="nil"/>
              <w:right w:val="nil"/>
            </w:tcBorders>
          </w:tcPr>
          <w:p w14:paraId="27FB1E48"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44,44</w:t>
            </w:r>
          </w:p>
        </w:tc>
        <w:tc>
          <w:tcPr>
            <w:tcW w:w="1276" w:type="dxa"/>
            <w:tcBorders>
              <w:left w:val="nil"/>
              <w:right w:val="nil"/>
            </w:tcBorders>
          </w:tcPr>
          <w:p w14:paraId="67C576D0"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27,78</w:t>
            </w:r>
          </w:p>
        </w:tc>
        <w:tc>
          <w:tcPr>
            <w:tcW w:w="1276" w:type="dxa"/>
            <w:tcBorders>
              <w:left w:val="nil"/>
              <w:right w:val="nil"/>
            </w:tcBorders>
          </w:tcPr>
          <w:p w14:paraId="1D6BEE6B"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16,67</w:t>
            </w:r>
          </w:p>
        </w:tc>
      </w:tr>
      <w:tr w:rsidR="003801E8" w14:paraId="7BEAA47B" w14:textId="77777777">
        <w:tc>
          <w:tcPr>
            <w:tcW w:w="2238" w:type="dxa"/>
            <w:tcBorders>
              <w:left w:val="nil"/>
              <w:right w:val="nil"/>
            </w:tcBorders>
          </w:tcPr>
          <w:p w14:paraId="15B4F1AD" w14:textId="77777777" w:rsidR="003801E8" w:rsidRDefault="00E44AAE">
            <w:pPr>
              <w:tabs>
                <w:tab w:val="left" w:pos="3315"/>
              </w:tabs>
              <w:spacing w:after="0" w:line="360" w:lineRule="auto"/>
              <w:jc w:val="both"/>
              <w:rPr>
                <w:rFonts w:ascii="Book Antiqua" w:hAnsi="Book Antiqua" w:cs="Times New Roman"/>
                <w:bCs/>
                <w:color w:val="000000" w:themeColor="text1"/>
                <w:kern w:val="2"/>
                <w:sz w:val="18"/>
                <w:szCs w:val="18"/>
                <w:lang w:val="en-US" w:eastAsia="sr-Latn-ME"/>
              </w:rPr>
            </w:pPr>
            <w:r>
              <w:rPr>
                <w:rFonts w:ascii="Book Antiqua" w:hAnsi="Book Antiqua" w:cs="Times New Roman"/>
                <w:bCs/>
                <w:i/>
                <w:iCs/>
                <w:color w:val="000000" w:themeColor="text1"/>
                <w:kern w:val="2"/>
                <w:sz w:val="18"/>
                <w:szCs w:val="18"/>
                <w:lang w:val="en-US" w:eastAsia="sr-Latn-ME"/>
              </w:rPr>
              <w:t xml:space="preserve">T. atr </w:t>
            </w:r>
            <w:r>
              <w:rPr>
                <w:rFonts w:ascii="Book Antiqua" w:hAnsi="Book Antiqua" w:cs="Times New Roman"/>
                <w:bCs/>
                <w:color w:val="000000" w:themeColor="text1"/>
                <w:kern w:val="2"/>
                <w:sz w:val="18"/>
                <w:szCs w:val="18"/>
                <w:lang w:val="en-US" w:eastAsia="sr-Latn-ME"/>
              </w:rPr>
              <w:t>SC1 x</w:t>
            </w:r>
            <w:r>
              <w:rPr>
                <w:rFonts w:ascii="Book Antiqua" w:hAnsi="Book Antiqua" w:cs="Times New Roman"/>
                <w:bCs/>
                <w:i/>
                <w:iCs/>
                <w:color w:val="000000" w:themeColor="text1"/>
                <w:kern w:val="2"/>
                <w:sz w:val="18"/>
                <w:szCs w:val="18"/>
                <w:lang w:val="en-US" w:eastAsia="sr-Latn-ME"/>
              </w:rPr>
              <w:t xml:space="preserve"> P. chl</w:t>
            </w:r>
            <w:r>
              <w:rPr>
                <w:rFonts w:ascii="Book Antiqua" w:hAnsi="Book Antiqua" w:cs="Times New Roman"/>
                <w:bCs/>
                <w:color w:val="000000" w:themeColor="text1"/>
                <w:kern w:val="2"/>
                <w:sz w:val="18"/>
                <w:szCs w:val="18"/>
                <w:lang w:val="en-US" w:eastAsia="sr-Latn-ME"/>
              </w:rPr>
              <w:t xml:space="preserve"> </w:t>
            </w:r>
          </w:p>
        </w:tc>
        <w:tc>
          <w:tcPr>
            <w:tcW w:w="1443" w:type="dxa"/>
            <w:tcBorders>
              <w:left w:val="nil"/>
              <w:right w:val="nil"/>
            </w:tcBorders>
          </w:tcPr>
          <w:p w14:paraId="59A8326B"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c>
          <w:tcPr>
            <w:tcW w:w="1276" w:type="dxa"/>
            <w:tcBorders>
              <w:left w:val="nil"/>
              <w:right w:val="nil"/>
            </w:tcBorders>
          </w:tcPr>
          <w:p w14:paraId="24A31208"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80,56</w:t>
            </w:r>
          </w:p>
        </w:tc>
        <w:tc>
          <w:tcPr>
            <w:tcW w:w="1275" w:type="dxa"/>
            <w:tcBorders>
              <w:left w:val="nil"/>
              <w:right w:val="nil"/>
            </w:tcBorders>
          </w:tcPr>
          <w:p w14:paraId="1EF78A9C"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25,00</w:t>
            </w:r>
          </w:p>
        </w:tc>
        <w:tc>
          <w:tcPr>
            <w:tcW w:w="1276" w:type="dxa"/>
            <w:tcBorders>
              <w:left w:val="nil"/>
              <w:right w:val="nil"/>
            </w:tcBorders>
          </w:tcPr>
          <w:p w14:paraId="198D4403"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2,78</w:t>
            </w:r>
          </w:p>
        </w:tc>
        <w:tc>
          <w:tcPr>
            <w:tcW w:w="1276" w:type="dxa"/>
            <w:tcBorders>
              <w:left w:val="nil"/>
              <w:right w:val="nil"/>
            </w:tcBorders>
          </w:tcPr>
          <w:p w14:paraId="5B76E98D"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0,00</w:t>
            </w:r>
          </w:p>
        </w:tc>
      </w:tr>
    </w:tbl>
    <w:p w14:paraId="73B4EFDA" w14:textId="77777777" w:rsidR="003801E8" w:rsidRDefault="003801E8">
      <w:pPr>
        <w:tabs>
          <w:tab w:val="left" w:pos="3315"/>
        </w:tabs>
        <w:jc w:val="both"/>
        <w:rPr>
          <w:rFonts w:ascii="Times New Roman" w:hAnsi="Times New Roman" w:cs="Times New Roman"/>
          <w:bCs/>
          <w:color w:val="002060"/>
          <w:kern w:val="2"/>
          <w:sz w:val="22"/>
          <w:szCs w:val="22"/>
          <w:lang w:val="en-US" w:eastAsia="sr-Latn-ME"/>
        </w:rPr>
      </w:pPr>
    </w:p>
    <w:p w14:paraId="7F62710F" w14:textId="77777777" w:rsidR="003801E8" w:rsidRDefault="003801E8">
      <w:pPr>
        <w:tabs>
          <w:tab w:val="left" w:pos="3315"/>
        </w:tabs>
        <w:jc w:val="both"/>
        <w:rPr>
          <w:rFonts w:ascii="Book Antiqua" w:hAnsi="Book Antiqua" w:cs="Times New Roman"/>
          <w:bCs/>
          <w:color w:val="002060"/>
          <w:kern w:val="2"/>
          <w:sz w:val="24"/>
          <w:szCs w:val="24"/>
          <w:lang w:val="en-US" w:eastAsia="sr-Latn-ME"/>
        </w:rPr>
      </w:pPr>
    </w:p>
    <w:p w14:paraId="7E9837D1" w14:textId="77777777" w:rsidR="003801E8" w:rsidRDefault="00E44AAE">
      <w:pPr>
        <w:tabs>
          <w:tab w:val="left" w:pos="3315"/>
        </w:tabs>
        <w:spacing w:line="360" w:lineRule="auto"/>
        <w:jc w:val="both"/>
        <w:rPr>
          <w:rFonts w:ascii="Book Antiqua" w:hAnsi="Book Antiqua" w:cs="Times New Roman"/>
          <w:b/>
          <w:color w:val="000000" w:themeColor="text1"/>
          <w:kern w:val="2"/>
          <w:sz w:val="24"/>
          <w:szCs w:val="24"/>
          <w:lang w:val="en-US" w:eastAsia="sr-Latn-ME"/>
        </w:rPr>
      </w:pPr>
      <w:r>
        <w:rPr>
          <w:rFonts w:ascii="Book Antiqua" w:hAnsi="Book Antiqua" w:cs="Times New Roman"/>
          <w:b/>
          <w:color w:val="000000" w:themeColor="text1"/>
          <w:kern w:val="2"/>
          <w:sz w:val="24"/>
          <w:szCs w:val="24"/>
          <w:lang w:val="en-US" w:eastAsia="sr-Latn-ME"/>
        </w:rPr>
        <w:lastRenderedPageBreak/>
        <w:t xml:space="preserve">5.13 </w:t>
      </w:r>
      <w:r>
        <w:rPr>
          <w:rFonts w:ascii="Book Antiqua" w:hAnsi="Book Antiqua" w:cs="Times New Roman"/>
          <w:b/>
          <w:i/>
          <w:iCs/>
          <w:color w:val="000000" w:themeColor="text1"/>
          <w:kern w:val="2"/>
          <w:sz w:val="24"/>
          <w:szCs w:val="24"/>
          <w:lang w:val="en-US" w:eastAsia="sr-Latn-ME"/>
        </w:rPr>
        <w:t>In vivo</w:t>
      </w:r>
      <w:r>
        <w:rPr>
          <w:rFonts w:ascii="Book Antiqua" w:hAnsi="Book Antiqua" w:cs="Times New Roman"/>
          <w:b/>
          <w:color w:val="000000" w:themeColor="text1"/>
          <w:kern w:val="2"/>
          <w:sz w:val="24"/>
          <w:szCs w:val="24"/>
          <w:lang w:val="en-US" w:eastAsia="sr-Latn-ME"/>
        </w:rPr>
        <w:t xml:space="preserve"> test </w:t>
      </w:r>
      <w:r>
        <w:rPr>
          <w:rFonts w:ascii="Book Antiqua" w:hAnsi="Book Antiqua" w:cs="Times New Roman"/>
          <w:b/>
          <w:i/>
          <w:iCs/>
          <w:color w:val="000000" w:themeColor="text1"/>
          <w:kern w:val="2"/>
          <w:sz w:val="24"/>
          <w:szCs w:val="24"/>
          <w:lang w:val="en-US" w:eastAsia="sr-Latn-ME"/>
        </w:rPr>
        <w:t>T. citrinoviride</w:t>
      </w:r>
      <w:r>
        <w:rPr>
          <w:rFonts w:ascii="Book Antiqua" w:hAnsi="Book Antiqua" w:cs="Times New Roman"/>
          <w:b/>
          <w:color w:val="000000" w:themeColor="text1"/>
          <w:kern w:val="2"/>
          <w:sz w:val="24"/>
          <w:szCs w:val="24"/>
          <w:lang w:val="en-US" w:eastAsia="sr-Latn-ME"/>
        </w:rPr>
        <w:t xml:space="preserve"> T-CG, </w:t>
      </w:r>
      <w:r>
        <w:rPr>
          <w:rFonts w:ascii="Book Antiqua" w:hAnsi="Book Antiqua" w:cs="Times New Roman"/>
          <w:b/>
          <w:i/>
          <w:iCs/>
          <w:color w:val="000000" w:themeColor="text1"/>
          <w:kern w:val="2"/>
          <w:sz w:val="24"/>
          <w:szCs w:val="24"/>
          <w:lang w:val="en-US" w:eastAsia="sr-Latn-ME"/>
        </w:rPr>
        <w:t>T. atroviride</w:t>
      </w:r>
      <w:r>
        <w:rPr>
          <w:rFonts w:ascii="Book Antiqua" w:hAnsi="Book Antiqua" w:cs="Times New Roman"/>
          <w:b/>
          <w:color w:val="000000" w:themeColor="text1"/>
          <w:kern w:val="2"/>
          <w:sz w:val="24"/>
          <w:szCs w:val="24"/>
          <w:lang w:val="en-US" w:eastAsia="sr-Latn-ME"/>
        </w:rPr>
        <w:t xml:space="preserve"> SC1 i bakra prema </w:t>
      </w:r>
      <w:r>
        <w:rPr>
          <w:rFonts w:ascii="Book Antiqua" w:hAnsi="Book Antiqua" w:cs="Times New Roman"/>
          <w:b/>
          <w:i/>
          <w:iCs/>
          <w:color w:val="000000" w:themeColor="text1"/>
          <w:kern w:val="2"/>
          <w:sz w:val="24"/>
          <w:szCs w:val="24"/>
          <w:lang w:val="en-US" w:eastAsia="sr-Latn-ME"/>
        </w:rPr>
        <w:t>Fomitiporia mediterranea</w:t>
      </w:r>
    </w:p>
    <w:p w14:paraId="30A2585E" w14:textId="77777777" w:rsidR="003801E8" w:rsidRDefault="00E44AAE">
      <w:pPr>
        <w:spacing w:line="360" w:lineRule="auto"/>
        <w:jc w:val="both"/>
        <w:rPr>
          <w:rFonts w:ascii="Book Antiqua" w:hAnsi="Book Antiqua" w:cs="Times New Roman"/>
          <w:bCs/>
          <w:color w:val="000000" w:themeColor="text1"/>
          <w:kern w:val="2"/>
          <w:sz w:val="24"/>
          <w:szCs w:val="24"/>
          <w:lang w:eastAsia="sr-Latn-ME"/>
        </w:rPr>
      </w:pPr>
      <w:r>
        <w:rPr>
          <w:rFonts w:ascii="Book Antiqua" w:hAnsi="Book Antiqua" w:cs="Times New Roman"/>
          <w:bCs/>
          <w:color w:val="000000" w:themeColor="text1"/>
          <w:kern w:val="2"/>
          <w:sz w:val="24"/>
          <w:szCs w:val="24"/>
          <w:lang w:val="en-US" w:eastAsia="sr-Latn-ME"/>
        </w:rPr>
        <w:t xml:space="preserve">Dvije nedelje nakon inokulacije, na kontrolnim diskovima drveta vinove loze došlo je do razvoja bijele micelije. Micelija je nakon 21 dan dobila karakterističnu žutu boju (Slika 33). U negativnim kontrolama nije došlo do pojave micelije gljive </w:t>
      </w:r>
      <w:r>
        <w:rPr>
          <w:rFonts w:ascii="Book Antiqua" w:hAnsi="Book Antiqua" w:cs="Times New Roman"/>
          <w:bCs/>
          <w:i/>
          <w:iCs/>
          <w:color w:val="000000" w:themeColor="text1"/>
          <w:kern w:val="2"/>
          <w:sz w:val="24"/>
          <w:szCs w:val="24"/>
          <w:lang w:val="en-US" w:eastAsia="sr-Latn-ME"/>
        </w:rPr>
        <w:t>F. mediterranea</w:t>
      </w:r>
      <w:r>
        <w:rPr>
          <w:rFonts w:ascii="Book Antiqua" w:hAnsi="Book Antiqua" w:cs="Times New Roman"/>
          <w:bCs/>
          <w:color w:val="000000" w:themeColor="text1"/>
          <w:kern w:val="2"/>
          <w:sz w:val="24"/>
          <w:szCs w:val="24"/>
          <w:lang w:val="en-US" w:eastAsia="sr-Latn-ME"/>
        </w:rPr>
        <w:t>. Č</w:t>
      </w:r>
      <w:r>
        <w:rPr>
          <w:rFonts w:ascii="Book Antiqua" w:hAnsi="Book Antiqua" w:cs="Times New Roman"/>
          <w:bCs/>
          <w:color w:val="000000" w:themeColor="text1"/>
          <w:kern w:val="2"/>
          <w:sz w:val="24"/>
          <w:szCs w:val="24"/>
          <w:lang w:eastAsia="sr-Latn-ME"/>
        </w:rPr>
        <w:t xml:space="preserve">etiri nedelje nakon inokulacije srednji prečnik kolonije izolata MN008 </w:t>
      </w:r>
      <w:r>
        <w:rPr>
          <w:rFonts w:ascii="Book Antiqua" w:hAnsi="Book Antiqua" w:cs="Times New Roman"/>
          <w:bCs/>
          <w:i/>
          <w:iCs/>
          <w:color w:val="000000" w:themeColor="text1"/>
          <w:kern w:val="2"/>
          <w:sz w:val="24"/>
          <w:szCs w:val="24"/>
          <w:lang w:eastAsia="sr-Latn-ME"/>
        </w:rPr>
        <w:t>F. mediterranea</w:t>
      </w:r>
      <w:r>
        <w:rPr>
          <w:rFonts w:ascii="Book Antiqua" w:hAnsi="Book Antiqua" w:cs="Times New Roman"/>
          <w:bCs/>
          <w:color w:val="000000" w:themeColor="text1"/>
          <w:kern w:val="2"/>
          <w:sz w:val="24"/>
          <w:szCs w:val="24"/>
          <w:lang w:eastAsia="sr-Latn-ME"/>
        </w:rPr>
        <w:t xml:space="preserve"> u kontroli iznosio je 18,63 mm, a u tretmanu sa </w:t>
      </w:r>
      <w:r>
        <w:rPr>
          <w:rFonts w:ascii="Book Antiqua" w:hAnsi="Book Antiqua" w:cs="Times New Roman"/>
          <w:bCs/>
          <w:i/>
          <w:iCs/>
          <w:color w:val="000000" w:themeColor="text1"/>
          <w:kern w:val="2"/>
          <w:sz w:val="24"/>
          <w:szCs w:val="24"/>
          <w:lang w:eastAsia="sr-Latn-ME"/>
        </w:rPr>
        <w:t>T. citrinoviride</w:t>
      </w:r>
      <w:r>
        <w:rPr>
          <w:rFonts w:ascii="Book Antiqua" w:hAnsi="Book Antiqua" w:cs="Times New Roman"/>
          <w:bCs/>
          <w:color w:val="000000" w:themeColor="text1"/>
          <w:kern w:val="2"/>
          <w:sz w:val="24"/>
          <w:szCs w:val="24"/>
          <w:lang w:eastAsia="sr-Latn-ME"/>
        </w:rPr>
        <w:t xml:space="preserve"> T-CG 9,5 mm, </w:t>
      </w:r>
      <w:r>
        <w:rPr>
          <w:rFonts w:ascii="Book Antiqua" w:hAnsi="Book Antiqua" w:cs="Times New Roman"/>
          <w:bCs/>
          <w:i/>
          <w:iCs/>
          <w:color w:val="000000" w:themeColor="text1"/>
          <w:kern w:val="2"/>
          <w:sz w:val="24"/>
          <w:szCs w:val="24"/>
          <w:lang w:eastAsia="sr-Latn-ME"/>
        </w:rPr>
        <w:t>T. atroviride</w:t>
      </w:r>
      <w:r>
        <w:rPr>
          <w:rFonts w:ascii="Book Antiqua" w:hAnsi="Book Antiqua" w:cs="Times New Roman"/>
          <w:bCs/>
          <w:color w:val="000000" w:themeColor="text1"/>
          <w:kern w:val="2"/>
          <w:sz w:val="24"/>
          <w:szCs w:val="24"/>
          <w:lang w:eastAsia="sr-Latn-ME"/>
        </w:rPr>
        <w:t xml:space="preserve"> SC1, 9,87 mm, odnosno 12,62 mm u tretmanu sa bakrom (Nordox®). Srednji procenat inhibicije </w:t>
      </w:r>
      <w:r>
        <w:rPr>
          <w:rFonts w:ascii="Book Antiqua" w:hAnsi="Book Antiqua" w:cs="Times New Roman"/>
          <w:bCs/>
          <w:i/>
          <w:iCs/>
          <w:color w:val="000000" w:themeColor="text1"/>
          <w:kern w:val="2"/>
          <w:sz w:val="24"/>
          <w:szCs w:val="24"/>
          <w:lang w:eastAsia="sr-Latn-ME"/>
        </w:rPr>
        <w:t>F. mediterranea</w:t>
      </w:r>
      <w:r>
        <w:rPr>
          <w:rFonts w:ascii="Book Antiqua" w:hAnsi="Book Antiqua" w:cs="Times New Roman"/>
          <w:bCs/>
          <w:color w:val="000000" w:themeColor="text1"/>
          <w:kern w:val="2"/>
          <w:sz w:val="24"/>
          <w:szCs w:val="24"/>
          <w:lang w:eastAsia="sr-Latn-ME"/>
        </w:rPr>
        <w:t xml:space="preserve"> iznosio je 51,28% za </w:t>
      </w:r>
      <w:r>
        <w:rPr>
          <w:rFonts w:ascii="Book Antiqua" w:hAnsi="Book Antiqua" w:cs="Times New Roman"/>
          <w:bCs/>
          <w:i/>
          <w:iCs/>
          <w:color w:val="000000" w:themeColor="text1"/>
          <w:kern w:val="2"/>
          <w:sz w:val="24"/>
          <w:szCs w:val="24"/>
          <w:lang w:eastAsia="sr-Latn-ME"/>
        </w:rPr>
        <w:t>T. citrinoviride</w:t>
      </w:r>
      <w:r>
        <w:rPr>
          <w:rFonts w:ascii="Book Antiqua" w:hAnsi="Book Antiqua" w:cs="Times New Roman"/>
          <w:bCs/>
          <w:color w:val="000000" w:themeColor="text1"/>
          <w:kern w:val="2"/>
          <w:sz w:val="24"/>
          <w:szCs w:val="24"/>
          <w:lang w:eastAsia="sr-Latn-ME"/>
        </w:rPr>
        <w:t xml:space="preserve"> T-CG, 46,76% za </w:t>
      </w:r>
      <w:r>
        <w:rPr>
          <w:rFonts w:ascii="Book Antiqua" w:hAnsi="Book Antiqua" w:cs="Times New Roman"/>
          <w:bCs/>
          <w:i/>
          <w:iCs/>
          <w:color w:val="000000" w:themeColor="text1"/>
          <w:kern w:val="2"/>
          <w:sz w:val="24"/>
          <w:szCs w:val="24"/>
          <w:lang w:eastAsia="sr-Latn-ME"/>
        </w:rPr>
        <w:t>T. atroviride</w:t>
      </w:r>
      <w:r>
        <w:rPr>
          <w:rFonts w:ascii="Book Antiqua" w:hAnsi="Book Antiqua" w:cs="Times New Roman"/>
          <w:bCs/>
          <w:color w:val="000000" w:themeColor="text1"/>
          <w:kern w:val="2"/>
          <w:sz w:val="24"/>
          <w:szCs w:val="24"/>
          <w:lang w:eastAsia="sr-Latn-ME"/>
        </w:rPr>
        <w:t xml:space="preserve"> SC1 i 32,21% za bakar. Procenat inhibicije i potvrda statističkog značaja antagonističkog potencijala </w:t>
      </w:r>
      <w:r>
        <w:rPr>
          <w:rFonts w:ascii="Book Antiqua" w:hAnsi="Book Antiqua" w:cs="Times New Roman"/>
          <w:bCs/>
          <w:i/>
          <w:iCs/>
          <w:color w:val="000000" w:themeColor="text1"/>
          <w:kern w:val="2"/>
          <w:sz w:val="24"/>
          <w:szCs w:val="24"/>
          <w:lang w:eastAsia="sr-Latn-ME"/>
        </w:rPr>
        <w:t>T. citrinoviride</w:t>
      </w:r>
      <w:r>
        <w:rPr>
          <w:rFonts w:ascii="Book Antiqua" w:hAnsi="Book Antiqua" w:cs="Times New Roman"/>
          <w:bCs/>
          <w:color w:val="000000" w:themeColor="text1"/>
          <w:kern w:val="2"/>
          <w:sz w:val="24"/>
          <w:szCs w:val="24"/>
          <w:lang w:eastAsia="sr-Latn-ME"/>
        </w:rPr>
        <w:t xml:space="preserve"> T-CG, </w:t>
      </w:r>
      <w:r>
        <w:rPr>
          <w:rFonts w:ascii="Book Antiqua" w:hAnsi="Book Antiqua" w:cs="Times New Roman"/>
          <w:bCs/>
          <w:i/>
          <w:iCs/>
          <w:color w:val="000000" w:themeColor="text1"/>
          <w:kern w:val="2"/>
          <w:sz w:val="24"/>
          <w:szCs w:val="24"/>
          <w:lang w:eastAsia="sr-Latn-ME"/>
        </w:rPr>
        <w:t>T. atroviride</w:t>
      </w:r>
      <w:r>
        <w:rPr>
          <w:rFonts w:ascii="Book Antiqua" w:hAnsi="Book Antiqua" w:cs="Times New Roman"/>
          <w:bCs/>
          <w:color w:val="000000" w:themeColor="text1"/>
          <w:kern w:val="2"/>
          <w:sz w:val="24"/>
          <w:szCs w:val="24"/>
          <w:lang w:eastAsia="sr-Latn-ME"/>
        </w:rPr>
        <w:t xml:space="preserve"> SC1 i bakra (Nordox®) prema izolatu MN008 </w:t>
      </w:r>
      <w:r>
        <w:rPr>
          <w:rFonts w:ascii="Book Antiqua" w:hAnsi="Book Antiqua" w:cs="Times New Roman"/>
          <w:bCs/>
          <w:i/>
          <w:iCs/>
          <w:color w:val="000000" w:themeColor="text1"/>
          <w:kern w:val="2"/>
          <w:sz w:val="24"/>
          <w:szCs w:val="24"/>
          <w:lang w:eastAsia="sr-Latn-ME"/>
        </w:rPr>
        <w:t>F. mediterranea</w:t>
      </w:r>
      <w:r>
        <w:rPr>
          <w:rFonts w:ascii="Book Antiqua" w:hAnsi="Book Antiqua" w:cs="Times New Roman"/>
          <w:bCs/>
          <w:color w:val="000000" w:themeColor="text1"/>
          <w:kern w:val="2"/>
          <w:sz w:val="24"/>
          <w:szCs w:val="24"/>
          <w:lang w:eastAsia="sr-Latn-ME"/>
        </w:rPr>
        <w:t xml:space="preserve"> prikazani u tabeli 28. </w:t>
      </w:r>
    </w:p>
    <w:p w14:paraId="5F24E956" w14:textId="77777777" w:rsidR="003801E8" w:rsidRDefault="00E44AAE">
      <w:pPr>
        <w:spacing w:line="360" w:lineRule="auto"/>
        <w:jc w:val="both"/>
        <w:rPr>
          <w:rFonts w:ascii="Book Antiqua" w:hAnsi="Book Antiqua" w:cs="Times New Roman"/>
          <w:bCs/>
          <w:color w:val="000000" w:themeColor="text1"/>
          <w:kern w:val="2"/>
          <w:sz w:val="24"/>
          <w:szCs w:val="24"/>
          <w:lang w:eastAsia="sr-Latn-ME"/>
        </w:rPr>
      </w:pPr>
      <w:r>
        <w:rPr>
          <w:rFonts w:ascii="Book Antiqua" w:hAnsi="Book Antiqua" w:cs="Times New Roman"/>
          <w:bCs/>
          <w:color w:val="000000" w:themeColor="text1"/>
          <w:kern w:val="2"/>
          <w:sz w:val="24"/>
          <w:szCs w:val="24"/>
          <w:lang w:eastAsia="sr-Latn-ME"/>
        </w:rPr>
        <w:t xml:space="preserve">Takođe, statističke analize pokazuju da između antagonističke aktivnosti </w:t>
      </w:r>
      <w:r>
        <w:rPr>
          <w:rFonts w:ascii="Book Antiqua" w:hAnsi="Book Antiqua" w:cs="Times New Roman"/>
          <w:bCs/>
          <w:i/>
          <w:iCs/>
          <w:color w:val="000000" w:themeColor="text1"/>
          <w:kern w:val="2"/>
          <w:sz w:val="24"/>
          <w:szCs w:val="24"/>
          <w:lang w:eastAsia="sr-Latn-ME"/>
        </w:rPr>
        <w:t>T. citrinoviride</w:t>
      </w:r>
      <w:r>
        <w:rPr>
          <w:rFonts w:ascii="Book Antiqua" w:hAnsi="Book Antiqua" w:cs="Times New Roman"/>
          <w:bCs/>
          <w:color w:val="000000" w:themeColor="text1"/>
          <w:kern w:val="2"/>
          <w:sz w:val="24"/>
          <w:szCs w:val="24"/>
          <w:lang w:eastAsia="sr-Latn-ME"/>
        </w:rPr>
        <w:t xml:space="preserve"> T-CG i </w:t>
      </w:r>
      <w:r>
        <w:rPr>
          <w:rFonts w:ascii="Book Antiqua" w:hAnsi="Book Antiqua" w:cs="Times New Roman"/>
          <w:bCs/>
          <w:i/>
          <w:iCs/>
          <w:color w:val="000000" w:themeColor="text1"/>
          <w:kern w:val="2"/>
          <w:sz w:val="24"/>
          <w:szCs w:val="24"/>
          <w:lang w:eastAsia="sr-Latn-ME"/>
        </w:rPr>
        <w:t>T. atroviride</w:t>
      </w:r>
      <w:r>
        <w:rPr>
          <w:rFonts w:ascii="Book Antiqua" w:hAnsi="Book Antiqua" w:cs="Times New Roman"/>
          <w:bCs/>
          <w:color w:val="000000" w:themeColor="text1"/>
          <w:kern w:val="2"/>
          <w:sz w:val="24"/>
          <w:szCs w:val="24"/>
          <w:lang w:eastAsia="sr-Latn-ME"/>
        </w:rPr>
        <w:t xml:space="preserve"> SC1 prema izolatu MN008 </w:t>
      </w:r>
      <w:r>
        <w:rPr>
          <w:rFonts w:ascii="Book Antiqua" w:hAnsi="Book Antiqua" w:cs="Times New Roman"/>
          <w:bCs/>
          <w:i/>
          <w:iCs/>
          <w:color w:val="000000" w:themeColor="text1"/>
          <w:kern w:val="2"/>
          <w:sz w:val="24"/>
          <w:szCs w:val="24"/>
          <w:lang w:eastAsia="sr-Latn-ME"/>
        </w:rPr>
        <w:t>F. mediterranea</w:t>
      </w:r>
      <w:r>
        <w:rPr>
          <w:rFonts w:ascii="Book Antiqua" w:hAnsi="Book Antiqua" w:cs="Times New Roman"/>
          <w:bCs/>
          <w:color w:val="000000" w:themeColor="text1"/>
          <w:kern w:val="2"/>
          <w:sz w:val="24"/>
          <w:szCs w:val="24"/>
          <w:lang w:eastAsia="sr-Latn-ME"/>
        </w:rPr>
        <w:t xml:space="preserve"> nema statistički značajne razlike (</w:t>
      </w:r>
      <w:r>
        <w:rPr>
          <w:rFonts w:ascii="Book Antiqua" w:hAnsi="Book Antiqua" w:cs="Times New Roman"/>
          <w:bCs/>
          <w:i/>
          <w:iCs/>
          <w:color w:val="000000" w:themeColor="text1"/>
          <w:kern w:val="2"/>
          <w:sz w:val="24"/>
          <w:szCs w:val="24"/>
          <w:lang w:eastAsia="sr-Latn-ME"/>
        </w:rPr>
        <w:t>p</w:t>
      </w:r>
      <w:r>
        <w:rPr>
          <w:rFonts w:ascii="Book Antiqua" w:hAnsi="Book Antiqua" w:cs="Times New Roman"/>
          <w:bCs/>
          <w:color w:val="000000" w:themeColor="text1"/>
          <w:kern w:val="2"/>
          <w:sz w:val="24"/>
          <w:szCs w:val="24"/>
          <w:lang w:val="en-US" w:eastAsia="sr-Latn-ME"/>
        </w:rPr>
        <w:t xml:space="preserve">=0,60). Obadvije ispitivane vrste iz roda </w:t>
      </w:r>
      <w:r>
        <w:rPr>
          <w:rFonts w:ascii="Book Antiqua" w:hAnsi="Book Antiqua" w:cs="Times New Roman"/>
          <w:bCs/>
          <w:i/>
          <w:iCs/>
          <w:color w:val="000000" w:themeColor="text1"/>
          <w:kern w:val="2"/>
          <w:sz w:val="24"/>
          <w:szCs w:val="24"/>
          <w:lang w:val="en-US" w:eastAsia="sr-Latn-ME"/>
        </w:rPr>
        <w:t>Trichoderma</w:t>
      </w:r>
      <w:r>
        <w:rPr>
          <w:rFonts w:ascii="Book Antiqua" w:hAnsi="Book Antiqua" w:cs="Times New Roman"/>
          <w:bCs/>
          <w:color w:val="000000" w:themeColor="text1"/>
          <w:kern w:val="2"/>
          <w:sz w:val="24"/>
          <w:szCs w:val="24"/>
          <w:lang w:val="en-US" w:eastAsia="sr-Latn-ME"/>
        </w:rPr>
        <w:t xml:space="preserve"> su pokazale veći antagonistički potencijal prema </w:t>
      </w:r>
      <w:r>
        <w:rPr>
          <w:rFonts w:ascii="Book Antiqua" w:hAnsi="Book Antiqua" w:cs="Times New Roman"/>
          <w:bCs/>
          <w:i/>
          <w:iCs/>
          <w:color w:val="000000" w:themeColor="text1"/>
          <w:kern w:val="2"/>
          <w:sz w:val="24"/>
          <w:szCs w:val="24"/>
          <w:lang w:val="en-US" w:eastAsia="sr-Latn-ME"/>
        </w:rPr>
        <w:t>F. mediterranea</w:t>
      </w:r>
      <w:r>
        <w:rPr>
          <w:rFonts w:ascii="Book Antiqua" w:hAnsi="Book Antiqua" w:cs="Times New Roman"/>
          <w:bCs/>
          <w:color w:val="000000" w:themeColor="text1"/>
          <w:kern w:val="2"/>
          <w:sz w:val="24"/>
          <w:szCs w:val="24"/>
          <w:lang w:val="en-US" w:eastAsia="sr-Latn-ME"/>
        </w:rPr>
        <w:t xml:space="preserve"> MN008 u odnosu na bakar (</w:t>
      </w:r>
      <w:r>
        <w:rPr>
          <w:rFonts w:ascii="Book Antiqua" w:hAnsi="Book Antiqua" w:cs="Times New Roman"/>
          <w:bCs/>
          <w:i/>
          <w:iCs/>
          <w:color w:val="000000" w:themeColor="text1"/>
          <w:kern w:val="2"/>
          <w:sz w:val="24"/>
          <w:szCs w:val="24"/>
          <w:lang w:val="en-US" w:eastAsia="sr-Latn-ME"/>
        </w:rPr>
        <w:t>p</w:t>
      </w:r>
      <w:r>
        <w:rPr>
          <w:rFonts w:ascii="Book Antiqua" w:hAnsi="Book Antiqua" w:cs="Times New Roman"/>
          <w:bCs/>
          <w:color w:val="000000" w:themeColor="text1"/>
          <w:kern w:val="2"/>
          <w:sz w:val="24"/>
          <w:szCs w:val="24"/>
          <w:lang w:val="en-US" w:eastAsia="sr-Latn-ME"/>
        </w:rPr>
        <w:t xml:space="preserve">= </w:t>
      </w:r>
      <w:r>
        <w:rPr>
          <w:rFonts w:ascii="Book Antiqua" w:eastAsia="Times New Roman" w:hAnsi="Book Antiqua" w:cs="Calibri"/>
          <w:color w:val="000000"/>
          <w:sz w:val="24"/>
          <w:szCs w:val="24"/>
          <w:lang w:val="en-US"/>
        </w:rPr>
        <w:t xml:space="preserve">6.01482E-05 - </w:t>
      </w:r>
      <w:r>
        <w:rPr>
          <w:rFonts w:ascii="Book Antiqua" w:hAnsi="Book Antiqua" w:cs="Times New Roman"/>
          <w:bCs/>
          <w:i/>
          <w:iCs/>
          <w:color w:val="000000" w:themeColor="text1"/>
          <w:kern w:val="2"/>
          <w:sz w:val="24"/>
          <w:szCs w:val="24"/>
          <w:lang w:val="en-US" w:eastAsia="sr-Latn-ME"/>
        </w:rPr>
        <w:t>T. citrinoviride</w:t>
      </w:r>
      <w:r>
        <w:rPr>
          <w:rFonts w:ascii="Book Antiqua" w:hAnsi="Book Antiqua" w:cs="Times New Roman"/>
          <w:bCs/>
          <w:color w:val="000000" w:themeColor="text1"/>
          <w:kern w:val="2"/>
          <w:sz w:val="24"/>
          <w:szCs w:val="24"/>
          <w:lang w:val="en-US" w:eastAsia="sr-Latn-ME"/>
        </w:rPr>
        <w:t xml:space="preserve"> T-CG; </w:t>
      </w:r>
      <w:r>
        <w:rPr>
          <w:rFonts w:ascii="Book Antiqua" w:hAnsi="Book Antiqua" w:cs="Times New Roman"/>
          <w:bCs/>
          <w:i/>
          <w:iCs/>
          <w:color w:val="000000" w:themeColor="text1"/>
          <w:kern w:val="2"/>
          <w:sz w:val="24"/>
          <w:szCs w:val="24"/>
          <w:lang w:val="en-US" w:eastAsia="sr-Latn-ME"/>
        </w:rPr>
        <w:t>p</w:t>
      </w:r>
      <w:r>
        <w:rPr>
          <w:rFonts w:ascii="Book Antiqua" w:hAnsi="Book Antiqua" w:cs="Times New Roman"/>
          <w:bCs/>
          <w:color w:val="000000" w:themeColor="text1"/>
          <w:kern w:val="2"/>
          <w:sz w:val="24"/>
          <w:szCs w:val="24"/>
          <w:lang w:val="en-US" w:eastAsia="sr-Latn-ME"/>
        </w:rPr>
        <w:t xml:space="preserve">=0,007 – </w:t>
      </w:r>
      <w:r>
        <w:rPr>
          <w:rFonts w:ascii="Book Antiqua" w:hAnsi="Book Antiqua" w:cs="Times New Roman"/>
          <w:bCs/>
          <w:i/>
          <w:iCs/>
          <w:color w:val="000000" w:themeColor="text1"/>
          <w:kern w:val="2"/>
          <w:sz w:val="24"/>
          <w:szCs w:val="24"/>
          <w:lang w:val="en-US" w:eastAsia="sr-Latn-ME"/>
        </w:rPr>
        <w:t>T. atroviride</w:t>
      </w:r>
      <w:r>
        <w:rPr>
          <w:rFonts w:ascii="Book Antiqua" w:hAnsi="Book Antiqua" w:cs="Times New Roman"/>
          <w:bCs/>
          <w:color w:val="000000" w:themeColor="text1"/>
          <w:kern w:val="2"/>
          <w:sz w:val="24"/>
          <w:szCs w:val="24"/>
          <w:lang w:val="en-US" w:eastAsia="sr-Latn-ME"/>
        </w:rPr>
        <w:t xml:space="preserve"> SC1). </w:t>
      </w:r>
      <w:r>
        <w:rPr>
          <w:rFonts w:ascii="Book Antiqua" w:hAnsi="Book Antiqua" w:cs="Times New Roman"/>
          <w:bCs/>
          <w:color w:val="000000" w:themeColor="text1"/>
          <w:kern w:val="2"/>
          <w:sz w:val="24"/>
          <w:szCs w:val="24"/>
          <w:lang w:eastAsia="sr-Latn-ME"/>
        </w:rPr>
        <w:t xml:space="preserve">Do razvoja micelije patogena došlo je samo na inokulisanim svježim diskovima drveta vinove loze. Na autoklaviranim diskovima nije uočen razvoj bilo kakve micelije. Na površini diskova drveta došlo je do pojave gumozne mase, koja je nastala kao odgovor drveta vinove loze na rezidbu. </w:t>
      </w:r>
    </w:p>
    <w:p w14:paraId="26186442" w14:textId="77777777" w:rsidR="003801E8" w:rsidRDefault="00E44AAE">
      <w:pPr>
        <w:tabs>
          <w:tab w:val="left" w:pos="3315"/>
        </w:tabs>
        <w:spacing w:line="360" w:lineRule="auto"/>
        <w:jc w:val="both"/>
        <w:rPr>
          <w:rFonts w:ascii="Book Antiqua" w:hAnsi="Book Antiqua" w:cs="Times New Roman"/>
          <w:bCs/>
          <w:color w:val="000000" w:themeColor="text1"/>
          <w:kern w:val="2"/>
          <w:sz w:val="22"/>
          <w:szCs w:val="22"/>
          <w:lang w:val="en-US" w:eastAsia="sr-Latn-ME"/>
        </w:rPr>
      </w:pPr>
      <w:r>
        <w:rPr>
          <w:rFonts w:ascii="Book Antiqua" w:hAnsi="Book Antiqua" w:cs="Times New Roman"/>
          <w:bCs/>
          <w:noProof/>
          <w:color w:val="000000" w:themeColor="text1"/>
          <w:kern w:val="2"/>
          <w:sz w:val="24"/>
          <w:szCs w:val="24"/>
          <w:lang w:val="en-US"/>
        </w:rPr>
        <w:lastRenderedPageBreak/>
        <w:drawing>
          <wp:inline distT="0" distB="0" distL="0" distR="0" wp14:anchorId="76F89391" wp14:editId="39421BBC">
            <wp:extent cx="5400040" cy="1743075"/>
            <wp:effectExtent l="0" t="0" r="0" b="9525"/>
            <wp:docPr id="15779303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930329" name="Picture 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00040" cy="1743075"/>
                    </a:xfrm>
                    <a:prstGeom prst="rect">
                      <a:avLst/>
                    </a:prstGeom>
                  </pic:spPr>
                </pic:pic>
              </a:graphicData>
            </a:graphic>
          </wp:inline>
        </w:drawing>
      </w:r>
      <w:r>
        <w:rPr>
          <w:rFonts w:ascii="Book Antiqua" w:hAnsi="Book Antiqua" w:cs="Times New Roman"/>
          <w:b/>
          <w:color w:val="000000" w:themeColor="text1"/>
          <w:kern w:val="2"/>
          <w:sz w:val="22"/>
          <w:szCs w:val="22"/>
          <w:lang w:val="en-US" w:eastAsia="sr-Latn-ME"/>
        </w:rPr>
        <w:t>Slika 33</w:t>
      </w:r>
      <w:r>
        <w:rPr>
          <w:rFonts w:ascii="Book Antiqua" w:hAnsi="Book Antiqua" w:cs="Times New Roman"/>
          <w:bCs/>
          <w:color w:val="000000" w:themeColor="text1"/>
          <w:kern w:val="2"/>
          <w:sz w:val="22"/>
          <w:szCs w:val="22"/>
          <w:lang w:val="en-US" w:eastAsia="sr-Latn-ME"/>
        </w:rPr>
        <w:t xml:space="preserve">. A. Micelija izolata MN008 </w:t>
      </w:r>
      <w:r>
        <w:rPr>
          <w:rFonts w:ascii="Book Antiqua" w:hAnsi="Book Antiqua" w:cs="Times New Roman"/>
          <w:bCs/>
          <w:i/>
          <w:iCs/>
          <w:color w:val="000000" w:themeColor="text1"/>
          <w:kern w:val="2"/>
          <w:sz w:val="22"/>
          <w:szCs w:val="22"/>
          <w:lang w:val="en-US" w:eastAsia="sr-Latn-ME"/>
        </w:rPr>
        <w:t>F. medtiterranea</w:t>
      </w:r>
      <w:r>
        <w:rPr>
          <w:rFonts w:ascii="Book Antiqua" w:hAnsi="Book Antiqua" w:cs="Times New Roman"/>
          <w:bCs/>
          <w:color w:val="000000" w:themeColor="text1"/>
          <w:kern w:val="2"/>
          <w:sz w:val="22"/>
          <w:szCs w:val="22"/>
          <w:lang w:val="en-US" w:eastAsia="sr-Latn-ME"/>
        </w:rPr>
        <w:t xml:space="preserve"> na kontroli (žuta strelica) i tretmanu sa </w:t>
      </w:r>
      <w:r>
        <w:rPr>
          <w:rFonts w:ascii="Book Antiqua" w:hAnsi="Book Antiqua" w:cs="Times New Roman"/>
          <w:bCs/>
          <w:i/>
          <w:iCs/>
          <w:color w:val="000000" w:themeColor="text1"/>
          <w:kern w:val="2"/>
          <w:sz w:val="22"/>
          <w:szCs w:val="22"/>
          <w:lang w:val="en-US" w:eastAsia="sr-Latn-ME"/>
        </w:rPr>
        <w:t>T. citrinoviride</w:t>
      </w:r>
      <w:r>
        <w:rPr>
          <w:rFonts w:ascii="Book Antiqua" w:hAnsi="Book Antiqua" w:cs="Times New Roman"/>
          <w:bCs/>
          <w:color w:val="000000" w:themeColor="text1"/>
          <w:kern w:val="2"/>
          <w:sz w:val="22"/>
          <w:szCs w:val="22"/>
          <w:lang w:val="en-US" w:eastAsia="sr-Latn-ME"/>
        </w:rPr>
        <w:t xml:space="preserve"> T-CG (roza strelica); B. Micelija izolata MN008 </w:t>
      </w:r>
      <w:r>
        <w:rPr>
          <w:rFonts w:ascii="Book Antiqua" w:hAnsi="Book Antiqua" w:cs="Times New Roman"/>
          <w:bCs/>
          <w:i/>
          <w:iCs/>
          <w:color w:val="000000" w:themeColor="text1"/>
          <w:kern w:val="2"/>
          <w:sz w:val="22"/>
          <w:szCs w:val="22"/>
          <w:lang w:val="en-US" w:eastAsia="sr-Latn-ME"/>
        </w:rPr>
        <w:t>F. medtiterranea</w:t>
      </w:r>
      <w:r>
        <w:rPr>
          <w:rFonts w:ascii="Book Antiqua" w:hAnsi="Book Antiqua" w:cs="Times New Roman"/>
          <w:bCs/>
          <w:color w:val="000000" w:themeColor="text1"/>
          <w:kern w:val="2"/>
          <w:sz w:val="22"/>
          <w:szCs w:val="22"/>
          <w:lang w:val="en-US" w:eastAsia="sr-Latn-ME"/>
        </w:rPr>
        <w:t xml:space="preserve"> na tretmanu sa </w:t>
      </w:r>
      <w:r>
        <w:rPr>
          <w:rFonts w:ascii="Book Antiqua" w:hAnsi="Book Antiqua" w:cs="Times New Roman"/>
          <w:bCs/>
          <w:i/>
          <w:iCs/>
          <w:color w:val="000000" w:themeColor="text1"/>
          <w:kern w:val="2"/>
          <w:sz w:val="22"/>
          <w:szCs w:val="22"/>
          <w:lang w:val="en-US" w:eastAsia="sr-Latn-ME"/>
        </w:rPr>
        <w:t>T. atroviride</w:t>
      </w:r>
      <w:r>
        <w:rPr>
          <w:rFonts w:ascii="Book Antiqua" w:hAnsi="Book Antiqua" w:cs="Times New Roman"/>
          <w:bCs/>
          <w:color w:val="000000" w:themeColor="text1"/>
          <w:kern w:val="2"/>
          <w:sz w:val="22"/>
          <w:szCs w:val="22"/>
          <w:lang w:val="en-US" w:eastAsia="sr-Latn-ME"/>
        </w:rPr>
        <w:t xml:space="preserve"> SC 1; C. Micelija izolata MN008 </w:t>
      </w:r>
      <w:r>
        <w:rPr>
          <w:rFonts w:ascii="Book Antiqua" w:hAnsi="Book Antiqua" w:cs="Times New Roman"/>
          <w:bCs/>
          <w:i/>
          <w:iCs/>
          <w:color w:val="000000" w:themeColor="text1"/>
          <w:kern w:val="2"/>
          <w:sz w:val="22"/>
          <w:szCs w:val="22"/>
          <w:lang w:val="en-US" w:eastAsia="sr-Latn-ME"/>
        </w:rPr>
        <w:t>F. mediterranea</w:t>
      </w:r>
      <w:r>
        <w:rPr>
          <w:rFonts w:ascii="Book Antiqua" w:hAnsi="Book Antiqua" w:cs="Times New Roman"/>
          <w:bCs/>
          <w:color w:val="000000" w:themeColor="text1"/>
          <w:kern w:val="2"/>
          <w:sz w:val="22"/>
          <w:szCs w:val="22"/>
          <w:lang w:val="en-US" w:eastAsia="sr-Latn-ME"/>
        </w:rPr>
        <w:t xml:space="preserve"> na tretmanu sa bakrom </w:t>
      </w:r>
    </w:p>
    <w:p w14:paraId="10CAED8E" w14:textId="77777777" w:rsidR="003801E8" w:rsidRDefault="003801E8">
      <w:pPr>
        <w:tabs>
          <w:tab w:val="left" w:pos="3315"/>
        </w:tabs>
        <w:spacing w:line="360" w:lineRule="auto"/>
        <w:jc w:val="both"/>
        <w:rPr>
          <w:rFonts w:ascii="Book Antiqua" w:hAnsi="Book Antiqua" w:cs="Times New Roman"/>
          <w:b/>
          <w:color w:val="000000" w:themeColor="text1"/>
          <w:kern w:val="2"/>
          <w:sz w:val="22"/>
          <w:szCs w:val="22"/>
          <w:lang w:val="en-US" w:eastAsia="sr-Latn-ME"/>
        </w:rPr>
      </w:pPr>
    </w:p>
    <w:p w14:paraId="54080F31" w14:textId="77777777" w:rsidR="003801E8" w:rsidRDefault="00E44AAE">
      <w:pPr>
        <w:tabs>
          <w:tab w:val="left" w:pos="3315"/>
        </w:tabs>
        <w:spacing w:line="360" w:lineRule="auto"/>
        <w:jc w:val="both"/>
        <w:rPr>
          <w:rFonts w:ascii="Book Antiqua" w:hAnsi="Book Antiqua" w:cs="Times New Roman"/>
          <w:bCs/>
          <w:color w:val="000000" w:themeColor="text1"/>
          <w:kern w:val="2"/>
          <w:sz w:val="22"/>
          <w:szCs w:val="22"/>
          <w:lang w:val="en-US" w:eastAsia="sr-Latn-ME"/>
        </w:rPr>
      </w:pPr>
      <w:r>
        <w:rPr>
          <w:rFonts w:ascii="Book Antiqua" w:hAnsi="Book Antiqua" w:cs="Times New Roman"/>
          <w:b/>
          <w:color w:val="000000" w:themeColor="text1"/>
          <w:kern w:val="2"/>
          <w:sz w:val="22"/>
          <w:szCs w:val="22"/>
          <w:lang w:val="en-US" w:eastAsia="sr-Latn-ME"/>
        </w:rPr>
        <w:t>Tabela 28</w:t>
      </w:r>
      <w:r>
        <w:rPr>
          <w:rFonts w:ascii="Book Antiqua" w:hAnsi="Book Antiqua" w:cs="Times New Roman"/>
          <w:bCs/>
          <w:color w:val="000000" w:themeColor="text1"/>
          <w:kern w:val="2"/>
          <w:sz w:val="22"/>
          <w:szCs w:val="22"/>
          <w:lang w:val="en-US" w:eastAsia="sr-Latn-ME"/>
        </w:rPr>
        <w:t xml:space="preserve">. Rezultati </w:t>
      </w:r>
      <w:r>
        <w:rPr>
          <w:rFonts w:ascii="Book Antiqua" w:hAnsi="Book Antiqua" w:cs="Times New Roman"/>
          <w:bCs/>
          <w:i/>
          <w:iCs/>
          <w:color w:val="000000" w:themeColor="text1"/>
          <w:kern w:val="2"/>
          <w:sz w:val="22"/>
          <w:szCs w:val="22"/>
          <w:lang w:val="en-US" w:eastAsia="sr-Latn-ME"/>
        </w:rPr>
        <w:t>in vivo</w:t>
      </w:r>
      <w:r>
        <w:rPr>
          <w:rFonts w:ascii="Book Antiqua" w:hAnsi="Book Antiqua" w:cs="Times New Roman"/>
          <w:bCs/>
          <w:color w:val="000000" w:themeColor="text1"/>
          <w:kern w:val="2"/>
          <w:sz w:val="22"/>
          <w:szCs w:val="22"/>
          <w:lang w:val="en-US" w:eastAsia="sr-Latn-ME"/>
        </w:rPr>
        <w:t xml:space="preserve"> testiranja </w:t>
      </w:r>
      <w:r>
        <w:rPr>
          <w:rFonts w:ascii="Book Antiqua" w:hAnsi="Book Antiqua" w:cs="Times New Roman"/>
          <w:bCs/>
          <w:i/>
          <w:iCs/>
          <w:color w:val="000000" w:themeColor="text1"/>
          <w:kern w:val="2"/>
          <w:sz w:val="22"/>
          <w:szCs w:val="22"/>
          <w:lang w:val="en-US" w:eastAsia="sr-Latn-ME"/>
        </w:rPr>
        <w:t>T. citrinoviride</w:t>
      </w:r>
      <w:r>
        <w:rPr>
          <w:rFonts w:ascii="Book Antiqua" w:hAnsi="Book Antiqua" w:cs="Times New Roman"/>
          <w:bCs/>
          <w:color w:val="000000" w:themeColor="text1"/>
          <w:kern w:val="2"/>
          <w:sz w:val="22"/>
          <w:szCs w:val="22"/>
          <w:lang w:val="en-US" w:eastAsia="sr-Latn-ME"/>
        </w:rPr>
        <w:t xml:space="preserve"> T-CG, </w:t>
      </w:r>
      <w:r>
        <w:rPr>
          <w:rFonts w:ascii="Book Antiqua" w:hAnsi="Book Antiqua" w:cs="Times New Roman"/>
          <w:bCs/>
          <w:i/>
          <w:iCs/>
          <w:color w:val="000000" w:themeColor="text1"/>
          <w:kern w:val="2"/>
          <w:sz w:val="22"/>
          <w:szCs w:val="22"/>
          <w:lang w:val="en-US" w:eastAsia="sr-Latn-ME"/>
        </w:rPr>
        <w:t>T. atroviride</w:t>
      </w:r>
      <w:r>
        <w:rPr>
          <w:rFonts w:ascii="Book Antiqua" w:hAnsi="Book Antiqua" w:cs="Times New Roman"/>
          <w:bCs/>
          <w:color w:val="000000" w:themeColor="text1"/>
          <w:kern w:val="2"/>
          <w:sz w:val="22"/>
          <w:szCs w:val="22"/>
          <w:lang w:val="en-US" w:eastAsia="sr-Latn-ME"/>
        </w:rPr>
        <w:t xml:space="preserve"> SC1 i bakra (Nordox </w:t>
      </w:r>
      <w:r>
        <w:rPr>
          <w:rFonts w:ascii="Book Antiqua" w:hAnsi="Book Antiqua" w:cs="Times New Roman"/>
          <w:bCs/>
          <w:color w:val="000000" w:themeColor="text1"/>
          <w:kern w:val="2"/>
          <w:sz w:val="24"/>
          <w:szCs w:val="24"/>
          <w:lang w:eastAsia="sr-Latn-ME"/>
        </w:rPr>
        <w:t>®</w:t>
      </w:r>
      <w:r>
        <w:rPr>
          <w:rFonts w:ascii="Book Antiqua" w:hAnsi="Book Antiqua" w:cs="Times New Roman"/>
          <w:bCs/>
          <w:color w:val="000000" w:themeColor="text1"/>
          <w:kern w:val="2"/>
          <w:sz w:val="22"/>
          <w:szCs w:val="22"/>
          <w:lang w:val="en-US" w:eastAsia="sr-Latn-ME"/>
        </w:rPr>
        <w:t xml:space="preserve"> ) prema izolatu MN008 </w:t>
      </w:r>
      <w:r>
        <w:rPr>
          <w:rFonts w:ascii="Book Antiqua" w:hAnsi="Book Antiqua" w:cs="Times New Roman"/>
          <w:bCs/>
          <w:i/>
          <w:iCs/>
          <w:color w:val="000000" w:themeColor="text1"/>
          <w:kern w:val="2"/>
          <w:sz w:val="22"/>
          <w:szCs w:val="22"/>
          <w:lang w:val="en-US" w:eastAsia="sr-Latn-ME"/>
        </w:rPr>
        <w:t xml:space="preserve">F. mediterranea </w:t>
      </w:r>
    </w:p>
    <w:tbl>
      <w:tblPr>
        <w:tblStyle w:val="TableGrid"/>
        <w:tblW w:w="9759" w:type="dxa"/>
        <w:tblLook w:val="04A0" w:firstRow="1" w:lastRow="0" w:firstColumn="1" w:lastColumn="0" w:noHBand="0" w:noVBand="1"/>
      </w:tblPr>
      <w:tblGrid>
        <w:gridCol w:w="1260"/>
        <w:gridCol w:w="1610"/>
        <w:gridCol w:w="1250"/>
        <w:gridCol w:w="1254"/>
        <w:gridCol w:w="114"/>
        <w:gridCol w:w="1254"/>
        <w:gridCol w:w="1254"/>
        <w:gridCol w:w="1763"/>
      </w:tblGrid>
      <w:tr w:rsidR="003801E8" w14:paraId="520689A1" w14:textId="77777777">
        <w:tc>
          <w:tcPr>
            <w:tcW w:w="1260" w:type="dxa"/>
            <w:tcBorders>
              <w:left w:val="nil"/>
              <w:right w:val="nil"/>
            </w:tcBorders>
          </w:tcPr>
          <w:p w14:paraId="543BA3E4" w14:textId="77777777" w:rsidR="003801E8" w:rsidRDefault="00E44AAE">
            <w:pPr>
              <w:tabs>
                <w:tab w:val="left" w:pos="3315"/>
              </w:tabs>
              <w:spacing w:after="0" w:line="360" w:lineRule="auto"/>
              <w:jc w:val="both"/>
              <w:rPr>
                <w:rFonts w:ascii="Book Antiqua" w:hAnsi="Book Antiqua" w:cs="Times New Roman"/>
                <w:b/>
                <w:bCs/>
                <w:color w:val="000000" w:themeColor="text1"/>
                <w:kern w:val="2"/>
                <w:sz w:val="18"/>
                <w:szCs w:val="18"/>
                <w:lang w:val="en-US" w:eastAsia="sr-Latn-ME"/>
              </w:rPr>
            </w:pPr>
            <w:r>
              <w:rPr>
                <w:rFonts w:ascii="Book Antiqua" w:hAnsi="Book Antiqua" w:cs="Times New Roman"/>
                <w:b/>
                <w:bCs/>
                <w:color w:val="000000" w:themeColor="text1"/>
                <w:sz w:val="18"/>
                <w:szCs w:val="18"/>
                <w:lang w:val="sr-Latn-RS"/>
              </w:rPr>
              <w:t>Prečnik N (mm)</w:t>
            </w:r>
          </w:p>
        </w:tc>
        <w:tc>
          <w:tcPr>
            <w:tcW w:w="1610" w:type="dxa"/>
            <w:tcBorders>
              <w:left w:val="nil"/>
              <w:right w:val="nil"/>
            </w:tcBorders>
          </w:tcPr>
          <w:p w14:paraId="0F0B3A8C" w14:textId="77777777" w:rsidR="003801E8" w:rsidRDefault="00E44AAE">
            <w:pPr>
              <w:tabs>
                <w:tab w:val="left" w:pos="3315"/>
              </w:tabs>
              <w:spacing w:after="0" w:line="360" w:lineRule="auto"/>
              <w:jc w:val="both"/>
              <w:rPr>
                <w:rFonts w:ascii="Book Antiqua" w:hAnsi="Book Antiqua" w:cs="Times New Roman"/>
                <w:b/>
                <w:bCs/>
                <w:color w:val="000000" w:themeColor="text1"/>
                <w:kern w:val="2"/>
                <w:sz w:val="18"/>
                <w:szCs w:val="18"/>
                <w:lang w:val="en-US" w:eastAsia="sr-Latn-ME"/>
              </w:rPr>
            </w:pPr>
            <w:r>
              <w:rPr>
                <w:rFonts w:ascii="Book Antiqua" w:hAnsi="Book Antiqua" w:cs="Times New Roman"/>
                <w:b/>
                <w:bCs/>
                <w:color w:val="000000" w:themeColor="text1"/>
                <w:sz w:val="18"/>
                <w:szCs w:val="18"/>
                <w:lang w:val="sr-Latn-RS"/>
              </w:rPr>
              <w:t>Prečnik FM x TC (mm)</w:t>
            </w:r>
          </w:p>
        </w:tc>
        <w:tc>
          <w:tcPr>
            <w:tcW w:w="1250" w:type="dxa"/>
            <w:tcBorders>
              <w:left w:val="nil"/>
              <w:right w:val="nil"/>
            </w:tcBorders>
          </w:tcPr>
          <w:p w14:paraId="3CD1C2BC" w14:textId="77777777" w:rsidR="003801E8" w:rsidRDefault="00E44AAE">
            <w:pPr>
              <w:tabs>
                <w:tab w:val="left" w:pos="3315"/>
              </w:tabs>
              <w:spacing w:after="0" w:line="360" w:lineRule="auto"/>
              <w:jc w:val="both"/>
              <w:rPr>
                <w:rFonts w:ascii="Book Antiqua" w:hAnsi="Book Antiqua" w:cs="Times New Roman"/>
                <w:b/>
                <w:bCs/>
                <w:color w:val="000000" w:themeColor="text1"/>
                <w:kern w:val="2"/>
                <w:sz w:val="18"/>
                <w:szCs w:val="18"/>
                <w:lang w:val="en-US" w:eastAsia="sr-Latn-ME"/>
              </w:rPr>
            </w:pPr>
            <w:r>
              <w:rPr>
                <w:rFonts w:ascii="Book Antiqua" w:hAnsi="Book Antiqua" w:cs="Times New Roman"/>
                <w:b/>
                <w:bCs/>
                <w:color w:val="000000" w:themeColor="text1"/>
                <w:sz w:val="18"/>
                <w:szCs w:val="18"/>
                <w:lang w:val="sr-Latn-RS"/>
              </w:rPr>
              <w:t>Prečnik FM x TA  (mm)</w:t>
            </w:r>
          </w:p>
        </w:tc>
        <w:tc>
          <w:tcPr>
            <w:tcW w:w="1368" w:type="dxa"/>
            <w:gridSpan w:val="2"/>
            <w:tcBorders>
              <w:left w:val="nil"/>
              <w:right w:val="nil"/>
            </w:tcBorders>
          </w:tcPr>
          <w:p w14:paraId="562870C6" w14:textId="77777777" w:rsidR="003801E8" w:rsidRDefault="00E44AAE">
            <w:pPr>
              <w:tabs>
                <w:tab w:val="left" w:pos="3315"/>
              </w:tabs>
              <w:spacing w:after="0" w:line="360" w:lineRule="auto"/>
              <w:jc w:val="both"/>
              <w:rPr>
                <w:rFonts w:ascii="Book Antiqua" w:hAnsi="Book Antiqua" w:cs="Times New Roman"/>
                <w:b/>
                <w:bCs/>
                <w:color w:val="000000" w:themeColor="text1"/>
                <w:kern w:val="2"/>
                <w:sz w:val="18"/>
                <w:szCs w:val="18"/>
                <w:lang w:val="en-US" w:eastAsia="sr-Latn-ME"/>
              </w:rPr>
            </w:pPr>
            <w:r>
              <w:rPr>
                <w:rFonts w:ascii="Book Antiqua" w:hAnsi="Book Antiqua" w:cs="Times New Roman"/>
                <w:b/>
                <w:bCs/>
                <w:color w:val="000000" w:themeColor="text1"/>
                <w:sz w:val="18"/>
                <w:szCs w:val="18"/>
                <w:lang w:val="sr-Latn-RS"/>
              </w:rPr>
              <w:t>Prečnik FM - kontrola (mm)</w:t>
            </w:r>
          </w:p>
        </w:tc>
        <w:tc>
          <w:tcPr>
            <w:tcW w:w="1254" w:type="dxa"/>
            <w:tcBorders>
              <w:left w:val="nil"/>
              <w:right w:val="nil"/>
            </w:tcBorders>
          </w:tcPr>
          <w:p w14:paraId="687B4AE5" w14:textId="77777777" w:rsidR="003801E8" w:rsidRDefault="00E44AAE">
            <w:pPr>
              <w:tabs>
                <w:tab w:val="left" w:pos="3315"/>
              </w:tabs>
              <w:spacing w:after="0" w:line="360" w:lineRule="auto"/>
              <w:jc w:val="both"/>
              <w:rPr>
                <w:rFonts w:ascii="Book Antiqua" w:hAnsi="Book Antiqua" w:cs="Times New Roman"/>
                <w:b/>
                <w:bCs/>
                <w:color w:val="000000" w:themeColor="text1"/>
                <w:sz w:val="18"/>
                <w:szCs w:val="18"/>
                <w:lang w:val="sr-Latn-RS"/>
              </w:rPr>
            </w:pPr>
            <w:r>
              <w:rPr>
                <w:rFonts w:ascii="Book Antiqua" w:hAnsi="Book Antiqua" w:cs="Times New Roman"/>
                <w:b/>
                <w:bCs/>
                <w:color w:val="000000" w:themeColor="text1"/>
                <w:sz w:val="18"/>
                <w:szCs w:val="18"/>
                <w:lang w:val="sr-Latn-RS"/>
              </w:rPr>
              <w:t>Redukcija FM x N( %)</w:t>
            </w:r>
          </w:p>
        </w:tc>
        <w:tc>
          <w:tcPr>
            <w:tcW w:w="1254" w:type="dxa"/>
            <w:tcBorders>
              <w:left w:val="nil"/>
              <w:right w:val="nil"/>
            </w:tcBorders>
          </w:tcPr>
          <w:p w14:paraId="5CF533C4" w14:textId="77777777" w:rsidR="003801E8" w:rsidRDefault="00E44AAE">
            <w:pPr>
              <w:tabs>
                <w:tab w:val="left" w:pos="3315"/>
              </w:tabs>
              <w:spacing w:after="0" w:line="360" w:lineRule="auto"/>
              <w:jc w:val="both"/>
              <w:rPr>
                <w:rFonts w:ascii="Book Antiqua" w:hAnsi="Book Antiqua" w:cs="Times New Roman"/>
                <w:b/>
                <w:bCs/>
                <w:color w:val="000000" w:themeColor="text1"/>
                <w:kern w:val="2"/>
                <w:sz w:val="18"/>
                <w:szCs w:val="18"/>
                <w:lang w:val="en-US" w:eastAsia="sr-Latn-ME"/>
              </w:rPr>
            </w:pPr>
            <w:r>
              <w:rPr>
                <w:rFonts w:ascii="Book Antiqua" w:hAnsi="Book Antiqua" w:cs="Times New Roman"/>
                <w:b/>
                <w:bCs/>
                <w:color w:val="000000" w:themeColor="text1"/>
                <w:sz w:val="18"/>
                <w:szCs w:val="18"/>
                <w:lang w:val="sr-Latn-RS"/>
              </w:rPr>
              <w:t>Redukcija FM x TC (%)</w:t>
            </w:r>
          </w:p>
        </w:tc>
        <w:tc>
          <w:tcPr>
            <w:tcW w:w="1763" w:type="dxa"/>
            <w:tcBorders>
              <w:left w:val="nil"/>
              <w:right w:val="nil"/>
            </w:tcBorders>
          </w:tcPr>
          <w:p w14:paraId="45CFDAB7" w14:textId="77777777" w:rsidR="003801E8" w:rsidRDefault="00E44AAE">
            <w:pPr>
              <w:tabs>
                <w:tab w:val="left" w:pos="3315"/>
              </w:tabs>
              <w:spacing w:after="0" w:line="360" w:lineRule="auto"/>
              <w:jc w:val="both"/>
              <w:rPr>
                <w:rFonts w:ascii="Book Antiqua" w:hAnsi="Book Antiqua" w:cs="Times New Roman"/>
                <w:b/>
                <w:bCs/>
                <w:color w:val="000000" w:themeColor="text1"/>
                <w:kern w:val="2"/>
                <w:sz w:val="18"/>
                <w:szCs w:val="18"/>
                <w:lang w:val="en-US" w:eastAsia="sr-Latn-ME"/>
              </w:rPr>
            </w:pPr>
            <w:r>
              <w:rPr>
                <w:rFonts w:ascii="Book Antiqua" w:hAnsi="Book Antiqua" w:cs="Times New Roman"/>
                <w:b/>
                <w:bCs/>
                <w:color w:val="000000" w:themeColor="text1"/>
                <w:sz w:val="18"/>
                <w:szCs w:val="18"/>
                <w:lang w:val="sr-Latn-RS"/>
              </w:rPr>
              <w:t>Redukcija FM x TA (%)</w:t>
            </w:r>
          </w:p>
        </w:tc>
      </w:tr>
      <w:tr w:rsidR="003801E8" w14:paraId="3E955B71" w14:textId="77777777">
        <w:tc>
          <w:tcPr>
            <w:tcW w:w="1260" w:type="dxa"/>
            <w:tcBorders>
              <w:left w:val="nil"/>
              <w:right w:val="nil"/>
            </w:tcBorders>
          </w:tcPr>
          <w:p w14:paraId="5FDAB596"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13</w:t>
            </w:r>
          </w:p>
        </w:tc>
        <w:tc>
          <w:tcPr>
            <w:tcW w:w="1610" w:type="dxa"/>
            <w:tcBorders>
              <w:left w:val="nil"/>
              <w:right w:val="nil"/>
            </w:tcBorders>
          </w:tcPr>
          <w:p w14:paraId="64751BFF"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9.5</w:t>
            </w:r>
          </w:p>
        </w:tc>
        <w:tc>
          <w:tcPr>
            <w:tcW w:w="1250" w:type="dxa"/>
            <w:tcBorders>
              <w:left w:val="nil"/>
              <w:right w:val="nil"/>
            </w:tcBorders>
          </w:tcPr>
          <w:p w14:paraId="7BC0040A"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8</w:t>
            </w:r>
          </w:p>
        </w:tc>
        <w:tc>
          <w:tcPr>
            <w:tcW w:w="1368" w:type="dxa"/>
            <w:gridSpan w:val="2"/>
            <w:tcBorders>
              <w:left w:val="nil"/>
              <w:right w:val="nil"/>
            </w:tcBorders>
          </w:tcPr>
          <w:p w14:paraId="1067DDE2"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19.5</w:t>
            </w:r>
          </w:p>
        </w:tc>
        <w:tc>
          <w:tcPr>
            <w:tcW w:w="1254" w:type="dxa"/>
            <w:tcBorders>
              <w:left w:val="nil"/>
              <w:right w:val="nil"/>
            </w:tcBorders>
          </w:tcPr>
          <w:p w14:paraId="7BB7F074"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33.33</w:t>
            </w:r>
          </w:p>
        </w:tc>
        <w:tc>
          <w:tcPr>
            <w:tcW w:w="1254" w:type="dxa"/>
            <w:tcBorders>
              <w:left w:val="nil"/>
              <w:right w:val="nil"/>
            </w:tcBorders>
          </w:tcPr>
          <w:p w14:paraId="5A908BAC"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eastAsia="sr-Latn-ME"/>
              </w:rPr>
            </w:pPr>
            <w:r>
              <w:rPr>
                <w:rFonts w:ascii="Book Antiqua" w:hAnsi="Book Antiqua" w:cs="Times New Roman"/>
                <w:bCs/>
                <w:color w:val="000000" w:themeColor="text1"/>
                <w:kern w:val="2"/>
                <w:sz w:val="18"/>
                <w:szCs w:val="18"/>
                <w:lang w:eastAsia="sr-Latn-ME"/>
              </w:rPr>
              <w:t>51.28</w:t>
            </w:r>
          </w:p>
        </w:tc>
        <w:tc>
          <w:tcPr>
            <w:tcW w:w="1763" w:type="dxa"/>
            <w:tcBorders>
              <w:left w:val="nil"/>
              <w:right w:val="nil"/>
            </w:tcBorders>
          </w:tcPr>
          <w:p w14:paraId="764B374C"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eastAsia="sr-Latn-ME"/>
              </w:rPr>
            </w:pPr>
            <w:r>
              <w:rPr>
                <w:rFonts w:ascii="Book Antiqua" w:hAnsi="Book Antiqua" w:cs="Times New Roman"/>
                <w:bCs/>
                <w:color w:val="000000" w:themeColor="text1"/>
                <w:kern w:val="2"/>
                <w:sz w:val="18"/>
                <w:szCs w:val="18"/>
                <w:lang w:eastAsia="sr-Latn-ME"/>
              </w:rPr>
              <w:t>58.97</w:t>
            </w:r>
          </w:p>
        </w:tc>
      </w:tr>
      <w:tr w:rsidR="003801E8" w14:paraId="2A8ADA8F" w14:textId="77777777">
        <w:tc>
          <w:tcPr>
            <w:tcW w:w="1260" w:type="dxa"/>
            <w:tcBorders>
              <w:left w:val="nil"/>
              <w:right w:val="nil"/>
            </w:tcBorders>
          </w:tcPr>
          <w:p w14:paraId="02E1C935"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12</w:t>
            </w:r>
          </w:p>
        </w:tc>
        <w:tc>
          <w:tcPr>
            <w:tcW w:w="1610" w:type="dxa"/>
            <w:tcBorders>
              <w:left w:val="nil"/>
              <w:right w:val="nil"/>
            </w:tcBorders>
          </w:tcPr>
          <w:p w14:paraId="2AF0B0D9"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9</w:t>
            </w:r>
          </w:p>
        </w:tc>
        <w:tc>
          <w:tcPr>
            <w:tcW w:w="1250" w:type="dxa"/>
            <w:tcBorders>
              <w:left w:val="nil"/>
              <w:right w:val="nil"/>
            </w:tcBorders>
          </w:tcPr>
          <w:p w14:paraId="6EBD5052"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11</w:t>
            </w:r>
          </w:p>
        </w:tc>
        <w:tc>
          <w:tcPr>
            <w:tcW w:w="1368" w:type="dxa"/>
            <w:gridSpan w:val="2"/>
            <w:tcBorders>
              <w:left w:val="nil"/>
              <w:right w:val="nil"/>
            </w:tcBorders>
          </w:tcPr>
          <w:p w14:paraId="6FBF4250"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18</w:t>
            </w:r>
          </w:p>
        </w:tc>
        <w:tc>
          <w:tcPr>
            <w:tcW w:w="1254" w:type="dxa"/>
            <w:tcBorders>
              <w:left w:val="nil"/>
              <w:right w:val="nil"/>
            </w:tcBorders>
          </w:tcPr>
          <w:p w14:paraId="175FDFE4"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33.33</w:t>
            </w:r>
          </w:p>
        </w:tc>
        <w:tc>
          <w:tcPr>
            <w:tcW w:w="1254" w:type="dxa"/>
            <w:tcBorders>
              <w:left w:val="nil"/>
              <w:right w:val="nil"/>
            </w:tcBorders>
          </w:tcPr>
          <w:p w14:paraId="541CE5CC"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eastAsia="sr-Latn-ME"/>
              </w:rPr>
            </w:pPr>
            <w:r>
              <w:rPr>
                <w:rFonts w:ascii="Book Antiqua" w:hAnsi="Book Antiqua" w:cs="Times New Roman"/>
                <w:bCs/>
                <w:color w:val="000000" w:themeColor="text1"/>
                <w:kern w:val="2"/>
                <w:sz w:val="18"/>
                <w:szCs w:val="18"/>
                <w:lang w:eastAsia="sr-Latn-ME"/>
              </w:rPr>
              <w:t>50.00</w:t>
            </w:r>
          </w:p>
        </w:tc>
        <w:tc>
          <w:tcPr>
            <w:tcW w:w="1763" w:type="dxa"/>
            <w:tcBorders>
              <w:left w:val="nil"/>
              <w:right w:val="nil"/>
            </w:tcBorders>
          </w:tcPr>
          <w:p w14:paraId="73A8B73F"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eastAsia="sr-Latn-ME"/>
              </w:rPr>
            </w:pPr>
            <w:r>
              <w:rPr>
                <w:rFonts w:ascii="Book Antiqua" w:hAnsi="Book Antiqua" w:cs="Times New Roman"/>
                <w:bCs/>
                <w:color w:val="000000" w:themeColor="text1"/>
                <w:kern w:val="2"/>
                <w:sz w:val="18"/>
                <w:szCs w:val="18"/>
                <w:lang w:eastAsia="sr-Latn-ME"/>
              </w:rPr>
              <w:t>38.89</w:t>
            </w:r>
          </w:p>
        </w:tc>
      </w:tr>
      <w:tr w:rsidR="003801E8" w14:paraId="380A90F5" w14:textId="77777777">
        <w:tc>
          <w:tcPr>
            <w:tcW w:w="1260" w:type="dxa"/>
            <w:tcBorders>
              <w:left w:val="nil"/>
              <w:right w:val="nil"/>
            </w:tcBorders>
          </w:tcPr>
          <w:p w14:paraId="2BEF5E5E"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12.5</w:t>
            </w:r>
          </w:p>
        </w:tc>
        <w:tc>
          <w:tcPr>
            <w:tcW w:w="1610" w:type="dxa"/>
            <w:tcBorders>
              <w:left w:val="nil"/>
              <w:right w:val="nil"/>
            </w:tcBorders>
          </w:tcPr>
          <w:p w14:paraId="1903FB64"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10</w:t>
            </w:r>
          </w:p>
        </w:tc>
        <w:tc>
          <w:tcPr>
            <w:tcW w:w="1250" w:type="dxa"/>
            <w:tcBorders>
              <w:left w:val="nil"/>
              <w:right w:val="nil"/>
            </w:tcBorders>
          </w:tcPr>
          <w:p w14:paraId="48CFEA7E"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10</w:t>
            </w:r>
          </w:p>
        </w:tc>
        <w:tc>
          <w:tcPr>
            <w:tcW w:w="1368" w:type="dxa"/>
            <w:gridSpan w:val="2"/>
            <w:tcBorders>
              <w:left w:val="nil"/>
              <w:right w:val="nil"/>
            </w:tcBorders>
          </w:tcPr>
          <w:p w14:paraId="6B63C255"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18.5</w:t>
            </w:r>
          </w:p>
        </w:tc>
        <w:tc>
          <w:tcPr>
            <w:tcW w:w="1254" w:type="dxa"/>
            <w:tcBorders>
              <w:left w:val="nil"/>
              <w:right w:val="nil"/>
            </w:tcBorders>
          </w:tcPr>
          <w:p w14:paraId="6D23198F"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32.43</w:t>
            </w:r>
          </w:p>
        </w:tc>
        <w:tc>
          <w:tcPr>
            <w:tcW w:w="1254" w:type="dxa"/>
            <w:tcBorders>
              <w:left w:val="nil"/>
              <w:right w:val="nil"/>
            </w:tcBorders>
          </w:tcPr>
          <w:p w14:paraId="76986554"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eastAsia="sr-Latn-ME"/>
              </w:rPr>
            </w:pPr>
            <w:r>
              <w:rPr>
                <w:rFonts w:ascii="Book Antiqua" w:hAnsi="Book Antiqua" w:cs="Times New Roman"/>
                <w:bCs/>
                <w:color w:val="000000" w:themeColor="text1"/>
                <w:kern w:val="2"/>
                <w:sz w:val="18"/>
                <w:szCs w:val="18"/>
                <w:lang w:eastAsia="sr-Latn-ME"/>
              </w:rPr>
              <w:t>56.76</w:t>
            </w:r>
          </w:p>
        </w:tc>
        <w:tc>
          <w:tcPr>
            <w:tcW w:w="1763" w:type="dxa"/>
            <w:tcBorders>
              <w:left w:val="nil"/>
              <w:right w:val="nil"/>
            </w:tcBorders>
          </w:tcPr>
          <w:p w14:paraId="4F743463"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6"/>
                <w:szCs w:val="16"/>
                <w:lang w:eastAsia="sr-Latn-ME"/>
              </w:rPr>
            </w:pPr>
            <w:r>
              <w:rPr>
                <w:rFonts w:ascii="Book Antiqua" w:hAnsi="Book Antiqua" w:cs="Times New Roman"/>
                <w:bCs/>
                <w:color w:val="000000" w:themeColor="text1"/>
                <w:kern w:val="2"/>
                <w:sz w:val="18"/>
                <w:szCs w:val="18"/>
                <w:lang w:eastAsia="sr-Latn-ME"/>
              </w:rPr>
              <w:t>45.95</w:t>
            </w:r>
          </w:p>
        </w:tc>
      </w:tr>
      <w:tr w:rsidR="003801E8" w14:paraId="503B6CA9" w14:textId="77777777">
        <w:tc>
          <w:tcPr>
            <w:tcW w:w="1260" w:type="dxa"/>
            <w:tcBorders>
              <w:left w:val="nil"/>
              <w:right w:val="nil"/>
            </w:tcBorders>
          </w:tcPr>
          <w:p w14:paraId="0867DC6D"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13</w:t>
            </w:r>
          </w:p>
        </w:tc>
        <w:tc>
          <w:tcPr>
            <w:tcW w:w="1610" w:type="dxa"/>
            <w:tcBorders>
              <w:left w:val="nil"/>
              <w:right w:val="nil"/>
            </w:tcBorders>
          </w:tcPr>
          <w:p w14:paraId="137FF7C6"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9.5</w:t>
            </w:r>
          </w:p>
        </w:tc>
        <w:tc>
          <w:tcPr>
            <w:tcW w:w="1250" w:type="dxa"/>
            <w:tcBorders>
              <w:left w:val="nil"/>
              <w:right w:val="nil"/>
            </w:tcBorders>
          </w:tcPr>
          <w:p w14:paraId="2F5126EB"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10.5</w:t>
            </w:r>
          </w:p>
        </w:tc>
        <w:tc>
          <w:tcPr>
            <w:tcW w:w="1368" w:type="dxa"/>
            <w:gridSpan w:val="2"/>
            <w:tcBorders>
              <w:left w:val="nil"/>
              <w:right w:val="nil"/>
            </w:tcBorders>
          </w:tcPr>
          <w:p w14:paraId="574EE3DB"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18.5</w:t>
            </w:r>
          </w:p>
        </w:tc>
        <w:tc>
          <w:tcPr>
            <w:tcW w:w="1254" w:type="dxa"/>
            <w:tcBorders>
              <w:left w:val="nil"/>
              <w:right w:val="nil"/>
            </w:tcBorders>
          </w:tcPr>
          <w:p w14:paraId="08882446"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color w:val="000000" w:themeColor="text1"/>
                <w:kern w:val="2"/>
                <w:sz w:val="18"/>
                <w:szCs w:val="18"/>
                <w:lang w:val="en-US" w:eastAsia="sr-Latn-ME"/>
              </w:rPr>
              <w:t>29.73</w:t>
            </w:r>
          </w:p>
        </w:tc>
        <w:tc>
          <w:tcPr>
            <w:tcW w:w="1254" w:type="dxa"/>
            <w:tcBorders>
              <w:left w:val="nil"/>
              <w:right w:val="nil"/>
            </w:tcBorders>
          </w:tcPr>
          <w:p w14:paraId="69E4517E"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eastAsia="sr-Latn-ME"/>
              </w:rPr>
            </w:pPr>
            <w:r>
              <w:rPr>
                <w:rFonts w:ascii="Book Antiqua" w:hAnsi="Book Antiqua" w:cs="Times New Roman"/>
                <w:bCs/>
                <w:color w:val="000000" w:themeColor="text1"/>
                <w:kern w:val="2"/>
                <w:sz w:val="18"/>
                <w:szCs w:val="18"/>
                <w:lang w:eastAsia="sr-Latn-ME"/>
              </w:rPr>
              <w:t>48.65</w:t>
            </w:r>
          </w:p>
        </w:tc>
        <w:tc>
          <w:tcPr>
            <w:tcW w:w="1763" w:type="dxa"/>
            <w:tcBorders>
              <w:left w:val="nil"/>
              <w:right w:val="nil"/>
            </w:tcBorders>
          </w:tcPr>
          <w:p w14:paraId="77173439"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eastAsia="sr-Latn-ME"/>
              </w:rPr>
            </w:pPr>
            <w:r>
              <w:rPr>
                <w:rFonts w:ascii="Book Antiqua" w:hAnsi="Book Antiqua" w:cs="Times New Roman"/>
                <w:bCs/>
                <w:color w:val="000000" w:themeColor="text1"/>
                <w:kern w:val="2"/>
                <w:sz w:val="18"/>
                <w:szCs w:val="18"/>
                <w:lang w:eastAsia="sr-Latn-ME"/>
              </w:rPr>
              <w:t>43.24</w:t>
            </w:r>
          </w:p>
        </w:tc>
      </w:tr>
      <w:tr w:rsidR="003801E8" w14:paraId="2D7445D7" w14:textId="77777777">
        <w:tc>
          <w:tcPr>
            <w:tcW w:w="1260" w:type="dxa"/>
            <w:tcBorders>
              <w:left w:val="nil"/>
              <w:right w:val="nil"/>
            </w:tcBorders>
          </w:tcPr>
          <w:p w14:paraId="12C47646"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12.62</w:t>
            </w:r>
          </w:p>
        </w:tc>
        <w:tc>
          <w:tcPr>
            <w:tcW w:w="1610" w:type="dxa"/>
            <w:tcBorders>
              <w:left w:val="nil"/>
              <w:right w:val="nil"/>
            </w:tcBorders>
          </w:tcPr>
          <w:p w14:paraId="15FA1DF8"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9.5</w:t>
            </w:r>
          </w:p>
        </w:tc>
        <w:tc>
          <w:tcPr>
            <w:tcW w:w="1250" w:type="dxa"/>
            <w:tcBorders>
              <w:left w:val="nil"/>
              <w:right w:val="nil"/>
            </w:tcBorders>
          </w:tcPr>
          <w:p w14:paraId="375C71F6"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9.875</w:t>
            </w:r>
          </w:p>
        </w:tc>
        <w:tc>
          <w:tcPr>
            <w:tcW w:w="1368" w:type="dxa"/>
            <w:gridSpan w:val="2"/>
            <w:tcBorders>
              <w:left w:val="nil"/>
              <w:right w:val="nil"/>
            </w:tcBorders>
          </w:tcPr>
          <w:p w14:paraId="708CAD0D"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18.625</w:t>
            </w:r>
          </w:p>
        </w:tc>
        <w:tc>
          <w:tcPr>
            <w:tcW w:w="1254" w:type="dxa"/>
            <w:tcBorders>
              <w:left w:val="nil"/>
              <w:right w:val="nil"/>
            </w:tcBorders>
          </w:tcPr>
          <w:p w14:paraId="5FD7BEE3"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val="en-US" w:eastAsia="sr-Latn-ME"/>
              </w:rPr>
            </w:pPr>
            <w:r>
              <w:rPr>
                <w:rFonts w:ascii="Book Antiqua" w:hAnsi="Book Antiqua" w:cs="Times New Roman"/>
                <w:b/>
                <w:color w:val="000000" w:themeColor="text1"/>
                <w:kern w:val="2"/>
                <w:sz w:val="18"/>
                <w:szCs w:val="18"/>
                <w:lang w:val="en-US" w:eastAsia="sr-Latn-ME"/>
              </w:rPr>
              <w:t>32.21</w:t>
            </w:r>
          </w:p>
        </w:tc>
        <w:tc>
          <w:tcPr>
            <w:tcW w:w="1254" w:type="dxa"/>
            <w:tcBorders>
              <w:left w:val="nil"/>
              <w:right w:val="nil"/>
            </w:tcBorders>
          </w:tcPr>
          <w:p w14:paraId="72C2EB58"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eastAsia="sr-Latn-ME"/>
              </w:rPr>
            </w:pPr>
            <w:r>
              <w:rPr>
                <w:rFonts w:ascii="Book Antiqua" w:hAnsi="Book Antiqua" w:cs="Times New Roman"/>
                <w:b/>
                <w:color w:val="000000" w:themeColor="text1"/>
                <w:kern w:val="2"/>
                <w:sz w:val="18"/>
                <w:szCs w:val="18"/>
                <w:lang w:eastAsia="sr-Latn-ME"/>
              </w:rPr>
              <w:t>51.28</w:t>
            </w:r>
          </w:p>
        </w:tc>
        <w:tc>
          <w:tcPr>
            <w:tcW w:w="1763" w:type="dxa"/>
            <w:tcBorders>
              <w:left w:val="nil"/>
              <w:right w:val="nil"/>
            </w:tcBorders>
          </w:tcPr>
          <w:p w14:paraId="3ACB89DA" w14:textId="77777777" w:rsidR="003801E8" w:rsidRDefault="00E44AAE">
            <w:pPr>
              <w:tabs>
                <w:tab w:val="left" w:pos="3315"/>
              </w:tabs>
              <w:spacing w:after="0" w:line="360" w:lineRule="auto"/>
              <w:jc w:val="center"/>
              <w:rPr>
                <w:rFonts w:ascii="Book Antiqua" w:hAnsi="Book Antiqua" w:cs="Times New Roman"/>
                <w:b/>
                <w:color w:val="000000" w:themeColor="text1"/>
                <w:kern w:val="2"/>
                <w:sz w:val="18"/>
                <w:szCs w:val="18"/>
                <w:lang w:eastAsia="sr-Latn-ME"/>
              </w:rPr>
            </w:pPr>
            <w:r>
              <w:rPr>
                <w:rFonts w:ascii="Book Antiqua" w:hAnsi="Book Antiqua" w:cs="Times New Roman"/>
                <w:b/>
                <w:color w:val="000000" w:themeColor="text1"/>
                <w:kern w:val="2"/>
                <w:sz w:val="18"/>
                <w:szCs w:val="18"/>
                <w:lang w:eastAsia="sr-Latn-ME"/>
              </w:rPr>
              <w:t>46.76</w:t>
            </w:r>
          </w:p>
        </w:tc>
      </w:tr>
      <w:tr w:rsidR="003801E8" w14:paraId="1D227894" w14:textId="77777777">
        <w:trPr>
          <w:gridAfter w:val="4"/>
          <w:wAfter w:w="4385" w:type="dxa"/>
        </w:trPr>
        <w:tc>
          <w:tcPr>
            <w:tcW w:w="1260" w:type="dxa"/>
            <w:tcBorders>
              <w:left w:val="nil"/>
              <w:right w:val="nil"/>
            </w:tcBorders>
          </w:tcPr>
          <w:p w14:paraId="60A8142F"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Cs/>
                <w:i/>
                <w:iCs/>
                <w:color w:val="000000" w:themeColor="text1"/>
                <w:kern w:val="2"/>
                <w:sz w:val="18"/>
                <w:szCs w:val="18"/>
                <w:lang w:val="en-US" w:eastAsia="sr-Latn-ME"/>
              </w:rPr>
              <w:t>p</w:t>
            </w:r>
            <w:r>
              <w:rPr>
                <w:rFonts w:ascii="Book Antiqua" w:hAnsi="Book Antiqua" w:cs="Times New Roman"/>
                <w:bCs/>
                <w:color w:val="000000" w:themeColor="text1"/>
                <w:kern w:val="2"/>
                <w:sz w:val="18"/>
                <w:szCs w:val="18"/>
                <w:lang w:val="en-US" w:eastAsia="sr-Latn-ME"/>
              </w:rPr>
              <w:t>=5.15868E-06</w:t>
            </w:r>
          </w:p>
        </w:tc>
        <w:tc>
          <w:tcPr>
            <w:tcW w:w="1610" w:type="dxa"/>
            <w:tcBorders>
              <w:left w:val="nil"/>
              <w:right w:val="nil"/>
            </w:tcBorders>
          </w:tcPr>
          <w:p w14:paraId="2B1B2911"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
                <w:i/>
                <w:iCs/>
                <w:color w:val="000000" w:themeColor="text1"/>
                <w:kern w:val="2"/>
                <w:sz w:val="18"/>
                <w:szCs w:val="18"/>
                <w:lang w:val="en-US" w:eastAsia="sr-Latn-ME"/>
              </w:rPr>
              <w:t>p</w:t>
            </w:r>
            <w:r>
              <w:rPr>
                <w:rFonts w:ascii="Book Antiqua" w:hAnsi="Book Antiqua" w:cs="Times New Roman"/>
                <w:b/>
                <w:color w:val="000000" w:themeColor="text1"/>
                <w:kern w:val="2"/>
                <w:sz w:val="18"/>
                <w:szCs w:val="18"/>
                <w:lang w:val="en-US" w:eastAsia="sr-Latn-ME"/>
              </w:rPr>
              <w:t>=</w:t>
            </w:r>
            <w:r>
              <w:rPr>
                <w:rFonts w:ascii="Book Antiqua" w:hAnsi="Book Antiqua" w:cs="Times New Roman"/>
                <w:bCs/>
                <w:color w:val="000000" w:themeColor="text1"/>
                <w:kern w:val="2"/>
                <w:sz w:val="18"/>
                <w:szCs w:val="18"/>
                <w:lang w:eastAsia="sr-Latn-ME"/>
              </w:rPr>
              <w:t>3.16664E-07</w:t>
            </w:r>
          </w:p>
        </w:tc>
        <w:tc>
          <w:tcPr>
            <w:tcW w:w="1250" w:type="dxa"/>
            <w:tcBorders>
              <w:left w:val="nil"/>
              <w:right w:val="nil"/>
            </w:tcBorders>
          </w:tcPr>
          <w:p w14:paraId="4C032A6C" w14:textId="77777777" w:rsidR="003801E8" w:rsidRDefault="00E44AAE">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r>
              <w:rPr>
                <w:rFonts w:ascii="Book Antiqua" w:hAnsi="Book Antiqua" w:cs="Times New Roman"/>
                <w:b/>
                <w:i/>
                <w:iCs/>
                <w:color w:val="000000" w:themeColor="text1"/>
                <w:kern w:val="2"/>
                <w:sz w:val="18"/>
                <w:szCs w:val="18"/>
                <w:lang w:val="en-US" w:eastAsia="sr-Latn-ME"/>
              </w:rPr>
              <w:t>p</w:t>
            </w:r>
            <w:r>
              <w:rPr>
                <w:rFonts w:ascii="Book Antiqua" w:hAnsi="Book Antiqua" w:cs="Times New Roman"/>
                <w:b/>
                <w:color w:val="000000" w:themeColor="text1"/>
                <w:kern w:val="2"/>
                <w:sz w:val="18"/>
                <w:szCs w:val="18"/>
                <w:lang w:val="en-US" w:eastAsia="sr-Latn-ME"/>
              </w:rPr>
              <w:t>=</w:t>
            </w:r>
            <w:r>
              <w:rPr>
                <w:rFonts w:ascii="Book Antiqua" w:hAnsi="Book Antiqua" w:cs="Times New Roman"/>
                <w:bCs/>
                <w:color w:val="000000" w:themeColor="text1"/>
                <w:kern w:val="2"/>
                <w:sz w:val="18"/>
                <w:szCs w:val="18"/>
                <w:lang w:eastAsia="sr-Latn-ME"/>
              </w:rPr>
              <w:t>2.02595E-05</w:t>
            </w:r>
          </w:p>
        </w:tc>
        <w:tc>
          <w:tcPr>
            <w:tcW w:w="1254" w:type="dxa"/>
            <w:tcBorders>
              <w:left w:val="nil"/>
              <w:right w:val="nil"/>
            </w:tcBorders>
          </w:tcPr>
          <w:p w14:paraId="307F4262" w14:textId="77777777" w:rsidR="003801E8" w:rsidRDefault="003801E8">
            <w:pPr>
              <w:tabs>
                <w:tab w:val="left" w:pos="3315"/>
              </w:tabs>
              <w:spacing w:after="0" w:line="360" w:lineRule="auto"/>
              <w:jc w:val="center"/>
              <w:rPr>
                <w:rFonts w:ascii="Book Antiqua" w:hAnsi="Book Antiqua" w:cs="Times New Roman"/>
                <w:bCs/>
                <w:color w:val="000000" w:themeColor="text1"/>
                <w:kern w:val="2"/>
                <w:sz w:val="18"/>
                <w:szCs w:val="18"/>
                <w:lang w:val="en-US" w:eastAsia="sr-Latn-ME"/>
              </w:rPr>
            </w:pPr>
          </w:p>
        </w:tc>
      </w:tr>
    </w:tbl>
    <w:p w14:paraId="4E788A79" w14:textId="77777777" w:rsidR="003801E8" w:rsidRDefault="003801E8">
      <w:pPr>
        <w:tabs>
          <w:tab w:val="left" w:pos="3315"/>
        </w:tabs>
        <w:spacing w:line="240" w:lineRule="auto"/>
        <w:jc w:val="both"/>
        <w:rPr>
          <w:rFonts w:ascii="Times New Roman" w:hAnsi="Times New Roman" w:cs="Times New Roman"/>
          <w:bCs/>
          <w:color w:val="002060"/>
          <w:kern w:val="2"/>
          <w:sz w:val="22"/>
          <w:szCs w:val="22"/>
          <w:lang w:val="en-US" w:eastAsia="sr-Latn-ME"/>
        </w:rPr>
      </w:pPr>
    </w:p>
    <w:p w14:paraId="01653374" w14:textId="77777777" w:rsidR="003801E8" w:rsidRDefault="003801E8">
      <w:pPr>
        <w:tabs>
          <w:tab w:val="left" w:pos="3315"/>
        </w:tabs>
        <w:spacing w:line="240" w:lineRule="auto"/>
        <w:jc w:val="both"/>
        <w:rPr>
          <w:rFonts w:ascii="Times New Roman" w:hAnsi="Times New Roman" w:cs="Times New Roman"/>
          <w:bCs/>
          <w:color w:val="002060"/>
          <w:kern w:val="2"/>
          <w:sz w:val="22"/>
          <w:szCs w:val="22"/>
          <w:lang w:val="en-US" w:eastAsia="sr-Latn-ME"/>
        </w:rPr>
      </w:pPr>
    </w:p>
    <w:p w14:paraId="2273A768" w14:textId="77777777" w:rsidR="003801E8" w:rsidRDefault="003801E8">
      <w:pPr>
        <w:tabs>
          <w:tab w:val="left" w:pos="3315"/>
        </w:tabs>
        <w:spacing w:line="240" w:lineRule="auto"/>
        <w:jc w:val="both"/>
        <w:rPr>
          <w:rFonts w:ascii="Times New Roman" w:hAnsi="Times New Roman" w:cs="Times New Roman"/>
          <w:bCs/>
          <w:color w:val="002060"/>
          <w:kern w:val="2"/>
          <w:sz w:val="22"/>
          <w:szCs w:val="22"/>
          <w:lang w:val="en-US" w:eastAsia="sr-Latn-ME"/>
        </w:rPr>
      </w:pPr>
    </w:p>
    <w:p w14:paraId="49EA1873" w14:textId="77777777" w:rsidR="003801E8" w:rsidRDefault="003801E8">
      <w:pPr>
        <w:tabs>
          <w:tab w:val="left" w:pos="3315"/>
        </w:tabs>
        <w:spacing w:line="240" w:lineRule="auto"/>
        <w:jc w:val="both"/>
        <w:rPr>
          <w:rFonts w:ascii="Times New Roman" w:hAnsi="Times New Roman" w:cs="Times New Roman"/>
          <w:bCs/>
          <w:color w:val="002060"/>
          <w:kern w:val="2"/>
          <w:sz w:val="22"/>
          <w:szCs w:val="22"/>
          <w:lang w:val="en-US" w:eastAsia="sr-Latn-ME"/>
        </w:rPr>
      </w:pPr>
    </w:p>
    <w:p w14:paraId="34B8C6B0" w14:textId="77777777" w:rsidR="003801E8" w:rsidRDefault="003801E8">
      <w:pPr>
        <w:tabs>
          <w:tab w:val="left" w:pos="3315"/>
        </w:tabs>
        <w:spacing w:line="240" w:lineRule="auto"/>
        <w:jc w:val="both"/>
        <w:rPr>
          <w:rFonts w:ascii="Times New Roman" w:hAnsi="Times New Roman" w:cs="Times New Roman"/>
          <w:bCs/>
          <w:color w:val="002060"/>
          <w:kern w:val="2"/>
          <w:sz w:val="22"/>
          <w:szCs w:val="22"/>
          <w:lang w:val="en-US" w:eastAsia="sr-Latn-ME"/>
        </w:rPr>
      </w:pPr>
    </w:p>
    <w:p w14:paraId="2FAB1412" w14:textId="77777777" w:rsidR="003801E8" w:rsidRDefault="003801E8">
      <w:pPr>
        <w:tabs>
          <w:tab w:val="left" w:pos="3315"/>
        </w:tabs>
        <w:spacing w:line="240" w:lineRule="auto"/>
        <w:jc w:val="both"/>
        <w:rPr>
          <w:rFonts w:ascii="Times New Roman" w:hAnsi="Times New Roman" w:cs="Times New Roman"/>
          <w:bCs/>
          <w:color w:val="002060"/>
          <w:kern w:val="2"/>
          <w:sz w:val="22"/>
          <w:szCs w:val="22"/>
          <w:lang w:val="en-US" w:eastAsia="sr-Latn-ME"/>
        </w:rPr>
      </w:pPr>
    </w:p>
    <w:p w14:paraId="512DD0FA" w14:textId="77777777" w:rsidR="003801E8" w:rsidRDefault="003801E8">
      <w:pPr>
        <w:tabs>
          <w:tab w:val="left" w:pos="3315"/>
        </w:tabs>
        <w:spacing w:line="240" w:lineRule="auto"/>
        <w:jc w:val="both"/>
        <w:rPr>
          <w:rFonts w:ascii="Times New Roman" w:hAnsi="Times New Roman" w:cs="Times New Roman"/>
          <w:bCs/>
          <w:color w:val="002060"/>
          <w:kern w:val="2"/>
          <w:sz w:val="22"/>
          <w:szCs w:val="22"/>
          <w:lang w:val="en-US" w:eastAsia="sr-Latn-ME"/>
        </w:rPr>
      </w:pPr>
    </w:p>
    <w:p w14:paraId="65B6E9E0" w14:textId="77777777" w:rsidR="003801E8" w:rsidRDefault="003801E8">
      <w:pPr>
        <w:tabs>
          <w:tab w:val="left" w:pos="3315"/>
        </w:tabs>
        <w:spacing w:line="360" w:lineRule="auto"/>
        <w:jc w:val="both"/>
        <w:rPr>
          <w:rFonts w:ascii="Book Antiqua" w:hAnsi="Book Antiqua" w:cs="Times New Roman"/>
          <w:b/>
          <w:color w:val="000000" w:themeColor="text1"/>
          <w:kern w:val="2"/>
          <w:sz w:val="24"/>
          <w:szCs w:val="24"/>
          <w:lang w:val="en-US" w:eastAsia="sr-Latn-ME"/>
        </w:rPr>
      </w:pPr>
    </w:p>
    <w:p w14:paraId="35371529" w14:textId="77777777" w:rsidR="003801E8" w:rsidRDefault="00E44AAE">
      <w:pPr>
        <w:tabs>
          <w:tab w:val="left" w:pos="3315"/>
        </w:tabs>
        <w:spacing w:line="360" w:lineRule="auto"/>
        <w:jc w:val="both"/>
        <w:rPr>
          <w:rFonts w:ascii="Book Antiqua" w:hAnsi="Book Antiqua" w:cs="Times New Roman"/>
          <w:b/>
          <w:color w:val="000000" w:themeColor="text1"/>
          <w:kern w:val="2"/>
          <w:sz w:val="24"/>
          <w:szCs w:val="24"/>
          <w:lang w:val="en-US" w:eastAsia="sr-Latn-ME"/>
        </w:rPr>
      </w:pPr>
      <w:r>
        <w:rPr>
          <w:rFonts w:ascii="Book Antiqua" w:hAnsi="Book Antiqua" w:cs="Times New Roman"/>
          <w:b/>
          <w:color w:val="000000" w:themeColor="text1"/>
          <w:kern w:val="2"/>
          <w:sz w:val="24"/>
          <w:szCs w:val="24"/>
          <w:lang w:val="en-US" w:eastAsia="sr-Latn-ME"/>
        </w:rPr>
        <w:lastRenderedPageBreak/>
        <w:t xml:space="preserve">5.14 Analiza pojave simptoma i širenja eska oboljenja </w:t>
      </w:r>
    </w:p>
    <w:p w14:paraId="1D33971F" w14:textId="77777777" w:rsidR="003801E8" w:rsidRDefault="00E44AAE">
      <w:pPr>
        <w:tabs>
          <w:tab w:val="left" w:pos="3315"/>
        </w:tabs>
        <w:spacing w:line="360" w:lineRule="auto"/>
        <w:jc w:val="both"/>
        <w:rPr>
          <w:rFonts w:ascii="Book Antiqua" w:hAnsi="Book Antiqua" w:cs="Times New Roman"/>
          <w:bCs/>
          <w:color w:val="000000" w:themeColor="text1"/>
          <w:kern w:val="2"/>
          <w:sz w:val="24"/>
          <w:szCs w:val="24"/>
          <w:lang w:val="en-US" w:eastAsia="sr-Latn-ME"/>
        </w:rPr>
      </w:pPr>
      <w:r>
        <w:rPr>
          <w:rFonts w:ascii="Book Antiqua" w:hAnsi="Book Antiqua" w:cs="Times New Roman"/>
          <w:bCs/>
          <w:color w:val="000000" w:themeColor="text1"/>
          <w:kern w:val="2"/>
          <w:sz w:val="24"/>
          <w:szCs w:val="24"/>
          <w:lang w:eastAsia="sr-Latn-ME"/>
        </w:rPr>
        <w:t>Četvorogodišnjim monitoringom</w:t>
      </w:r>
      <w:r>
        <w:rPr>
          <w:rFonts w:ascii="Book Antiqua" w:hAnsi="Book Antiqua" w:cs="Times New Roman"/>
          <w:bCs/>
          <w:color w:val="000000" w:themeColor="text1"/>
          <w:kern w:val="2"/>
          <w:sz w:val="24"/>
          <w:szCs w:val="24"/>
          <w:lang w:val="en-US" w:eastAsia="sr-Latn-ME"/>
        </w:rPr>
        <w:t xml:space="preserve"> utvrđen je visok intenzitet širenja eska oboljenja u ispitivanom vinogradu. Prvi folijarni simptomi javljali su se najkasnije 25. juna što je evidentirano 2021. godine, a najranije 20. maja što je zabilježeno u toku 2024. godine. Apoplektičan oblik bolesti doveo je do sušenja čokota i do značajnog povećanja broja “praznih mjesta” u vinogradu tokom istraživanja. Procenat broja čokota sa simptomima se kretao od 8,16% u 2021. godini do 23,93% tokom 2023. godine. Podaci o broju zdravih čokota i čokota sa simptomima, kao i broju “praznih mjesta” u ispitivanom vinogradu prikazani su u grafikonu 8. Kumulativna incidenca koja je u grafikonu 9 prikazana za vremenski period 2022-2024. godine iznosi 48,06% u toku 2024. godine što ukazuje na da je gotovo polovina prisutnih čokota u vinogradu inficirana patogenima prouzrokovačima eska oboljenja. Procenat “praznih mjesta” od 31,67% u 2024. godini ukazuje da je u ispitivanom vinogradu u dvadeset prvoj godini starosti, uglavnom usled razvoja eska oboljenja, došlo do propadanja jedne trećine vinograda, odnosno 1145 čokota vinove loze. </w:t>
      </w:r>
    </w:p>
    <w:p w14:paraId="5F392FD7" w14:textId="77777777" w:rsidR="003801E8" w:rsidRDefault="00E44AAE">
      <w:pPr>
        <w:tabs>
          <w:tab w:val="left" w:pos="3315"/>
        </w:tabs>
        <w:spacing w:line="360" w:lineRule="auto"/>
        <w:jc w:val="both"/>
        <w:rPr>
          <w:rFonts w:ascii="Book Antiqua" w:hAnsi="Book Antiqua" w:cs="Times New Roman"/>
          <w:bCs/>
          <w:color w:val="000000" w:themeColor="text1"/>
          <w:kern w:val="2"/>
          <w:sz w:val="24"/>
          <w:szCs w:val="24"/>
          <w:lang w:val="en-US" w:eastAsia="sr-Latn-ME"/>
        </w:rPr>
      </w:pPr>
      <w:r>
        <w:rPr>
          <w:rFonts w:ascii="Book Antiqua" w:hAnsi="Book Antiqua" w:cs="Times New Roman"/>
          <w:bCs/>
          <w:color w:val="000000" w:themeColor="text1"/>
          <w:kern w:val="2"/>
          <w:sz w:val="24"/>
          <w:szCs w:val="24"/>
          <w:lang w:val="en-US" w:eastAsia="sr-Latn-ME"/>
        </w:rPr>
        <w:t xml:space="preserve">Podatak koji dodatno ukazuje na značajno širenje eska oboljenja u ispitivanom vinogradu je broj od 235 čokota koji su prvi put u 2024. godini pokazali folijarne simtpome eska oboljenja. </w:t>
      </w:r>
    </w:p>
    <w:p w14:paraId="2FED320F" w14:textId="77777777" w:rsidR="003801E8" w:rsidRDefault="00E44AAE">
      <w:pPr>
        <w:tabs>
          <w:tab w:val="left" w:pos="3315"/>
        </w:tabs>
        <w:spacing w:line="360" w:lineRule="auto"/>
        <w:jc w:val="both"/>
        <w:rPr>
          <w:rFonts w:ascii="Book Antiqua" w:hAnsi="Book Antiqua" w:cs="Times New Roman"/>
          <w:bCs/>
          <w:color w:val="000000" w:themeColor="text1"/>
          <w:kern w:val="2"/>
          <w:sz w:val="24"/>
          <w:szCs w:val="24"/>
          <w:lang w:val="en-US" w:eastAsia="sr-Latn-ME"/>
        </w:rPr>
      </w:pPr>
      <w:r>
        <w:rPr>
          <w:rFonts w:ascii="Book Antiqua" w:hAnsi="Book Antiqua" w:cs="Times New Roman"/>
          <w:bCs/>
          <w:noProof/>
          <w:color w:val="000000" w:themeColor="text1"/>
          <w:kern w:val="2"/>
          <w:sz w:val="24"/>
          <w:szCs w:val="24"/>
          <w:lang w:val="en-US"/>
        </w:rPr>
        <w:drawing>
          <wp:inline distT="0" distB="0" distL="0" distR="0" wp14:anchorId="382ED117" wp14:editId="7718385E">
            <wp:extent cx="5353050" cy="1914525"/>
            <wp:effectExtent l="0" t="0" r="0" b="0"/>
            <wp:docPr id="400538165"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9A632F4" w14:textId="77777777" w:rsidR="003801E8" w:rsidRDefault="00E44AAE">
      <w:pPr>
        <w:tabs>
          <w:tab w:val="left" w:pos="3315"/>
        </w:tabs>
        <w:spacing w:line="360" w:lineRule="auto"/>
        <w:jc w:val="both"/>
        <w:rPr>
          <w:rFonts w:ascii="Book Antiqua" w:hAnsi="Book Antiqua" w:cs="Times New Roman"/>
          <w:bCs/>
          <w:color w:val="000000" w:themeColor="text1"/>
          <w:kern w:val="2"/>
          <w:sz w:val="22"/>
          <w:szCs w:val="22"/>
          <w:lang w:val="en-US" w:eastAsia="sr-Latn-ME"/>
        </w:rPr>
      </w:pPr>
      <w:r>
        <w:rPr>
          <w:rFonts w:ascii="Book Antiqua" w:hAnsi="Book Antiqua" w:cs="Times New Roman"/>
          <w:b/>
          <w:color w:val="000000" w:themeColor="text1"/>
          <w:kern w:val="2"/>
          <w:sz w:val="22"/>
          <w:szCs w:val="22"/>
          <w:lang w:val="en-US" w:eastAsia="sr-Latn-ME"/>
        </w:rPr>
        <w:t>Grafikon 8</w:t>
      </w:r>
      <w:r>
        <w:rPr>
          <w:rFonts w:ascii="Book Antiqua" w:hAnsi="Book Antiqua" w:cs="Times New Roman"/>
          <w:bCs/>
          <w:color w:val="000000" w:themeColor="text1"/>
          <w:kern w:val="2"/>
          <w:sz w:val="22"/>
          <w:szCs w:val="22"/>
          <w:lang w:val="en-US" w:eastAsia="sr-Latn-ME"/>
        </w:rPr>
        <w:t xml:space="preserve">. Procenat čokota sa simptomima, bez simptoma eska oboljenja i “praznih mjesta” u ispitivanom vinogradu tokom četvorogodišnjeg monitoringa </w:t>
      </w:r>
    </w:p>
    <w:p w14:paraId="37FD9BC0" w14:textId="77777777" w:rsidR="003801E8" w:rsidRDefault="003801E8">
      <w:pPr>
        <w:tabs>
          <w:tab w:val="left" w:pos="3315"/>
        </w:tabs>
        <w:spacing w:line="360" w:lineRule="auto"/>
        <w:jc w:val="both"/>
        <w:rPr>
          <w:rFonts w:ascii="Book Antiqua" w:hAnsi="Book Antiqua" w:cs="Times New Roman"/>
          <w:bCs/>
          <w:color w:val="000000" w:themeColor="text1"/>
          <w:kern w:val="2"/>
          <w:sz w:val="22"/>
          <w:szCs w:val="22"/>
          <w:lang w:val="en-US" w:eastAsia="sr-Latn-ME"/>
        </w:rPr>
      </w:pPr>
    </w:p>
    <w:p w14:paraId="174CD7D0" w14:textId="77777777" w:rsidR="003801E8" w:rsidRDefault="00E44AAE">
      <w:pPr>
        <w:tabs>
          <w:tab w:val="left" w:pos="3315"/>
        </w:tabs>
        <w:spacing w:line="360" w:lineRule="auto"/>
        <w:jc w:val="center"/>
        <w:rPr>
          <w:rFonts w:ascii="Book Antiqua" w:hAnsi="Book Antiqua" w:cs="Times New Roman"/>
          <w:bCs/>
          <w:color w:val="000000" w:themeColor="text1"/>
          <w:kern w:val="2"/>
          <w:sz w:val="24"/>
          <w:szCs w:val="24"/>
          <w:lang w:val="en-US" w:eastAsia="sr-Latn-ME"/>
        </w:rPr>
      </w:pPr>
      <w:r>
        <w:rPr>
          <w:rFonts w:ascii="Book Antiqua" w:hAnsi="Book Antiqua" w:cs="Times New Roman"/>
          <w:bCs/>
          <w:noProof/>
          <w:color w:val="000000" w:themeColor="text1"/>
          <w:kern w:val="2"/>
          <w:sz w:val="24"/>
          <w:szCs w:val="24"/>
          <w:lang w:val="en-US"/>
        </w:rPr>
        <w:drawing>
          <wp:inline distT="0" distB="0" distL="0" distR="0" wp14:anchorId="77376641" wp14:editId="235AD269">
            <wp:extent cx="4000500" cy="2609850"/>
            <wp:effectExtent l="0" t="0" r="0" b="0"/>
            <wp:docPr id="1612882153"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A000FD7" w14:textId="77777777" w:rsidR="003801E8" w:rsidRPr="00562CDF" w:rsidRDefault="00E44AAE">
      <w:pPr>
        <w:tabs>
          <w:tab w:val="left" w:pos="3315"/>
        </w:tabs>
        <w:spacing w:line="360" w:lineRule="auto"/>
        <w:jc w:val="both"/>
        <w:rPr>
          <w:rFonts w:ascii="Book Antiqua" w:hAnsi="Book Antiqua" w:cs="Times New Roman"/>
          <w:bCs/>
          <w:color w:val="000000" w:themeColor="text1"/>
          <w:kern w:val="2"/>
          <w:sz w:val="22"/>
          <w:szCs w:val="22"/>
          <w:lang w:val="en-US" w:eastAsia="sr-Latn-ME"/>
        </w:rPr>
      </w:pPr>
      <w:r>
        <w:rPr>
          <w:rFonts w:ascii="Book Antiqua" w:hAnsi="Book Antiqua" w:cs="Times New Roman"/>
          <w:b/>
          <w:color w:val="000000" w:themeColor="text1"/>
          <w:kern w:val="2"/>
          <w:sz w:val="22"/>
          <w:szCs w:val="22"/>
          <w:lang w:val="en-US" w:eastAsia="sr-Latn-ME"/>
        </w:rPr>
        <w:t>Grafikon 9</w:t>
      </w:r>
      <w:r>
        <w:rPr>
          <w:rFonts w:ascii="Book Antiqua" w:hAnsi="Book Antiqua" w:cs="Times New Roman"/>
          <w:bCs/>
          <w:color w:val="000000" w:themeColor="text1"/>
          <w:kern w:val="2"/>
          <w:sz w:val="22"/>
          <w:szCs w:val="22"/>
          <w:lang w:val="en-US" w:eastAsia="sr-Latn-ME"/>
        </w:rPr>
        <w:t>. Kumulativna incidenca simptoma eska oboljenja u ispitivanom vinogradu</w:t>
      </w:r>
    </w:p>
    <w:p w14:paraId="6F6C9DAB" w14:textId="77777777" w:rsidR="003801E8" w:rsidRDefault="003801E8">
      <w:pPr>
        <w:tabs>
          <w:tab w:val="left" w:pos="3315"/>
        </w:tabs>
        <w:spacing w:line="360" w:lineRule="auto"/>
        <w:jc w:val="both"/>
        <w:rPr>
          <w:rFonts w:ascii="Book Antiqua" w:hAnsi="Book Antiqua" w:cs="Times New Roman"/>
          <w:bCs/>
          <w:color w:val="000000" w:themeColor="text1"/>
          <w:kern w:val="2"/>
          <w:sz w:val="24"/>
          <w:szCs w:val="24"/>
          <w:lang w:val="en-US" w:eastAsia="sr-Latn-ME"/>
        </w:rPr>
      </w:pPr>
    </w:p>
    <w:p w14:paraId="34E99EFC" w14:textId="77777777" w:rsidR="00562CDF" w:rsidRDefault="00E44AAE">
      <w:pPr>
        <w:tabs>
          <w:tab w:val="left" w:pos="3315"/>
        </w:tabs>
        <w:spacing w:line="360" w:lineRule="auto"/>
        <w:jc w:val="both"/>
        <w:rPr>
          <w:rFonts w:ascii="Book Antiqua" w:hAnsi="Book Antiqua" w:cs="Times New Roman"/>
          <w:bCs/>
          <w:color w:val="000000" w:themeColor="text1"/>
          <w:kern w:val="2"/>
          <w:sz w:val="24"/>
          <w:szCs w:val="24"/>
          <w:lang w:val="en-US" w:eastAsia="sr-Latn-ME"/>
        </w:rPr>
      </w:pPr>
      <w:r>
        <w:rPr>
          <w:rFonts w:ascii="Book Antiqua" w:hAnsi="Book Antiqua" w:cs="Times New Roman"/>
          <w:bCs/>
          <w:color w:val="000000" w:themeColor="text1"/>
          <w:kern w:val="2"/>
          <w:sz w:val="24"/>
          <w:szCs w:val="24"/>
          <w:lang w:val="en-US" w:eastAsia="sr-Latn-ME"/>
        </w:rPr>
        <w:t xml:space="preserve">Grafikoni dobijeni metodom jednostavne linearne regresije ukazuju da se sa starošću vinograda povećava kumulativna incidenca (grafikon 10 a,b), prisustvo simptoma eska oboljenja (grafikon 11 a, b) i broj praznih mjesta u vinogradu (grafikon 12 a, b). </w:t>
      </w:r>
    </w:p>
    <w:p w14:paraId="0184F8C0" w14:textId="77777777" w:rsidR="003801E8" w:rsidRDefault="00E44AAE">
      <w:pPr>
        <w:tabs>
          <w:tab w:val="left" w:pos="3315"/>
        </w:tabs>
        <w:spacing w:line="360" w:lineRule="auto"/>
        <w:rPr>
          <w:rFonts w:ascii="Book Antiqua" w:hAnsi="Book Antiqua" w:cs="Times New Roman"/>
          <w:bCs/>
          <w:color w:val="000000" w:themeColor="text1"/>
          <w:kern w:val="2"/>
          <w:sz w:val="24"/>
          <w:szCs w:val="24"/>
          <w:lang w:val="en-US" w:eastAsia="sr-Latn-ME"/>
        </w:rPr>
      </w:pPr>
      <w:r>
        <w:rPr>
          <w:rFonts w:ascii="Book Antiqua" w:hAnsi="Book Antiqua" w:cs="Times New Roman"/>
          <w:bCs/>
          <w:noProof/>
          <w:color w:val="000000" w:themeColor="text1"/>
          <w:kern w:val="2"/>
          <w:sz w:val="24"/>
          <w:szCs w:val="24"/>
          <w:lang w:val="en-US"/>
        </w:rPr>
        <w:drawing>
          <wp:inline distT="0" distB="0" distL="0" distR="0" wp14:anchorId="6E46D74A" wp14:editId="2EBE2739">
            <wp:extent cx="5400040" cy="1430655"/>
            <wp:effectExtent l="0" t="0" r="0" b="0"/>
            <wp:docPr id="5754078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07834" name="Picture 2"/>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400040" cy="1430655"/>
                    </a:xfrm>
                    <a:prstGeom prst="rect">
                      <a:avLst/>
                    </a:prstGeom>
                  </pic:spPr>
                </pic:pic>
              </a:graphicData>
            </a:graphic>
          </wp:inline>
        </w:drawing>
      </w:r>
    </w:p>
    <w:p w14:paraId="65479100" w14:textId="77777777" w:rsidR="003801E8" w:rsidRDefault="00E44AAE">
      <w:pPr>
        <w:tabs>
          <w:tab w:val="left" w:pos="3315"/>
        </w:tabs>
        <w:spacing w:line="360" w:lineRule="auto"/>
        <w:jc w:val="both"/>
        <w:rPr>
          <w:rFonts w:ascii="Book Antiqua" w:hAnsi="Book Antiqua" w:cs="Times New Roman"/>
          <w:bCs/>
          <w:color w:val="000000" w:themeColor="text1"/>
          <w:kern w:val="2"/>
          <w:sz w:val="22"/>
          <w:szCs w:val="22"/>
          <w:lang w:val="en-US" w:eastAsia="sr-Latn-ME"/>
        </w:rPr>
      </w:pPr>
      <w:r>
        <w:rPr>
          <w:rFonts w:ascii="Book Antiqua" w:hAnsi="Book Antiqua" w:cs="Times New Roman"/>
          <w:b/>
          <w:color w:val="000000" w:themeColor="text1"/>
          <w:kern w:val="2"/>
          <w:sz w:val="22"/>
          <w:szCs w:val="22"/>
          <w:lang w:val="en-US" w:eastAsia="sr-Latn-ME"/>
        </w:rPr>
        <w:t>Grafikon 10</w:t>
      </w:r>
      <w:r>
        <w:rPr>
          <w:rFonts w:ascii="Book Antiqua" w:hAnsi="Book Antiqua" w:cs="Times New Roman"/>
          <w:bCs/>
          <w:color w:val="000000" w:themeColor="text1"/>
          <w:kern w:val="2"/>
          <w:sz w:val="22"/>
          <w:szCs w:val="22"/>
          <w:lang w:val="en-US" w:eastAsia="sr-Latn-ME"/>
        </w:rPr>
        <w:t xml:space="preserve">. A. Uticaj starosti vinograda na kumulativnu incidencu prema procentu biljaka sa simptomima u vinogradu B. Uticaj starosti vinograda na kumulativnu incidencu prema broju biljaka sa simptomima u vinogradu </w:t>
      </w:r>
    </w:p>
    <w:p w14:paraId="05929023" w14:textId="77777777" w:rsidR="003801E8" w:rsidRDefault="00E44AAE">
      <w:pPr>
        <w:tabs>
          <w:tab w:val="left" w:pos="3315"/>
        </w:tabs>
        <w:spacing w:line="360" w:lineRule="auto"/>
        <w:rPr>
          <w:rFonts w:ascii="Book Antiqua" w:hAnsi="Book Antiqua" w:cs="Times New Roman"/>
          <w:bCs/>
          <w:color w:val="000000" w:themeColor="text1"/>
          <w:kern w:val="2"/>
          <w:sz w:val="24"/>
          <w:szCs w:val="24"/>
          <w:lang w:val="en-US" w:eastAsia="sr-Latn-ME"/>
        </w:rPr>
      </w:pPr>
      <w:r>
        <w:rPr>
          <w:rFonts w:ascii="Book Antiqua" w:hAnsi="Book Antiqua" w:cs="Times New Roman"/>
          <w:bCs/>
          <w:noProof/>
          <w:color w:val="000000" w:themeColor="text1"/>
          <w:kern w:val="2"/>
          <w:sz w:val="24"/>
          <w:szCs w:val="24"/>
          <w:lang w:val="en-US"/>
        </w:rPr>
        <w:lastRenderedPageBreak/>
        <w:drawing>
          <wp:inline distT="0" distB="0" distL="0" distR="0" wp14:anchorId="4FF37A91" wp14:editId="4AB1E3BE">
            <wp:extent cx="5400040" cy="1437640"/>
            <wp:effectExtent l="0" t="0" r="0" b="0"/>
            <wp:docPr id="18650097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09792" name="Picture 3"/>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400040" cy="1437640"/>
                    </a:xfrm>
                    <a:prstGeom prst="rect">
                      <a:avLst/>
                    </a:prstGeom>
                  </pic:spPr>
                </pic:pic>
              </a:graphicData>
            </a:graphic>
          </wp:inline>
        </w:drawing>
      </w:r>
    </w:p>
    <w:p w14:paraId="62B03334" w14:textId="77777777" w:rsidR="003801E8" w:rsidRDefault="00E44AAE">
      <w:pPr>
        <w:tabs>
          <w:tab w:val="left" w:pos="3315"/>
        </w:tabs>
        <w:spacing w:line="360" w:lineRule="auto"/>
        <w:jc w:val="both"/>
        <w:rPr>
          <w:rFonts w:ascii="Book Antiqua" w:hAnsi="Book Antiqua" w:cs="Times New Roman"/>
          <w:bCs/>
          <w:color w:val="000000" w:themeColor="text1"/>
          <w:kern w:val="2"/>
          <w:sz w:val="22"/>
          <w:szCs w:val="22"/>
          <w:lang w:val="en-US" w:eastAsia="sr-Latn-ME"/>
        </w:rPr>
      </w:pPr>
      <w:r>
        <w:rPr>
          <w:rFonts w:ascii="Book Antiqua" w:hAnsi="Book Antiqua" w:cs="Times New Roman"/>
          <w:b/>
          <w:color w:val="000000" w:themeColor="text1"/>
          <w:kern w:val="2"/>
          <w:sz w:val="22"/>
          <w:szCs w:val="22"/>
          <w:lang w:val="en-US" w:eastAsia="sr-Latn-ME"/>
        </w:rPr>
        <w:t>Grafikon 11</w:t>
      </w:r>
      <w:r>
        <w:rPr>
          <w:rFonts w:ascii="Book Antiqua" w:hAnsi="Book Antiqua" w:cs="Times New Roman"/>
          <w:bCs/>
          <w:color w:val="000000" w:themeColor="text1"/>
          <w:kern w:val="2"/>
          <w:sz w:val="22"/>
          <w:szCs w:val="22"/>
          <w:lang w:val="en-US" w:eastAsia="sr-Latn-ME"/>
        </w:rPr>
        <w:t xml:space="preserve">. A. Uticaj starosti vinograda na procenat biljaka sa simptomima eska oboljenja B.  Uticaj starosti vinograda na broj biljaka sa simptomima eska oboljenja </w:t>
      </w:r>
    </w:p>
    <w:p w14:paraId="1CA93D57" w14:textId="77777777" w:rsidR="003801E8" w:rsidRDefault="00E44AAE">
      <w:pPr>
        <w:tabs>
          <w:tab w:val="left" w:pos="3315"/>
        </w:tabs>
        <w:spacing w:line="360" w:lineRule="auto"/>
        <w:rPr>
          <w:rFonts w:ascii="Book Antiqua" w:hAnsi="Book Antiqua" w:cs="Times New Roman"/>
          <w:bCs/>
          <w:color w:val="000000" w:themeColor="text1"/>
          <w:kern w:val="2"/>
          <w:sz w:val="24"/>
          <w:szCs w:val="24"/>
          <w:lang w:val="en-US" w:eastAsia="sr-Latn-ME"/>
        </w:rPr>
      </w:pPr>
      <w:r>
        <w:rPr>
          <w:rFonts w:ascii="Book Antiqua" w:hAnsi="Book Antiqua" w:cs="Times New Roman"/>
          <w:bCs/>
          <w:noProof/>
          <w:color w:val="000000" w:themeColor="text1"/>
          <w:kern w:val="2"/>
          <w:sz w:val="24"/>
          <w:szCs w:val="24"/>
          <w:lang w:val="en-US"/>
        </w:rPr>
        <w:drawing>
          <wp:inline distT="0" distB="0" distL="0" distR="0" wp14:anchorId="257ACC69" wp14:editId="7300B08F">
            <wp:extent cx="5400040" cy="1430655"/>
            <wp:effectExtent l="0" t="0" r="0" b="0"/>
            <wp:docPr id="1585237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37748" name="Picture 4"/>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400040" cy="1430655"/>
                    </a:xfrm>
                    <a:prstGeom prst="rect">
                      <a:avLst/>
                    </a:prstGeom>
                  </pic:spPr>
                </pic:pic>
              </a:graphicData>
            </a:graphic>
          </wp:inline>
        </w:drawing>
      </w:r>
    </w:p>
    <w:p w14:paraId="23A2F837" w14:textId="77777777" w:rsidR="003801E8" w:rsidRDefault="00E44AAE">
      <w:pPr>
        <w:tabs>
          <w:tab w:val="left" w:pos="3315"/>
        </w:tabs>
        <w:spacing w:line="360" w:lineRule="auto"/>
        <w:jc w:val="both"/>
        <w:rPr>
          <w:rFonts w:ascii="Book Antiqua" w:hAnsi="Book Antiqua" w:cs="Times New Roman"/>
          <w:bCs/>
          <w:color w:val="000000" w:themeColor="text1"/>
          <w:kern w:val="2"/>
          <w:sz w:val="24"/>
          <w:szCs w:val="24"/>
          <w:lang w:val="en-US" w:eastAsia="sr-Latn-ME"/>
        </w:rPr>
      </w:pPr>
      <w:r>
        <w:rPr>
          <w:rFonts w:ascii="Book Antiqua" w:hAnsi="Book Antiqua" w:cs="Times New Roman"/>
          <w:b/>
          <w:color w:val="000000" w:themeColor="text1"/>
          <w:kern w:val="2"/>
          <w:sz w:val="24"/>
          <w:szCs w:val="24"/>
          <w:lang w:val="en-US" w:eastAsia="sr-Latn-ME"/>
        </w:rPr>
        <w:t>Grafikon 12</w:t>
      </w:r>
      <w:r>
        <w:rPr>
          <w:rFonts w:ascii="Book Antiqua" w:hAnsi="Book Antiqua" w:cs="Times New Roman"/>
          <w:bCs/>
          <w:color w:val="000000" w:themeColor="text1"/>
          <w:kern w:val="2"/>
          <w:sz w:val="24"/>
          <w:szCs w:val="24"/>
          <w:lang w:val="en-US" w:eastAsia="sr-Latn-ME"/>
        </w:rPr>
        <w:t xml:space="preserve">. A. Uticaj starosti vinograda na broj </w:t>
      </w:r>
      <w:r>
        <w:rPr>
          <w:rFonts w:ascii="Book Antiqua" w:hAnsi="Book Antiqua" w:cs="Times New Roman"/>
          <w:bCs/>
          <w:color w:val="000000" w:themeColor="text1"/>
          <w:kern w:val="2"/>
          <w:sz w:val="24"/>
          <w:szCs w:val="24"/>
          <w:lang w:eastAsia="sr-Latn-ME"/>
        </w:rPr>
        <w:t>„praznih mjesta“</w:t>
      </w:r>
      <w:r>
        <w:rPr>
          <w:rFonts w:ascii="Book Antiqua" w:hAnsi="Book Antiqua" w:cs="Times New Roman"/>
          <w:bCs/>
          <w:color w:val="000000" w:themeColor="text1"/>
          <w:kern w:val="2"/>
          <w:sz w:val="24"/>
          <w:szCs w:val="24"/>
          <w:lang w:val="en-US" w:eastAsia="sr-Latn-ME"/>
        </w:rPr>
        <w:t xml:space="preserve"> B. Uticaj starosti vinograda na procenat </w:t>
      </w:r>
      <w:r>
        <w:rPr>
          <w:rFonts w:ascii="Book Antiqua" w:hAnsi="Book Antiqua" w:cs="Times New Roman"/>
          <w:bCs/>
          <w:color w:val="000000" w:themeColor="text1"/>
          <w:kern w:val="2"/>
          <w:sz w:val="24"/>
          <w:szCs w:val="24"/>
          <w:lang w:eastAsia="sr-Latn-ME"/>
        </w:rPr>
        <w:t>„praznih mjesta“</w:t>
      </w:r>
      <w:r>
        <w:rPr>
          <w:rFonts w:ascii="Book Antiqua" w:hAnsi="Book Antiqua" w:cs="Times New Roman"/>
          <w:bCs/>
          <w:color w:val="000000" w:themeColor="text1"/>
          <w:kern w:val="2"/>
          <w:sz w:val="24"/>
          <w:szCs w:val="24"/>
          <w:lang w:val="en-US" w:eastAsia="sr-Latn-ME"/>
        </w:rPr>
        <w:t xml:space="preserve"> </w:t>
      </w:r>
    </w:p>
    <w:p w14:paraId="3E192601" w14:textId="77777777" w:rsidR="003801E8" w:rsidRDefault="003801E8">
      <w:pPr>
        <w:tabs>
          <w:tab w:val="left" w:pos="3315"/>
        </w:tabs>
        <w:spacing w:line="360" w:lineRule="auto"/>
        <w:jc w:val="both"/>
        <w:rPr>
          <w:rFonts w:ascii="Book Antiqua" w:hAnsi="Book Antiqua" w:cs="Times New Roman"/>
          <w:bCs/>
          <w:color w:val="000000" w:themeColor="text1"/>
          <w:kern w:val="2"/>
          <w:sz w:val="24"/>
          <w:szCs w:val="24"/>
          <w:lang w:val="en-US" w:eastAsia="sr-Latn-ME"/>
        </w:rPr>
      </w:pPr>
    </w:p>
    <w:p w14:paraId="65D3CDE7" w14:textId="77777777" w:rsidR="003801E8" w:rsidRDefault="003801E8">
      <w:pPr>
        <w:tabs>
          <w:tab w:val="left" w:pos="3315"/>
        </w:tabs>
        <w:spacing w:line="360" w:lineRule="auto"/>
        <w:jc w:val="both"/>
        <w:rPr>
          <w:rFonts w:ascii="Book Antiqua" w:hAnsi="Book Antiqua" w:cs="Times New Roman"/>
          <w:bCs/>
          <w:color w:val="000000" w:themeColor="text1"/>
          <w:kern w:val="2"/>
          <w:sz w:val="24"/>
          <w:szCs w:val="24"/>
          <w:lang w:val="en-US" w:eastAsia="sr-Latn-ME"/>
        </w:rPr>
      </w:pPr>
    </w:p>
    <w:p w14:paraId="098EF315" w14:textId="77777777" w:rsidR="003801E8" w:rsidRDefault="003801E8">
      <w:pPr>
        <w:tabs>
          <w:tab w:val="left" w:pos="3315"/>
        </w:tabs>
        <w:spacing w:line="360" w:lineRule="auto"/>
        <w:jc w:val="both"/>
        <w:rPr>
          <w:rFonts w:ascii="Book Antiqua" w:hAnsi="Book Antiqua" w:cs="Times New Roman"/>
          <w:bCs/>
          <w:color w:val="000000" w:themeColor="text1"/>
          <w:kern w:val="2"/>
          <w:sz w:val="24"/>
          <w:szCs w:val="24"/>
          <w:lang w:val="en-US" w:eastAsia="sr-Latn-ME"/>
        </w:rPr>
      </w:pPr>
    </w:p>
    <w:p w14:paraId="4C103024" w14:textId="77777777" w:rsidR="003801E8" w:rsidRDefault="003801E8">
      <w:pPr>
        <w:tabs>
          <w:tab w:val="left" w:pos="3315"/>
        </w:tabs>
        <w:spacing w:line="360" w:lineRule="auto"/>
        <w:jc w:val="both"/>
        <w:rPr>
          <w:rFonts w:ascii="Book Antiqua" w:hAnsi="Book Antiqua" w:cs="Times New Roman"/>
          <w:bCs/>
          <w:color w:val="000000" w:themeColor="text1"/>
          <w:kern w:val="2"/>
          <w:sz w:val="24"/>
          <w:szCs w:val="24"/>
          <w:lang w:val="en-US" w:eastAsia="sr-Latn-ME"/>
        </w:rPr>
      </w:pPr>
    </w:p>
    <w:p w14:paraId="2413A1CF" w14:textId="77777777" w:rsidR="003801E8" w:rsidRDefault="003801E8">
      <w:pPr>
        <w:tabs>
          <w:tab w:val="left" w:pos="3315"/>
        </w:tabs>
        <w:spacing w:line="360" w:lineRule="auto"/>
        <w:jc w:val="both"/>
        <w:rPr>
          <w:rFonts w:ascii="Book Antiqua" w:hAnsi="Book Antiqua" w:cs="Times New Roman"/>
          <w:bCs/>
          <w:color w:val="000000" w:themeColor="text1"/>
          <w:kern w:val="2"/>
          <w:sz w:val="24"/>
          <w:szCs w:val="24"/>
          <w:lang w:val="en-US" w:eastAsia="sr-Latn-ME"/>
        </w:rPr>
      </w:pPr>
    </w:p>
    <w:p w14:paraId="203335AD" w14:textId="77777777" w:rsidR="003801E8" w:rsidRDefault="003801E8">
      <w:pPr>
        <w:tabs>
          <w:tab w:val="left" w:pos="3315"/>
        </w:tabs>
        <w:spacing w:line="360" w:lineRule="auto"/>
        <w:jc w:val="both"/>
        <w:rPr>
          <w:rFonts w:ascii="Book Antiqua" w:hAnsi="Book Antiqua" w:cs="Times New Roman"/>
          <w:bCs/>
          <w:color w:val="000000" w:themeColor="text1"/>
          <w:kern w:val="2"/>
          <w:sz w:val="24"/>
          <w:szCs w:val="24"/>
          <w:lang w:val="en-US" w:eastAsia="sr-Latn-ME"/>
        </w:rPr>
      </w:pPr>
    </w:p>
    <w:p w14:paraId="679EFF84" w14:textId="77777777" w:rsidR="003801E8" w:rsidRDefault="003801E8">
      <w:pPr>
        <w:tabs>
          <w:tab w:val="left" w:pos="3315"/>
        </w:tabs>
        <w:spacing w:line="360" w:lineRule="auto"/>
        <w:jc w:val="both"/>
        <w:rPr>
          <w:rFonts w:ascii="Book Antiqua" w:hAnsi="Book Antiqua" w:cs="Times New Roman"/>
          <w:bCs/>
          <w:color w:val="000000" w:themeColor="text1"/>
          <w:kern w:val="2"/>
          <w:sz w:val="24"/>
          <w:szCs w:val="24"/>
          <w:lang w:val="en-US" w:eastAsia="sr-Latn-ME"/>
        </w:rPr>
      </w:pPr>
    </w:p>
    <w:p w14:paraId="59BD6AB4" w14:textId="77777777" w:rsidR="003801E8" w:rsidRDefault="003801E8">
      <w:pPr>
        <w:tabs>
          <w:tab w:val="left" w:pos="3315"/>
        </w:tabs>
        <w:spacing w:line="360" w:lineRule="auto"/>
        <w:jc w:val="both"/>
        <w:rPr>
          <w:rFonts w:ascii="Book Antiqua" w:hAnsi="Book Antiqua" w:cs="Times New Roman"/>
          <w:bCs/>
          <w:color w:val="000000" w:themeColor="text1"/>
          <w:kern w:val="2"/>
          <w:sz w:val="24"/>
          <w:szCs w:val="24"/>
          <w:lang w:val="en-US" w:eastAsia="sr-Latn-ME"/>
        </w:rPr>
      </w:pPr>
    </w:p>
    <w:p w14:paraId="52B36FFA" w14:textId="77777777" w:rsidR="003801E8" w:rsidRDefault="003801E8">
      <w:pPr>
        <w:tabs>
          <w:tab w:val="left" w:pos="3315"/>
        </w:tabs>
        <w:spacing w:line="360" w:lineRule="auto"/>
        <w:jc w:val="both"/>
        <w:rPr>
          <w:rFonts w:ascii="Book Antiqua" w:hAnsi="Book Antiqua" w:cs="Times New Roman"/>
          <w:bCs/>
          <w:color w:val="000000" w:themeColor="text1"/>
          <w:kern w:val="2"/>
          <w:sz w:val="24"/>
          <w:szCs w:val="24"/>
          <w:lang w:val="en-US" w:eastAsia="sr-Latn-ME"/>
        </w:rPr>
      </w:pPr>
    </w:p>
    <w:p w14:paraId="48DBBBF0" w14:textId="77777777" w:rsidR="003801E8" w:rsidRDefault="00E44AAE">
      <w:pPr>
        <w:tabs>
          <w:tab w:val="left" w:pos="3315"/>
        </w:tabs>
        <w:spacing w:line="360" w:lineRule="auto"/>
        <w:rPr>
          <w:rFonts w:ascii="Book Antiqua" w:hAnsi="Book Antiqua" w:cs="Times New Roman"/>
          <w:b/>
          <w:color w:val="000000" w:themeColor="text1"/>
          <w:kern w:val="2"/>
          <w:sz w:val="24"/>
          <w:szCs w:val="24"/>
          <w:lang w:val="en-US" w:eastAsia="sr-Latn-ME"/>
        </w:rPr>
      </w:pPr>
      <w:r>
        <w:rPr>
          <w:rFonts w:ascii="Book Antiqua" w:hAnsi="Book Antiqua" w:cs="Times New Roman"/>
          <w:b/>
          <w:color w:val="000000" w:themeColor="text1"/>
          <w:kern w:val="2"/>
          <w:sz w:val="24"/>
          <w:szCs w:val="24"/>
          <w:lang w:val="en-US" w:eastAsia="sr-Latn-ME"/>
        </w:rPr>
        <w:lastRenderedPageBreak/>
        <w:t>5.15 Uticaj klimatskih faktora na širenje eska oboljenja u Crnoj Gori</w:t>
      </w:r>
    </w:p>
    <w:p w14:paraId="30C5B22B" w14:textId="77777777" w:rsidR="003801E8" w:rsidRDefault="00E44AAE">
      <w:pPr>
        <w:tabs>
          <w:tab w:val="left" w:pos="3315"/>
        </w:tabs>
        <w:spacing w:line="360" w:lineRule="auto"/>
        <w:jc w:val="both"/>
        <w:rPr>
          <w:rFonts w:ascii="Book Antiqua" w:hAnsi="Book Antiqua" w:cs="Times New Roman"/>
          <w:bCs/>
          <w:color w:val="000000" w:themeColor="text1"/>
          <w:kern w:val="2"/>
          <w:sz w:val="24"/>
          <w:szCs w:val="24"/>
          <w:lang w:val="en-US" w:eastAsia="sr-Latn-ME"/>
        </w:rPr>
      </w:pPr>
      <w:r>
        <w:rPr>
          <w:rFonts w:ascii="Book Antiqua" w:hAnsi="Book Antiqua" w:cs="Times New Roman"/>
          <w:bCs/>
          <w:color w:val="000000" w:themeColor="text1"/>
          <w:kern w:val="2"/>
          <w:sz w:val="24"/>
          <w:szCs w:val="24"/>
          <w:lang w:val="en-US" w:eastAsia="sr-Latn-ME"/>
        </w:rPr>
        <w:t>A</w:t>
      </w:r>
      <w:r>
        <w:rPr>
          <w:rFonts w:ascii="Book Antiqua" w:hAnsi="Book Antiqua" w:cs="Times New Roman"/>
          <w:bCs/>
          <w:color w:val="000000" w:themeColor="text1"/>
          <w:kern w:val="2"/>
          <w:sz w:val="24"/>
          <w:szCs w:val="24"/>
          <w:lang w:eastAsia="sr-Latn-ME"/>
        </w:rPr>
        <w:t xml:space="preserve">nalizom klimatskih faktora za period 2021-2024. godine utvrđene su statistički </w:t>
      </w:r>
      <w:r>
        <w:rPr>
          <w:rFonts w:ascii="Book Antiqua" w:hAnsi="Book Antiqua" w:cs="Times New Roman"/>
          <w:bCs/>
          <w:color w:val="000000" w:themeColor="text1"/>
          <w:kern w:val="2"/>
          <w:sz w:val="24"/>
          <w:szCs w:val="24"/>
          <w:lang w:val="en-US" w:eastAsia="sr-Latn-ME"/>
        </w:rPr>
        <w:t>značajne razlike između sume aktivnih temperatura (Winklerov index) između 2021. i 2024 godine (</w:t>
      </w:r>
      <w:r>
        <w:rPr>
          <w:rFonts w:ascii="Book Antiqua" w:hAnsi="Book Antiqua" w:cs="Times New Roman"/>
          <w:bCs/>
          <w:i/>
          <w:iCs/>
          <w:color w:val="000000" w:themeColor="text1"/>
          <w:kern w:val="2"/>
          <w:sz w:val="24"/>
          <w:szCs w:val="24"/>
          <w:lang w:val="en-US" w:eastAsia="sr-Latn-ME"/>
        </w:rPr>
        <w:t>p</w:t>
      </w:r>
      <w:r>
        <w:rPr>
          <w:rFonts w:ascii="Book Antiqua" w:hAnsi="Book Antiqua" w:cs="Times New Roman"/>
          <w:bCs/>
          <w:color w:val="000000" w:themeColor="text1"/>
          <w:kern w:val="2"/>
          <w:sz w:val="24"/>
          <w:szCs w:val="24"/>
          <w:lang w:val="en-US" w:eastAsia="sr-Latn-ME"/>
        </w:rPr>
        <w:t>=0,008), odnosno 2023. i 2024. godine (</w:t>
      </w:r>
      <w:r>
        <w:rPr>
          <w:rFonts w:ascii="Book Antiqua" w:hAnsi="Book Antiqua" w:cs="Times New Roman"/>
          <w:bCs/>
          <w:i/>
          <w:iCs/>
          <w:color w:val="000000" w:themeColor="text1"/>
          <w:kern w:val="2"/>
          <w:sz w:val="24"/>
          <w:szCs w:val="24"/>
          <w:lang w:val="en-US" w:eastAsia="sr-Latn-ME"/>
        </w:rPr>
        <w:t>p</w:t>
      </w:r>
      <w:r>
        <w:rPr>
          <w:rFonts w:ascii="Book Antiqua" w:hAnsi="Book Antiqua" w:cs="Times New Roman"/>
          <w:bCs/>
          <w:color w:val="000000" w:themeColor="text1"/>
          <w:kern w:val="2"/>
          <w:sz w:val="24"/>
          <w:szCs w:val="24"/>
          <w:lang w:val="en-US" w:eastAsia="sr-Latn-ME"/>
        </w:rPr>
        <w:t>=0,007). Statistički značajne razlike između količine padavina (</w:t>
      </w:r>
      <w:r>
        <w:rPr>
          <w:rFonts w:ascii="Book Antiqua" w:hAnsi="Book Antiqua" w:cs="Times New Roman"/>
          <w:bCs/>
          <w:i/>
          <w:iCs/>
          <w:color w:val="000000" w:themeColor="text1"/>
          <w:kern w:val="2"/>
          <w:sz w:val="24"/>
          <w:szCs w:val="24"/>
          <w:lang w:val="en-US" w:eastAsia="sr-Latn-ME"/>
        </w:rPr>
        <w:t>p</w:t>
      </w:r>
      <w:r>
        <w:rPr>
          <w:rFonts w:ascii="Book Antiqua" w:hAnsi="Book Antiqua" w:cs="Times New Roman"/>
          <w:bCs/>
          <w:color w:val="000000" w:themeColor="text1"/>
          <w:kern w:val="2"/>
          <w:sz w:val="24"/>
          <w:szCs w:val="24"/>
          <w:lang w:val="en-US" w:eastAsia="sr-Latn-ME"/>
        </w:rPr>
        <w:t xml:space="preserve">=0,173) u ispitivanom vremenskom periodu nijesu utvrđene. Podaci o ukupnoj količini padavina i sumi aktivnih temperatura u različitim vegetacionim fazama vinove loze, za period od 4 godine su prikazani u tabelama 29 i 30. </w:t>
      </w:r>
      <w:r>
        <w:rPr>
          <w:rFonts w:ascii="Book Antiqua" w:hAnsi="Book Antiqua" w:cs="Times New Roman"/>
          <w:bCs/>
          <w:color w:val="000000" w:themeColor="text1"/>
          <w:kern w:val="2"/>
          <w:sz w:val="24"/>
          <w:szCs w:val="24"/>
          <w:lang w:eastAsia="sr-Latn-ME"/>
        </w:rPr>
        <w:t xml:space="preserve">U ispitivanom vinogradu od 2021. do 2024. godine u većini vegetacionih perioda suma aktivnih temperatura je bila značajno povezana sa intenzitetom pojave folijarnih simptoma eska oboljenja. Pirsov index korelacije kretao se od 0,56 – 0,84, a posebno je značajno istaći povezanost sume aktivnih temperatura tokom maja i vremenskog perioda maj/avgust kada je Pirsov koeficijent iznosio 0,74, odnosno 0,84. Povezanost između kumulativne incidence eska oboljenja i sume aktivnih temperatura utvrđena je za sve vremenske periode i pojedinačne mjesece osim za period jul/avgust. Pirsov index korelacije između sume aktivnih temperatura i kumulativne incidence eska oboljenja iznosio je 0,91 za april, odnosno 0,94 za jul. Značajna povezanost između ukupne količine padavina i intenziteta pojave simptoma eska oboljenja utvrđena je u vremenskim periodima april/maj i april/jun za koje je utvrđen Pirsov index korelacije od 0,81 odnosno 0,85. Pirsov index od 0,92 ukazuje da veća količina padavina tokom juna prouzrokuje veći intenzitet pojave simptoma eska oboljenja. </w:t>
      </w:r>
      <w:r>
        <w:rPr>
          <w:rFonts w:ascii="Book Antiqua" w:hAnsi="Book Antiqua" w:cs="Times New Roman"/>
          <w:bCs/>
          <w:color w:val="000000" w:themeColor="text1"/>
          <w:kern w:val="2"/>
          <w:sz w:val="24"/>
          <w:szCs w:val="24"/>
          <w:lang w:val="en-US" w:eastAsia="sr-Latn-ME"/>
        </w:rPr>
        <w:t>U tabelama 31 i 32 je prikazana p</w:t>
      </w:r>
      <w:r>
        <w:rPr>
          <w:rFonts w:ascii="Book Antiqua" w:hAnsi="Book Antiqua" w:cs="Times New Roman"/>
          <w:bCs/>
          <w:color w:val="000000" w:themeColor="text1"/>
          <w:kern w:val="2"/>
          <w:sz w:val="24"/>
          <w:szCs w:val="24"/>
          <w:lang w:eastAsia="sr-Latn-ME"/>
        </w:rPr>
        <w:t xml:space="preserve">ovezanost klimatskih faktora sa intenzitetom pojave simptoma, kumulativnom incidencom eska oboljenja i brojem praznih mjesta u vinogradu, </w:t>
      </w:r>
      <w:r>
        <w:rPr>
          <w:rFonts w:ascii="Book Antiqua" w:hAnsi="Book Antiqua" w:cs="Times New Roman"/>
          <w:bCs/>
          <w:color w:val="000000" w:themeColor="text1"/>
          <w:kern w:val="2"/>
          <w:sz w:val="24"/>
          <w:szCs w:val="24"/>
          <w:lang w:val="en-US" w:eastAsia="sr-Latn-ME"/>
        </w:rPr>
        <w:t xml:space="preserve">kroz vrijednost Pirsovog koeficijenta.   </w:t>
      </w:r>
    </w:p>
    <w:p w14:paraId="2B50D624" w14:textId="77777777" w:rsidR="003801E8" w:rsidRDefault="003801E8">
      <w:pPr>
        <w:tabs>
          <w:tab w:val="left" w:pos="3315"/>
        </w:tabs>
        <w:spacing w:line="360" w:lineRule="auto"/>
        <w:jc w:val="both"/>
        <w:rPr>
          <w:rFonts w:ascii="Book Antiqua" w:hAnsi="Book Antiqua" w:cs="Times New Roman"/>
          <w:bCs/>
          <w:color w:val="000000" w:themeColor="text1"/>
          <w:kern w:val="2"/>
          <w:sz w:val="24"/>
          <w:szCs w:val="24"/>
          <w:lang w:val="en-US" w:eastAsia="sr-Latn-ME"/>
        </w:rPr>
      </w:pPr>
    </w:p>
    <w:p w14:paraId="5733F799" w14:textId="77777777" w:rsidR="003801E8" w:rsidRDefault="00E44AAE">
      <w:pPr>
        <w:tabs>
          <w:tab w:val="left" w:pos="3315"/>
        </w:tabs>
        <w:spacing w:line="360" w:lineRule="auto"/>
        <w:jc w:val="both"/>
        <w:rPr>
          <w:rFonts w:ascii="Book Antiqua" w:hAnsi="Book Antiqua" w:cs="Times New Roman"/>
          <w:bCs/>
          <w:color w:val="000000" w:themeColor="text1"/>
          <w:kern w:val="2"/>
          <w:sz w:val="24"/>
          <w:szCs w:val="24"/>
          <w:lang w:val="en-US" w:eastAsia="sr-Latn-ME"/>
        </w:rPr>
      </w:pPr>
      <w:r>
        <w:rPr>
          <w:rFonts w:ascii="Book Antiqua" w:hAnsi="Book Antiqua" w:cs="Times New Roman"/>
          <w:bCs/>
          <w:color w:val="000000" w:themeColor="text1"/>
          <w:kern w:val="2"/>
          <w:sz w:val="24"/>
          <w:szCs w:val="24"/>
          <w:lang w:val="en-US" w:eastAsia="sr-Latn-ME"/>
        </w:rPr>
        <w:t xml:space="preserve"> </w:t>
      </w:r>
    </w:p>
    <w:tbl>
      <w:tblPr>
        <w:tblStyle w:val="TableGrid"/>
        <w:tblpPr w:leftFromText="180" w:rightFromText="180" w:vertAnchor="text" w:horzAnchor="margin" w:tblpXSpec="right" w:tblpY="-625"/>
        <w:tblOverlap w:val="never"/>
        <w:tblW w:w="0" w:type="auto"/>
        <w:tblLook w:val="04A0" w:firstRow="1" w:lastRow="0" w:firstColumn="1" w:lastColumn="0" w:noHBand="0" w:noVBand="1"/>
      </w:tblPr>
      <w:tblGrid>
        <w:gridCol w:w="733"/>
        <w:gridCol w:w="406"/>
        <w:gridCol w:w="406"/>
        <w:gridCol w:w="406"/>
        <w:gridCol w:w="406"/>
        <w:gridCol w:w="764"/>
        <w:gridCol w:w="427"/>
        <w:gridCol w:w="684"/>
        <w:gridCol w:w="693"/>
        <w:gridCol w:w="406"/>
        <w:gridCol w:w="406"/>
        <w:gridCol w:w="406"/>
        <w:gridCol w:w="406"/>
        <w:gridCol w:w="774"/>
        <w:gridCol w:w="406"/>
        <w:gridCol w:w="775"/>
      </w:tblGrid>
      <w:tr w:rsidR="003801E8" w14:paraId="285D2F19" w14:textId="77777777">
        <w:trPr>
          <w:cantSplit/>
          <w:trHeight w:val="983"/>
        </w:trPr>
        <w:tc>
          <w:tcPr>
            <w:tcW w:w="311" w:type="dxa"/>
            <w:vMerge w:val="restart"/>
            <w:tcBorders>
              <w:top w:val="nil"/>
              <w:left w:val="nil"/>
              <w:bottom w:val="nil"/>
            </w:tcBorders>
            <w:textDirection w:val="tbRl"/>
          </w:tcPr>
          <w:p w14:paraId="7FAE7E3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20"/>
                <w:szCs w:val="20"/>
                <w:lang w:val="en-US" w:eastAsia="sr-Latn-ME"/>
              </w:rPr>
            </w:pPr>
          </w:p>
          <w:p w14:paraId="642D422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20"/>
                <w:szCs w:val="20"/>
                <w:lang w:val="en-US" w:eastAsia="sr-Latn-ME"/>
              </w:rPr>
            </w:pPr>
          </w:p>
          <w:p w14:paraId="374F85F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20"/>
                <w:szCs w:val="20"/>
                <w:lang w:val="en-US" w:eastAsia="sr-Latn-ME"/>
              </w:rPr>
            </w:pPr>
          </w:p>
        </w:tc>
        <w:tc>
          <w:tcPr>
            <w:tcW w:w="408" w:type="dxa"/>
            <w:textDirection w:val="tbRl"/>
          </w:tcPr>
          <w:p w14:paraId="00D25C1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2024</w:t>
            </w:r>
          </w:p>
        </w:tc>
        <w:tc>
          <w:tcPr>
            <w:tcW w:w="409" w:type="dxa"/>
            <w:textDirection w:val="tbRl"/>
          </w:tcPr>
          <w:p w14:paraId="2123F3F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2023</w:t>
            </w:r>
          </w:p>
        </w:tc>
        <w:tc>
          <w:tcPr>
            <w:tcW w:w="409" w:type="dxa"/>
            <w:textDirection w:val="tbRl"/>
          </w:tcPr>
          <w:p w14:paraId="7B5400A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2022</w:t>
            </w:r>
          </w:p>
        </w:tc>
        <w:tc>
          <w:tcPr>
            <w:tcW w:w="409" w:type="dxa"/>
            <w:textDirection w:val="tbRl"/>
          </w:tcPr>
          <w:p w14:paraId="60A9366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2021</w:t>
            </w:r>
          </w:p>
          <w:p w14:paraId="569822A5"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2575F400"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p w14:paraId="391E789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Godina</w:t>
            </w:r>
          </w:p>
          <w:p w14:paraId="61053BD4"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28" w:type="dxa"/>
            <w:vMerge w:val="restart"/>
            <w:tcBorders>
              <w:right w:val="single" w:sz="4" w:space="0" w:color="auto"/>
            </w:tcBorders>
            <w:textDirection w:val="tbRl"/>
          </w:tcPr>
          <w:p w14:paraId="20D5215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6"/>
                <w:szCs w:val="16"/>
                <w:lang w:val="en-US" w:eastAsia="sr-Latn-ME"/>
              </w:rPr>
            </w:pPr>
            <w:r>
              <w:rPr>
                <w:rFonts w:ascii="Book Antiqua" w:hAnsi="Book Antiqua" w:cs="Times New Roman"/>
                <w:bCs/>
                <w:color w:val="000000" w:themeColor="text1"/>
                <w:kern w:val="2"/>
                <w:sz w:val="16"/>
                <w:szCs w:val="16"/>
                <w:lang w:val="en-US" w:eastAsia="sr-Latn-ME"/>
              </w:rPr>
              <w:t>Ukupna količina padavina (mm) i parametri širenja eska oboljenja</w:t>
            </w:r>
          </w:p>
        </w:tc>
        <w:tc>
          <w:tcPr>
            <w:tcW w:w="798" w:type="dxa"/>
            <w:vMerge w:val="restart"/>
            <w:tcBorders>
              <w:top w:val="nil"/>
              <w:bottom w:val="nil"/>
              <w:right w:val="nil"/>
            </w:tcBorders>
            <w:textDirection w:val="tbRl"/>
          </w:tcPr>
          <w:p w14:paraId="2B6CBA9B" w14:textId="77777777" w:rsidR="003801E8" w:rsidRDefault="00E44AAE">
            <w:pPr>
              <w:tabs>
                <w:tab w:val="left" w:pos="3315"/>
              </w:tabs>
              <w:spacing w:after="0" w:line="240" w:lineRule="auto"/>
              <w:ind w:left="113" w:right="113"/>
              <w:jc w:val="both"/>
              <w:rPr>
                <w:rFonts w:ascii="Book Antiqua" w:hAnsi="Book Antiqua" w:cs="Times New Roman"/>
                <w:bCs/>
                <w:color w:val="000000" w:themeColor="text1"/>
                <w:kern w:val="2"/>
                <w:sz w:val="22"/>
                <w:szCs w:val="22"/>
                <w:lang w:val="en-US" w:eastAsia="sr-Latn-ME"/>
              </w:rPr>
            </w:pPr>
            <w:r>
              <w:rPr>
                <w:rFonts w:ascii="Book Antiqua" w:hAnsi="Book Antiqua" w:cs="Times New Roman"/>
                <w:b/>
                <w:color w:val="000000" w:themeColor="text1"/>
                <w:kern w:val="2"/>
                <w:sz w:val="20"/>
                <w:szCs w:val="20"/>
                <w:lang w:val="en-US" w:eastAsia="sr-Latn-ME"/>
              </w:rPr>
              <w:t>Tabela 30</w:t>
            </w:r>
            <w:r>
              <w:rPr>
                <w:rFonts w:ascii="Book Antiqua" w:hAnsi="Book Antiqua" w:cs="Times New Roman"/>
                <w:bCs/>
                <w:color w:val="000000" w:themeColor="text1"/>
                <w:kern w:val="2"/>
                <w:sz w:val="20"/>
                <w:szCs w:val="20"/>
                <w:lang w:val="en-US" w:eastAsia="sr-Latn-ME"/>
              </w:rPr>
              <w:t>. Ukupna količina padavina u različitim periodima vegetacije, incidenca folijarnih simptoma, kumulativna incidence i broj “praznih mjesta”</w:t>
            </w:r>
          </w:p>
        </w:tc>
        <w:tc>
          <w:tcPr>
            <w:tcW w:w="954" w:type="dxa"/>
            <w:vMerge w:val="restart"/>
            <w:tcBorders>
              <w:top w:val="nil"/>
              <w:left w:val="nil"/>
              <w:bottom w:val="nil"/>
            </w:tcBorders>
            <w:textDirection w:val="tbRl"/>
          </w:tcPr>
          <w:p w14:paraId="053FA86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22"/>
                <w:szCs w:val="22"/>
                <w:lang w:val="en-US" w:eastAsia="sr-Latn-ME"/>
              </w:rPr>
            </w:pPr>
          </w:p>
        </w:tc>
        <w:tc>
          <w:tcPr>
            <w:tcW w:w="409" w:type="dxa"/>
            <w:textDirection w:val="tbRl"/>
          </w:tcPr>
          <w:p w14:paraId="762C0D9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2024</w:t>
            </w:r>
          </w:p>
        </w:tc>
        <w:tc>
          <w:tcPr>
            <w:tcW w:w="409" w:type="dxa"/>
            <w:textDirection w:val="tbRl"/>
          </w:tcPr>
          <w:p w14:paraId="1312776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2023</w:t>
            </w:r>
          </w:p>
        </w:tc>
        <w:tc>
          <w:tcPr>
            <w:tcW w:w="409" w:type="dxa"/>
            <w:textDirection w:val="tbRl"/>
          </w:tcPr>
          <w:p w14:paraId="467C908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2022</w:t>
            </w:r>
          </w:p>
        </w:tc>
        <w:tc>
          <w:tcPr>
            <w:tcW w:w="409" w:type="dxa"/>
            <w:textDirection w:val="tbRl"/>
          </w:tcPr>
          <w:p w14:paraId="33C05AA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2021</w:t>
            </w:r>
          </w:p>
          <w:p w14:paraId="7562EF44"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6F81F6CA"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p w14:paraId="67E5A39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Godina</w:t>
            </w:r>
          </w:p>
          <w:p w14:paraId="6FC1833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vMerge w:val="restart"/>
            <w:textDirection w:val="tbRl"/>
          </w:tcPr>
          <w:p w14:paraId="6DD49B8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val="en-US" w:eastAsia="sr-Latn-ME"/>
              </w:rPr>
              <w:t>Suma aktivnih temperatura (</w:t>
            </w:r>
            <w:r>
              <w:rPr>
                <w:rFonts w:ascii="Cambria Math" w:hAnsi="Cambria Math" w:cs="Cambria Math"/>
                <w:bCs/>
                <w:color w:val="000000" w:themeColor="text1"/>
                <w:kern w:val="2"/>
                <w:sz w:val="14"/>
                <w:szCs w:val="14"/>
                <w:lang w:val="en-US" w:eastAsia="sr-Latn-ME"/>
              </w:rPr>
              <w:t>⁰</w:t>
            </w:r>
            <w:r>
              <w:rPr>
                <w:rFonts w:ascii="Book Antiqua" w:hAnsi="Book Antiqua" w:cs="Times New Roman"/>
                <w:bCs/>
                <w:color w:val="000000" w:themeColor="text1"/>
                <w:kern w:val="2"/>
                <w:sz w:val="14"/>
                <w:szCs w:val="14"/>
                <w:lang w:val="en-US" w:eastAsia="sr-Latn-ME"/>
              </w:rPr>
              <w:t xml:space="preserve">C) (Winklerov index) i parametri </w:t>
            </w:r>
            <w:r>
              <w:rPr>
                <w:rFonts w:ascii="Book Antiqua" w:hAnsi="Book Antiqua" w:cs="Times New Roman"/>
                <w:bCs/>
                <w:color w:val="000000" w:themeColor="text1"/>
                <w:kern w:val="2"/>
                <w:sz w:val="14"/>
                <w:szCs w:val="14"/>
                <w:lang w:eastAsia="sr-Latn-ME"/>
              </w:rPr>
              <w:t>širenja eska oboljenja</w:t>
            </w:r>
          </w:p>
        </w:tc>
        <w:tc>
          <w:tcPr>
            <w:tcW w:w="784" w:type="dxa"/>
            <w:vMerge w:val="restart"/>
            <w:tcBorders>
              <w:top w:val="nil"/>
              <w:bottom w:val="nil"/>
              <w:right w:val="nil"/>
            </w:tcBorders>
            <w:textDirection w:val="tbRl"/>
          </w:tcPr>
          <w:p w14:paraId="105F0793" w14:textId="77777777" w:rsidR="003801E8" w:rsidRDefault="00E44AAE">
            <w:pPr>
              <w:tabs>
                <w:tab w:val="left" w:pos="3315"/>
              </w:tabs>
              <w:spacing w:after="0" w:line="240" w:lineRule="auto"/>
              <w:ind w:left="113" w:right="113"/>
              <w:rPr>
                <w:rFonts w:ascii="Book Antiqua" w:hAnsi="Book Antiqua" w:cs="Times New Roman"/>
                <w:bCs/>
                <w:color w:val="000000" w:themeColor="text1"/>
                <w:kern w:val="2"/>
                <w:sz w:val="20"/>
                <w:szCs w:val="20"/>
                <w:lang w:val="en-US" w:eastAsia="sr-Latn-ME"/>
              </w:rPr>
            </w:pPr>
            <w:r>
              <w:rPr>
                <w:rFonts w:ascii="Book Antiqua" w:hAnsi="Book Antiqua" w:cs="Times New Roman"/>
                <w:b/>
                <w:color w:val="000000" w:themeColor="text1"/>
                <w:kern w:val="2"/>
                <w:sz w:val="20"/>
                <w:szCs w:val="20"/>
                <w:lang w:val="en-US" w:eastAsia="sr-Latn-ME"/>
              </w:rPr>
              <w:t>Tabela 29</w:t>
            </w:r>
            <w:r>
              <w:rPr>
                <w:rFonts w:ascii="Book Antiqua" w:hAnsi="Book Antiqua" w:cs="Times New Roman"/>
                <w:bCs/>
                <w:color w:val="000000" w:themeColor="text1"/>
                <w:kern w:val="2"/>
                <w:sz w:val="20"/>
                <w:szCs w:val="20"/>
                <w:lang w:val="en-US" w:eastAsia="sr-Latn-ME"/>
              </w:rPr>
              <w:t>. Suma aktivnih temperatura u različitim periodima vegetacije, incidenca folijarnih simptoma, kumulativna incidenca i broj “praznih mjesta”</w:t>
            </w:r>
          </w:p>
          <w:p w14:paraId="28B2462E"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22"/>
                <w:szCs w:val="22"/>
                <w:lang w:val="en-US" w:eastAsia="sr-Latn-ME"/>
              </w:rPr>
            </w:pPr>
          </w:p>
          <w:p w14:paraId="5A3B19E4"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22"/>
                <w:szCs w:val="22"/>
                <w:lang w:val="en-US" w:eastAsia="sr-Latn-ME"/>
              </w:rPr>
            </w:pPr>
          </w:p>
        </w:tc>
      </w:tr>
      <w:tr w:rsidR="003801E8" w14:paraId="40B647EE" w14:textId="77777777">
        <w:trPr>
          <w:cantSplit/>
          <w:trHeight w:val="705"/>
        </w:trPr>
        <w:tc>
          <w:tcPr>
            <w:tcW w:w="311" w:type="dxa"/>
            <w:vMerge/>
            <w:tcBorders>
              <w:top w:val="single" w:sz="4" w:space="0" w:color="auto"/>
              <w:left w:val="nil"/>
              <w:bottom w:val="nil"/>
            </w:tcBorders>
            <w:textDirection w:val="tbRl"/>
          </w:tcPr>
          <w:p w14:paraId="19E4A1CF"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73203FD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181,40</w:t>
            </w:r>
          </w:p>
          <w:p w14:paraId="373EEDEF"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043AABF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234,00</w:t>
            </w:r>
          </w:p>
          <w:p w14:paraId="59E4CB4C"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957F9E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132,00</w:t>
            </w:r>
          </w:p>
          <w:p w14:paraId="7F1ADDD8"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44BD99E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136,20</w:t>
            </w:r>
          </w:p>
          <w:p w14:paraId="38C55B07"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0641F2E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2B10A68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38D1EA6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tc>
        <w:tc>
          <w:tcPr>
            <w:tcW w:w="428" w:type="dxa"/>
            <w:vMerge/>
            <w:tcBorders>
              <w:right w:val="single" w:sz="4" w:space="0" w:color="auto"/>
            </w:tcBorders>
            <w:textDirection w:val="tbRl"/>
          </w:tcPr>
          <w:p w14:paraId="681B3FD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786C4E8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6E0D78D1"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15E0D9C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472,7</w:t>
            </w:r>
          </w:p>
        </w:tc>
        <w:tc>
          <w:tcPr>
            <w:tcW w:w="409" w:type="dxa"/>
            <w:textDirection w:val="tbRl"/>
          </w:tcPr>
          <w:p w14:paraId="6E1021E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382,1</w:t>
            </w:r>
          </w:p>
        </w:tc>
        <w:tc>
          <w:tcPr>
            <w:tcW w:w="409" w:type="dxa"/>
            <w:textDirection w:val="tbRl"/>
          </w:tcPr>
          <w:p w14:paraId="7BF2717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437,4</w:t>
            </w:r>
          </w:p>
        </w:tc>
        <w:tc>
          <w:tcPr>
            <w:tcW w:w="409" w:type="dxa"/>
            <w:textDirection w:val="tbRl"/>
          </w:tcPr>
          <w:p w14:paraId="1EF8B3E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343</w:t>
            </w:r>
          </w:p>
        </w:tc>
        <w:tc>
          <w:tcPr>
            <w:tcW w:w="783" w:type="dxa"/>
            <w:textDirection w:val="tbRl"/>
          </w:tcPr>
          <w:p w14:paraId="461BA47A" w14:textId="77777777" w:rsidR="003801E8" w:rsidRDefault="00E44AAE">
            <w:pPr>
              <w:tabs>
                <w:tab w:val="left" w:pos="3315"/>
              </w:tabs>
              <w:spacing w:after="0" w:line="240" w:lineRule="auto"/>
              <w:ind w:left="113" w:right="113"/>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2D81AF3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632AC09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tc>
        <w:tc>
          <w:tcPr>
            <w:tcW w:w="409" w:type="dxa"/>
            <w:vMerge/>
            <w:textDirection w:val="tbRl"/>
          </w:tcPr>
          <w:p w14:paraId="7A2B603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6D17AF8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r>
      <w:tr w:rsidR="003801E8" w14:paraId="7933BE06" w14:textId="77777777">
        <w:trPr>
          <w:cantSplit/>
          <w:trHeight w:val="691"/>
        </w:trPr>
        <w:tc>
          <w:tcPr>
            <w:tcW w:w="311" w:type="dxa"/>
            <w:vMerge/>
            <w:tcBorders>
              <w:top w:val="single" w:sz="4" w:space="0" w:color="auto"/>
              <w:left w:val="nil"/>
              <w:bottom w:val="nil"/>
            </w:tcBorders>
            <w:textDirection w:val="tbRl"/>
          </w:tcPr>
          <w:p w14:paraId="2BF2469C"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088B9DA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242,20</w:t>
            </w:r>
          </w:p>
          <w:p w14:paraId="6F2BAE03"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79BF989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271,60</w:t>
            </w:r>
          </w:p>
          <w:p w14:paraId="464D70C2"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23EB9A3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173,40</w:t>
            </w:r>
          </w:p>
          <w:p w14:paraId="208824B9"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21F5808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139,80</w:t>
            </w:r>
          </w:p>
          <w:p w14:paraId="6250CB81"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509BF57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0A25D69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68A717D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p w14:paraId="6D4A1533"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28" w:type="dxa"/>
            <w:vMerge/>
            <w:tcBorders>
              <w:right w:val="single" w:sz="4" w:space="0" w:color="auto"/>
            </w:tcBorders>
            <w:textDirection w:val="tbRl"/>
          </w:tcPr>
          <w:p w14:paraId="4E1C490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2E2A62FE"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2B246EC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2FB9E31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938,2</w:t>
            </w:r>
          </w:p>
        </w:tc>
        <w:tc>
          <w:tcPr>
            <w:tcW w:w="409" w:type="dxa"/>
            <w:textDirection w:val="tbRl"/>
          </w:tcPr>
          <w:p w14:paraId="0948CDC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783,2</w:t>
            </w:r>
          </w:p>
        </w:tc>
        <w:tc>
          <w:tcPr>
            <w:tcW w:w="409" w:type="dxa"/>
            <w:textDirection w:val="tbRl"/>
          </w:tcPr>
          <w:p w14:paraId="490C2E6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919,8</w:t>
            </w:r>
          </w:p>
        </w:tc>
        <w:tc>
          <w:tcPr>
            <w:tcW w:w="409" w:type="dxa"/>
            <w:textDirection w:val="tbRl"/>
          </w:tcPr>
          <w:p w14:paraId="735C113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775,5</w:t>
            </w:r>
          </w:p>
        </w:tc>
        <w:tc>
          <w:tcPr>
            <w:tcW w:w="783" w:type="dxa"/>
            <w:textDirection w:val="tbRl"/>
          </w:tcPr>
          <w:p w14:paraId="2E0D138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46B2932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4BC3539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p w14:paraId="1F69E82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vMerge/>
            <w:textDirection w:val="tbRl"/>
          </w:tcPr>
          <w:p w14:paraId="3CFCBB8C"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46B3C25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523D87C9" w14:textId="77777777">
        <w:trPr>
          <w:cantSplit/>
          <w:trHeight w:val="696"/>
        </w:trPr>
        <w:tc>
          <w:tcPr>
            <w:tcW w:w="311" w:type="dxa"/>
            <w:vMerge/>
            <w:tcBorders>
              <w:top w:val="single" w:sz="4" w:space="0" w:color="auto"/>
              <w:left w:val="nil"/>
              <w:bottom w:val="nil"/>
            </w:tcBorders>
            <w:textDirection w:val="tbRl"/>
          </w:tcPr>
          <w:p w14:paraId="510DE96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1DBF428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260,40</w:t>
            </w:r>
          </w:p>
          <w:p w14:paraId="4D67D410"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233F4B4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308,80</w:t>
            </w:r>
          </w:p>
          <w:p w14:paraId="4E386226"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641A26D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181,00</w:t>
            </w:r>
          </w:p>
          <w:p w14:paraId="5A50FA8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6FA88AA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209,40</w:t>
            </w:r>
          </w:p>
          <w:p w14:paraId="2FDCE312"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47FFE34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3EC0294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6CFBC7D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tc>
        <w:tc>
          <w:tcPr>
            <w:tcW w:w="428" w:type="dxa"/>
            <w:vMerge/>
            <w:tcBorders>
              <w:right w:val="single" w:sz="4" w:space="0" w:color="auto"/>
            </w:tcBorders>
            <w:textDirection w:val="tbRl"/>
          </w:tcPr>
          <w:p w14:paraId="122DFDB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096B05F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69D075D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7D45EA9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1505,4</w:t>
            </w:r>
          </w:p>
          <w:p w14:paraId="7E464845"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694F8AF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1324,6</w:t>
            </w:r>
          </w:p>
          <w:p w14:paraId="2B92B7A4"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69BD1D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1469,4</w:t>
            </w:r>
          </w:p>
          <w:p w14:paraId="12CEE979"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26DF86C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1297,2</w:t>
            </w:r>
          </w:p>
          <w:p w14:paraId="684310A8"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6FE2E0F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6DDE093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7A14BC4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tc>
        <w:tc>
          <w:tcPr>
            <w:tcW w:w="409" w:type="dxa"/>
            <w:vMerge/>
            <w:textDirection w:val="tbRl"/>
          </w:tcPr>
          <w:p w14:paraId="0887D14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5D74506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5E3A3FDE" w14:textId="77777777">
        <w:trPr>
          <w:cantSplit/>
          <w:trHeight w:val="706"/>
        </w:trPr>
        <w:tc>
          <w:tcPr>
            <w:tcW w:w="311" w:type="dxa"/>
            <w:vMerge/>
            <w:tcBorders>
              <w:top w:val="single" w:sz="4" w:space="0" w:color="auto"/>
              <w:left w:val="nil"/>
              <w:bottom w:val="nil"/>
            </w:tcBorders>
            <w:textDirection w:val="tbRl"/>
          </w:tcPr>
          <w:p w14:paraId="1D8F1A5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15F239C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268,60</w:t>
            </w:r>
          </w:p>
          <w:p w14:paraId="08A017D0"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00BE2BB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409,80</w:t>
            </w:r>
          </w:p>
          <w:p w14:paraId="1AA05C02"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14F67F9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201,40</w:t>
            </w:r>
          </w:p>
          <w:p w14:paraId="4F8A6291"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0AF4438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264,00</w:t>
            </w:r>
          </w:p>
          <w:p w14:paraId="57CF9B4F"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52861CE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7E0FF01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447B375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28" w:type="dxa"/>
            <w:vMerge/>
            <w:tcBorders>
              <w:right w:val="single" w:sz="4" w:space="0" w:color="auto"/>
            </w:tcBorders>
            <w:textDirection w:val="tbRl"/>
          </w:tcPr>
          <w:p w14:paraId="4607D8D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36171CE1"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2FBBBCF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504DA97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2063</w:t>
            </w:r>
          </w:p>
          <w:p w14:paraId="4E6B5AF3"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078D0DD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1800,4</w:t>
            </w:r>
          </w:p>
          <w:p w14:paraId="4959E593"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18C90FC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1990,3</w:t>
            </w:r>
          </w:p>
          <w:p w14:paraId="746ECA76"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5959FF2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1798,8</w:t>
            </w:r>
          </w:p>
          <w:p w14:paraId="6C9EB01E"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1ED7622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47DCC0A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7AD72AF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09" w:type="dxa"/>
            <w:vMerge/>
            <w:textDirection w:val="tbRl"/>
          </w:tcPr>
          <w:p w14:paraId="2B9757D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68108E91"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5CA255B4" w14:textId="77777777">
        <w:trPr>
          <w:cantSplit/>
          <w:trHeight w:val="689"/>
        </w:trPr>
        <w:tc>
          <w:tcPr>
            <w:tcW w:w="311" w:type="dxa"/>
            <w:vMerge/>
            <w:tcBorders>
              <w:top w:val="single" w:sz="4" w:space="0" w:color="auto"/>
              <w:left w:val="nil"/>
              <w:bottom w:val="nil"/>
            </w:tcBorders>
            <w:textDirection w:val="tbRl"/>
          </w:tcPr>
          <w:p w14:paraId="7BB116C4"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53C3455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179,40</w:t>
            </w:r>
          </w:p>
          <w:p w14:paraId="05487A1F"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4881A45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171,60</w:t>
            </w:r>
          </w:p>
          <w:p w14:paraId="308B9153"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7552FB8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81,40</w:t>
            </w:r>
          </w:p>
          <w:p w14:paraId="0B89980F"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89B3BB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45,40</w:t>
            </w:r>
          </w:p>
          <w:p w14:paraId="364E7AC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7BC9E17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p w14:paraId="0ADB67A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1E2427D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tc>
        <w:tc>
          <w:tcPr>
            <w:tcW w:w="428" w:type="dxa"/>
            <w:vMerge/>
            <w:tcBorders>
              <w:right w:val="single" w:sz="4" w:space="0" w:color="auto"/>
            </w:tcBorders>
            <w:textDirection w:val="tbRl"/>
          </w:tcPr>
          <w:p w14:paraId="6C19497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2123EBFE"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7A2124B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6489AE0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757,6</w:t>
            </w:r>
          </w:p>
          <w:p w14:paraId="10E756C9"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15F90EA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686</w:t>
            </w:r>
          </w:p>
          <w:p w14:paraId="0EB2CD0C"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7C70EC5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806,6</w:t>
            </w:r>
          </w:p>
          <w:p w14:paraId="1326F104"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57F8D73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704,7</w:t>
            </w:r>
          </w:p>
          <w:p w14:paraId="0065D5C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5DC77AA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p w14:paraId="48BA25F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284EC11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tc>
        <w:tc>
          <w:tcPr>
            <w:tcW w:w="409" w:type="dxa"/>
            <w:vMerge/>
            <w:textDirection w:val="tbRl"/>
          </w:tcPr>
          <w:p w14:paraId="7052FCE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3ABC15EF"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1156ED39" w14:textId="77777777">
        <w:trPr>
          <w:cantSplit/>
          <w:trHeight w:val="713"/>
        </w:trPr>
        <w:tc>
          <w:tcPr>
            <w:tcW w:w="311" w:type="dxa"/>
            <w:vMerge/>
            <w:tcBorders>
              <w:top w:val="single" w:sz="4" w:space="0" w:color="auto"/>
              <w:left w:val="nil"/>
              <w:bottom w:val="nil"/>
            </w:tcBorders>
            <w:textDirection w:val="tbRl"/>
          </w:tcPr>
          <w:p w14:paraId="5ABEB91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61CFE4B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197,60</w:t>
            </w:r>
          </w:p>
          <w:p w14:paraId="7F858116"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FB635E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208,80</w:t>
            </w:r>
          </w:p>
          <w:p w14:paraId="4C3FDEE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4958006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89,00</w:t>
            </w:r>
          </w:p>
          <w:p w14:paraId="5014C5F0"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47FA637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115,00</w:t>
            </w:r>
          </w:p>
          <w:p w14:paraId="6BC615C1"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293D8B4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p w14:paraId="3915919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0B7F236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p w14:paraId="277ED0B6"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28" w:type="dxa"/>
            <w:vMerge/>
            <w:tcBorders>
              <w:right w:val="single" w:sz="4" w:space="0" w:color="auto"/>
            </w:tcBorders>
            <w:textDirection w:val="tbRl"/>
          </w:tcPr>
          <w:p w14:paraId="47198DDD"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3A64368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318C60FD"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7171872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1324,8</w:t>
            </w:r>
          </w:p>
          <w:p w14:paraId="2B59BFD3"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2D20DC6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1227,4</w:t>
            </w:r>
          </w:p>
          <w:p w14:paraId="60B3C0E4"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6AFBDF7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1356,2</w:t>
            </w:r>
          </w:p>
          <w:p w14:paraId="5BB9B77E"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7EC14AF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1226,4</w:t>
            </w:r>
          </w:p>
          <w:p w14:paraId="5866D387"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7BCDD98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p w14:paraId="231FEB9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1A9CB82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p w14:paraId="0952470E"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vMerge/>
            <w:textDirection w:val="tbRl"/>
          </w:tcPr>
          <w:p w14:paraId="347C9A1C"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2B30FC9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7A2A84AF" w14:textId="77777777">
        <w:trPr>
          <w:cantSplit/>
          <w:trHeight w:val="691"/>
        </w:trPr>
        <w:tc>
          <w:tcPr>
            <w:tcW w:w="311" w:type="dxa"/>
            <w:vMerge/>
            <w:tcBorders>
              <w:top w:val="single" w:sz="4" w:space="0" w:color="auto"/>
              <w:left w:val="nil"/>
              <w:bottom w:val="nil"/>
            </w:tcBorders>
            <w:textDirection w:val="tbRl"/>
          </w:tcPr>
          <w:p w14:paraId="4ED7584E"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366395C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205,80</w:t>
            </w:r>
          </w:p>
          <w:p w14:paraId="2576E823"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5DB45A8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309,80</w:t>
            </w:r>
          </w:p>
          <w:p w14:paraId="6B03039A"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6DAE1B1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109,40</w:t>
            </w:r>
          </w:p>
          <w:p w14:paraId="4B52FE3A"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49EFD70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169,60</w:t>
            </w:r>
          </w:p>
          <w:p w14:paraId="111A01B7"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2DC083D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p w14:paraId="4D8F08C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0350982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28" w:type="dxa"/>
            <w:vMerge/>
            <w:tcBorders>
              <w:right w:val="single" w:sz="4" w:space="0" w:color="auto"/>
            </w:tcBorders>
            <w:textDirection w:val="tbRl"/>
          </w:tcPr>
          <w:p w14:paraId="45EAE70A"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5FAE4BAA"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3C99B23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6F56D2A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1882,4</w:t>
            </w:r>
          </w:p>
          <w:p w14:paraId="70DD29DC"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6F9BD63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1703,2</w:t>
            </w:r>
          </w:p>
          <w:p w14:paraId="48767245"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030A9D0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1877,1</w:t>
            </w:r>
          </w:p>
          <w:p w14:paraId="49360455"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85109F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1206,3</w:t>
            </w:r>
          </w:p>
          <w:p w14:paraId="17F85ED1"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2E5A24B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p w14:paraId="53400B9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5B09DB7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09" w:type="dxa"/>
            <w:vMerge/>
            <w:textDirection w:val="tbRl"/>
          </w:tcPr>
          <w:p w14:paraId="2435AA91"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39DD4EF3"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17D93A3C" w14:textId="77777777">
        <w:trPr>
          <w:cantSplit/>
          <w:trHeight w:val="556"/>
        </w:trPr>
        <w:tc>
          <w:tcPr>
            <w:tcW w:w="311" w:type="dxa"/>
            <w:vMerge/>
            <w:tcBorders>
              <w:top w:val="single" w:sz="4" w:space="0" w:color="auto"/>
              <w:left w:val="nil"/>
              <w:bottom w:val="nil"/>
            </w:tcBorders>
            <w:textDirection w:val="tbRl"/>
          </w:tcPr>
          <w:p w14:paraId="4C31278F"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14C767B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79,00</w:t>
            </w:r>
          </w:p>
          <w:p w14:paraId="40E21432"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C2D97A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74,80</w:t>
            </w:r>
          </w:p>
          <w:p w14:paraId="3C1FEB89"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2F9BC90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49,00</w:t>
            </w:r>
          </w:p>
          <w:p w14:paraId="067AE3D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384471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73,20</w:t>
            </w:r>
          </w:p>
          <w:p w14:paraId="74A8F55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10D98B6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p w14:paraId="04C51B0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18AA88A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tc>
        <w:tc>
          <w:tcPr>
            <w:tcW w:w="428" w:type="dxa"/>
            <w:vMerge/>
            <w:tcBorders>
              <w:right w:val="single" w:sz="4" w:space="0" w:color="auto"/>
            </w:tcBorders>
            <w:textDirection w:val="tbRl"/>
          </w:tcPr>
          <w:p w14:paraId="61492F7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4FAF601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16064D7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0AD6926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1032,7</w:t>
            </w:r>
          </w:p>
          <w:p w14:paraId="64BBD196"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1464429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942,5</w:t>
            </w:r>
          </w:p>
          <w:p w14:paraId="655C095A"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16DFA1C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1032</w:t>
            </w:r>
          </w:p>
          <w:p w14:paraId="1C4D3DB6"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5A45255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954,2</w:t>
            </w:r>
          </w:p>
          <w:p w14:paraId="29B74E1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783C3C2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p w14:paraId="39DD401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77EFD58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tc>
        <w:tc>
          <w:tcPr>
            <w:tcW w:w="409" w:type="dxa"/>
            <w:vMerge/>
            <w:textDirection w:val="tbRl"/>
          </w:tcPr>
          <w:p w14:paraId="46DF272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79ED18B1"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79D4ECCE" w14:textId="77777777">
        <w:trPr>
          <w:cantSplit/>
          <w:trHeight w:val="695"/>
        </w:trPr>
        <w:tc>
          <w:tcPr>
            <w:tcW w:w="311" w:type="dxa"/>
            <w:vMerge/>
            <w:tcBorders>
              <w:top w:val="single" w:sz="4" w:space="0" w:color="auto"/>
              <w:left w:val="nil"/>
              <w:bottom w:val="nil"/>
            </w:tcBorders>
            <w:textDirection w:val="tbRl"/>
          </w:tcPr>
          <w:p w14:paraId="039BD41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0C23092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87,20</w:t>
            </w:r>
          </w:p>
          <w:p w14:paraId="37223458"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63EE96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175,80</w:t>
            </w:r>
          </w:p>
          <w:p w14:paraId="268C5781"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7105AFD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69,40</w:t>
            </w:r>
          </w:p>
          <w:p w14:paraId="02381CAF"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DB11B0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127,80</w:t>
            </w:r>
          </w:p>
          <w:p w14:paraId="4E659609"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2A39A93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p w14:paraId="011E7E6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09E4D95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28" w:type="dxa"/>
            <w:vMerge/>
            <w:tcBorders>
              <w:right w:val="single" w:sz="4" w:space="0" w:color="auto"/>
            </w:tcBorders>
            <w:textDirection w:val="tbRl"/>
          </w:tcPr>
          <w:p w14:paraId="2B72ABDC"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6937E05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1FA546E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229DC20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1590,3</w:t>
            </w:r>
          </w:p>
          <w:p w14:paraId="1928F2D7"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52F8DE5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1418,3</w:t>
            </w:r>
          </w:p>
          <w:p w14:paraId="3076D7AC"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5A3CA51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1552,9</w:t>
            </w:r>
          </w:p>
          <w:p w14:paraId="6395773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780C0E8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1455,8</w:t>
            </w:r>
          </w:p>
          <w:p w14:paraId="0195B001"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668DC5F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p w14:paraId="67EF958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6D474AD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09" w:type="dxa"/>
            <w:vMerge/>
            <w:textDirection w:val="tbRl"/>
          </w:tcPr>
          <w:p w14:paraId="630EA67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4415226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4E788DBC" w14:textId="77777777">
        <w:trPr>
          <w:cantSplit/>
          <w:trHeight w:val="690"/>
        </w:trPr>
        <w:tc>
          <w:tcPr>
            <w:tcW w:w="311" w:type="dxa"/>
            <w:vMerge/>
            <w:tcBorders>
              <w:top w:val="single" w:sz="4" w:space="0" w:color="auto"/>
              <w:left w:val="nil"/>
              <w:bottom w:val="nil"/>
            </w:tcBorders>
            <w:textDirection w:val="tbRl"/>
          </w:tcPr>
          <w:p w14:paraId="788D878E"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6896420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26,40</w:t>
            </w:r>
          </w:p>
          <w:p w14:paraId="676EFE19"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2816E7D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138,20</w:t>
            </w:r>
          </w:p>
          <w:p w14:paraId="11C8E605"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632D092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28,00</w:t>
            </w:r>
          </w:p>
          <w:p w14:paraId="51C53E57"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16F55E4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124,20</w:t>
            </w:r>
          </w:p>
          <w:p w14:paraId="5E2EBF5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426FDFA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Jul</w:t>
            </w:r>
          </w:p>
          <w:p w14:paraId="58E4AC9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w:t>
            </w:r>
          </w:p>
          <w:p w14:paraId="57BEE8C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eastAsia="sr-Latn-ME"/>
              </w:rPr>
              <w:t>avgus</w:t>
            </w:r>
          </w:p>
        </w:tc>
        <w:tc>
          <w:tcPr>
            <w:tcW w:w="428" w:type="dxa"/>
            <w:vMerge/>
            <w:tcBorders>
              <w:right w:val="single" w:sz="4" w:space="0" w:color="auto"/>
            </w:tcBorders>
            <w:textDirection w:val="tbRl"/>
          </w:tcPr>
          <w:p w14:paraId="51F55A7C"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4C9D1D5D"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427C5C3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37EA853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1124,8</w:t>
            </w:r>
          </w:p>
          <w:p w14:paraId="3B067E81"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032FF2A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541,4</w:t>
            </w:r>
          </w:p>
          <w:p w14:paraId="617DD28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303672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1070,5</w:t>
            </w:r>
          </w:p>
          <w:p w14:paraId="249944A5"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26EB42F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1023,3</w:t>
            </w:r>
          </w:p>
          <w:p w14:paraId="2A759D9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7D2C17E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Jul</w:t>
            </w:r>
          </w:p>
          <w:p w14:paraId="1F9DD58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w:t>
            </w:r>
          </w:p>
          <w:p w14:paraId="0515895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eastAsia="sr-Latn-ME"/>
              </w:rPr>
              <w:t>avgust</w:t>
            </w:r>
          </w:p>
        </w:tc>
        <w:tc>
          <w:tcPr>
            <w:tcW w:w="409" w:type="dxa"/>
            <w:vMerge/>
            <w:textDirection w:val="tbRl"/>
          </w:tcPr>
          <w:p w14:paraId="26438F2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08D780E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53318A89" w14:textId="77777777">
        <w:trPr>
          <w:cantSplit/>
          <w:trHeight w:val="700"/>
        </w:trPr>
        <w:tc>
          <w:tcPr>
            <w:tcW w:w="311" w:type="dxa"/>
            <w:vMerge/>
            <w:tcBorders>
              <w:top w:val="single" w:sz="4" w:space="0" w:color="auto"/>
              <w:left w:val="nil"/>
              <w:bottom w:val="nil"/>
            </w:tcBorders>
            <w:textDirection w:val="tbRl"/>
          </w:tcPr>
          <w:p w14:paraId="01E2362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5E4402E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62,8</w:t>
            </w:r>
          </w:p>
          <w:p w14:paraId="72305379"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42FF4DF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100</w:t>
            </w:r>
          </w:p>
          <w:p w14:paraId="575E735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5D7C9BF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92</w:t>
            </w:r>
          </w:p>
          <w:p w14:paraId="10772846"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4650AFF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94,4</w:t>
            </w:r>
          </w:p>
          <w:p w14:paraId="207C5D58"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5E15CA0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tc>
        <w:tc>
          <w:tcPr>
            <w:tcW w:w="428" w:type="dxa"/>
            <w:vMerge/>
            <w:tcBorders>
              <w:right w:val="single" w:sz="4" w:space="0" w:color="auto"/>
            </w:tcBorders>
            <w:textDirection w:val="tbRl"/>
          </w:tcPr>
          <w:p w14:paraId="04F4D00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3EDC7F3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2C0869EC"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59D4448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180,6</w:t>
            </w:r>
          </w:p>
          <w:p w14:paraId="3F558E97"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504BFC6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97,2</w:t>
            </w:r>
          </w:p>
          <w:p w14:paraId="0E1E5163"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C24FA4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113,2</w:t>
            </w:r>
          </w:p>
          <w:p w14:paraId="71A1B820"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6421910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70,8</w:t>
            </w:r>
          </w:p>
          <w:p w14:paraId="76C54E25"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0A53DFC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tc>
        <w:tc>
          <w:tcPr>
            <w:tcW w:w="409" w:type="dxa"/>
            <w:vMerge/>
            <w:textDirection w:val="tbRl"/>
          </w:tcPr>
          <w:p w14:paraId="4EBC6BFF"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2D87F0E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1B9D7A13" w14:textId="77777777">
        <w:trPr>
          <w:cantSplit/>
          <w:trHeight w:val="702"/>
        </w:trPr>
        <w:tc>
          <w:tcPr>
            <w:tcW w:w="311" w:type="dxa"/>
            <w:vMerge/>
            <w:tcBorders>
              <w:top w:val="single" w:sz="4" w:space="0" w:color="auto"/>
              <w:left w:val="nil"/>
              <w:bottom w:val="nil"/>
            </w:tcBorders>
            <w:textDirection w:val="tbRl"/>
          </w:tcPr>
          <w:p w14:paraId="2E9C819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45242CD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118,6</w:t>
            </w:r>
          </w:p>
          <w:p w14:paraId="17D8E350"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7695382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134</w:t>
            </w:r>
          </w:p>
          <w:p w14:paraId="5598CE18"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62274DF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40</w:t>
            </w:r>
          </w:p>
          <w:p w14:paraId="18E65E50"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58BCE04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41,8</w:t>
            </w:r>
          </w:p>
          <w:p w14:paraId="60F4ECFE"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2F34A70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tc>
        <w:tc>
          <w:tcPr>
            <w:tcW w:w="428" w:type="dxa"/>
            <w:vMerge/>
            <w:tcBorders>
              <w:right w:val="single" w:sz="4" w:space="0" w:color="auto"/>
            </w:tcBorders>
            <w:textDirection w:val="tbRl"/>
          </w:tcPr>
          <w:p w14:paraId="11F7F6A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70BE5954"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5175E49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32CFAFC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292,1</w:t>
            </w:r>
          </w:p>
          <w:p w14:paraId="64982CBA"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CF8D2E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284,9</w:t>
            </w:r>
          </w:p>
          <w:p w14:paraId="30C0DBD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71BF7A3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324,2</w:t>
            </w:r>
          </w:p>
          <w:p w14:paraId="59C13E8A"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65891FF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272,2</w:t>
            </w:r>
          </w:p>
          <w:p w14:paraId="589BBC17"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698BA02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tc>
        <w:tc>
          <w:tcPr>
            <w:tcW w:w="409" w:type="dxa"/>
            <w:vMerge/>
            <w:textDirection w:val="tbRl"/>
          </w:tcPr>
          <w:p w14:paraId="2C8B3A21"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7441CE8A"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3D7ED2C2" w14:textId="77777777">
        <w:trPr>
          <w:cantSplit/>
          <w:trHeight w:val="690"/>
        </w:trPr>
        <w:tc>
          <w:tcPr>
            <w:tcW w:w="311" w:type="dxa"/>
            <w:vMerge/>
            <w:tcBorders>
              <w:top w:val="single" w:sz="4" w:space="0" w:color="auto"/>
              <w:left w:val="nil"/>
              <w:bottom w:val="nil"/>
            </w:tcBorders>
            <w:textDirection w:val="tbRl"/>
          </w:tcPr>
          <w:p w14:paraId="0360DAC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35B6071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60,8</w:t>
            </w:r>
          </w:p>
          <w:p w14:paraId="233BE949"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4C7151C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37,6</w:t>
            </w:r>
          </w:p>
          <w:p w14:paraId="325A812E"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551A854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41,4</w:t>
            </w:r>
          </w:p>
          <w:p w14:paraId="7578884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2C11EE0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3,6</w:t>
            </w:r>
          </w:p>
          <w:p w14:paraId="46E66122"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0F292B3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tc>
        <w:tc>
          <w:tcPr>
            <w:tcW w:w="428" w:type="dxa"/>
            <w:vMerge/>
            <w:tcBorders>
              <w:right w:val="single" w:sz="4" w:space="0" w:color="auto"/>
            </w:tcBorders>
            <w:textDirection w:val="tbRl"/>
          </w:tcPr>
          <w:p w14:paraId="396BE354"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7AFCDB23"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516FD4CF"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4A43F63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465,5</w:t>
            </w:r>
          </w:p>
          <w:p w14:paraId="2C49A733"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20A015B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401,1</w:t>
            </w:r>
          </w:p>
          <w:p w14:paraId="386EAEB4"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09310E5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482,4</w:t>
            </w:r>
          </w:p>
          <w:p w14:paraId="39FF6550"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15DE7BC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432,5</w:t>
            </w:r>
          </w:p>
          <w:p w14:paraId="133ECF8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6BACC9F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tc>
        <w:tc>
          <w:tcPr>
            <w:tcW w:w="409" w:type="dxa"/>
            <w:vMerge/>
            <w:textDirection w:val="tbRl"/>
          </w:tcPr>
          <w:p w14:paraId="5ECC9A43"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6A46E9A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59671D5D" w14:textId="77777777">
        <w:trPr>
          <w:cantSplit/>
          <w:trHeight w:val="709"/>
        </w:trPr>
        <w:tc>
          <w:tcPr>
            <w:tcW w:w="311" w:type="dxa"/>
            <w:vMerge/>
            <w:tcBorders>
              <w:top w:val="single" w:sz="4" w:space="0" w:color="auto"/>
              <w:left w:val="nil"/>
              <w:bottom w:val="nil"/>
            </w:tcBorders>
            <w:textDirection w:val="tbRl"/>
          </w:tcPr>
          <w:p w14:paraId="4568389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4A4ECF3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18,2</w:t>
            </w:r>
          </w:p>
          <w:p w14:paraId="4C706831"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0F59F94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37,2</w:t>
            </w:r>
          </w:p>
          <w:p w14:paraId="09BC7AE6"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1EC3913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7,6</w:t>
            </w:r>
          </w:p>
          <w:p w14:paraId="4FA5AACA"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2195E4B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69,6</w:t>
            </w:r>
          </w:p>
          <w:p w14:paraId="0E75334E"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413DE87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tc>
        <w:tc>
          <w:tcPr>
            <w:tcW w:w="428" w:type="dxa"/>
            <w:vMerge/>
            <w:tcBorders>
              <w:right w:val="single" w:sz="4" w:space="0" w:color="auto"/>
            </w:tcBorders>
            <w:textDirection w:val="tbRl"/>
          </w:tcPr>
          <w:p w14:paraId="7F0CE33D"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2C76A794"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5F079B8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41E65DD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567,2</w:t>
            </w:r>
          </w:p>
          <w:p w14:paraId="3DA9D140"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6CD522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541,4</w:t>
            </w:r>
          </w:p>
          <w:p w14:paraId="7DD65E96"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23F7A35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549,6</w:t>
            </w:r>
          </w:p>
          <w:p w14:paraId="6E4139F5"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57595C8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521,7</w:t>
            </w:r>
          </w:p>
          <w:p w14:paraId="1A403A1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2D01F01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tc>
        <w:tc>
          <w:tcPr>
            <w:tcW w:w="409" w:type="dxa"/>
            <w:vMerge/>
            <w:textDirection w:val="tbRl"/>
          </w:tcPr>
          <w:p w14:paraId="3E641A0A"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2147C541"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57E603D1" w14:textId="77777777">
        <w:trPr>
          <w:cantSplit/>
          <w:trHeight w:val="709"/>
        </w:trPr>
        <w:tc>
          <w:tcPr>
            <w:tcW w:w="311" w:type="dxa"/>
            <w:vMerge/>
            <w:tcBorders>
              <w:top w:val="single" w:sz="4" w:space="0" w:color="auto"/>
              <w:left w:val="nil"/>
              <w:bottom w:val="nil"/>
            </w:tcBorders>
            <w:textDirection w:val="tbRl"/>
          </w:tcPr>
          <w:p w14:paraId="63DE4EF3"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6287BC2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8,2</w:t>
            </w:r>
          </w:p>
          <w:p w14:paraId="0C4947DC"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72567EC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101</w:t>
            </w:r>
          </w:p>
          <w:p w14:paraId="7B4AEA3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040924D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20,4</w:t>
            </w:r>
          </w:p>
          <w:p w14:paraId="6DD8121E"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153BEEF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54,6</w:t>
            </w:r>
          </w:p>
          <w:p w14:paraId="374AC967"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4B1D483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28" w:type="dxa"/>
            <w:vMerge/>
            <w:tcBorders>
              <w:right w:val="single" w:sz="4" w:space="0" w:color="auto"/>
            </w:tcBorders>
            <w:textDirection w:val="tbRl"/>
          </w:tcPr>
          <w:p w14:paraId="3D67362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3B94378D"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4023F27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3E199BB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557,6</w:t>
            </w:r>
          </w:p>
          <w:p w14:paraId="7776B4AE"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1FFE802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475,8</w:t>
            </w:r>
          </w:p>
          <w:p w14:paraId="0188400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630DF64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520,9</w:t>
            </w:r>
          </w:p>
          <w:p w14:paraId="29AF0866"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AE1EBE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501,6</w:t>
            </w:r>
          </w:p>
          <w:p w14:paraId="0822BA68"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3755ECF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09" w:type="dxa"/>
            <w:vMerge/>
            <w:textDirection w:val="tbRl"/>
          </w:tcPr>
          <w:p w14:paraId="766FA62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34450BE4"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31899BF5" w14:textId="77777777">
        <w:trPr>
          <w:cantSplit/>
          <w:trHeight w:val="829"/>
        </w:trPr>
        <w:tc>
          <w:tcPr>
            <w:tcW w:w="311" w:type="dxa"/>
            <w:vMerge/>
            <w:tcBorders>
              <w:top w:val="single" w:sz="4" w:space="0" w:color="auto"/>
              <w:left w:val="nil"/>
              <w:bottom w:val="nil"/>
            </w:tcBorders>
            <w:textDirection w:val="tbRl"/>
          </w:tcPr>
          <w:p w14:paraId="2E2D488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1A4480E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536</w:t>
            </w:r>
          </w:p>
          <w:p w14:paraId="51128658"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4EB8C90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865</w:t>
            </w:r>
          </w:p>
          <w:p w14:paraId="22057421"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4644D44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718</w:t>
            </w:r>
          </w:p>
          <w:p w14:paraId="598F9947"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74F8268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295</w:t>
            </w:r>
          </w:p>
          <w:p w14:paraId="6EEC401F"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extDirection w:val="tbRl"/>
          </w:tcPr>
          <w:p w14:paraId="7864CEF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Folijarni simptomi</w:t>
            </w:r>
          </w:p>
        </w:tc>
        <w:tc>
          <w:tcPr>
            <w:tcW w:w="428" w:type="dxa"/>
            <w:vMerge/>
            <w:tcBorders>
              <w:right w:val="single" w:sz="4" w:space="0" w:color="auto"/>
            </w:tcBorders>
            <w:textDirection w:val="tbRl"/>
          </w:tcPr>
          <w:p w14:paraId="4E657EC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26BD5B0E"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495AFBD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427CDD3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536</w:t>
            </w:r>
          </w:p>
          <w:p w14:paraId="4B4087D0"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05A70CC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865</w:t>
            </w:r>
          </w:p>
          <w:p w14:paraId="74A3174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2FC19DF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718</w:t>
            </w:r>
          </w:p>
          <w:p w14:paraId="31D6FBF5"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1F8CA1F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295</w:t>
            </w:r>
          </w:p>
          <w:p w14:paraId="712DA6B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extDirection w:val="tbRl"/>
          </w:tcPr>
          <w:p w14:paraId="7F629B1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Folijarni simptomi</w:t>
            </w:r>
          </w:p>
        </w:tc>
        <w:tc>
          <w:tcPr>
            <w:tcW w:w="409" w:type="dxa"/>
            <w:vMerge/>
            <w:textDirection w:val="tbRl"/>
          </w:tcPr>
          <w:p w14:paraId="04E4BA1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55C2E9A1"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75B1C383" w14:textId="77777777">
        <w:trPr>
          <w:cantSplit/>
          <w:trHeight w:val="840"/>
        </w:trPr>
        <w:tc>
          <w:tcPr>
            <w:tcW w:w="311" w:type="dxa"/>
            <w:vMerge/>
            <w:tcBorders>
              <w:top w:val="single" w:sz="4" w:space="0" w:color="auto"/>
              <w:left w:val="nil"/>
              <w:bottom w:val="nil"/>
            </w:tcBorders>
            <w:textDirection w:val="tbRl"/>
          </w:tcPr>
          <w:p w14:paraId="0730D103"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extDirection w:val="tbRl"/>
          </w:tcPr>
          <w:p w14:paraId="76CF0CB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1187</w:t>
            </w:r>
          </w:p>
          <w:p w14:paraId="0028DF1F"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B0452B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1048</w:t>
            </w:r>
          </w:p>
          <w:p w14:paraId="2FE742D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55FC88C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862</w:t>
            </w:r>
          </w:p>
          <w:p w14:paraId="5417FD21"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3756B5B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tc>
        <w:tc>
          <w:tcPr>
            <w:tcW w:w="766" w:type="dxa"/>
            <w:textDirection w:val="tbRl"/>
          </w:tcPr>
          <w:p w14:paraId="1486792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Kumulativna incidenca</w:t>
            </w:r>
          </w:p>
        </w:tc>
        <w:tc>
          <w:tcPr>
            <w:tcW w:w="428" w:type="dxa"/>
            <w:vMerge/>
            <w:tcBorders>
              <w:right w:val="single" w:sz="4" w:space="0" w:color="auto"/>
            </w:tcBorders>
            <w:textDirection w:val="tbRl"/>
          </w:tcPr>
          <w:p w14:paraId="05E2020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4A74262C"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64E95434"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extDirection w:val="tbRl"/>
          </w:tcPr>
          <w:p w14:paraId="6650302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1187</w:t>
            </w:r>
          </w:p>
          <w:p w14:paraId="2D53F2CE"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089689E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1048</w:t>
            </w:r>
          </w:p>
          <w:p w14:paraId="12342354"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753C15E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862</w:t>
            </w:r>
          </w:p>
          <w:p w14:paraId="1D20DDDE"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extDirection w:val="tbRl"/>
          </w:tcPr>
          <w:p w14:paraId="10EC41E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tc>
        <w:tc>
          <w:tcPr>
            <w:tcW w:w="783" w:type="dxa"/>
            <w:textDirection w:val="tbRl"/>
          </w:tcPr>
          <w:p w14:paraId="52A7F90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Kumulativna incidenca</w:t>
            </w:r>
          </w:p>
        </w:tc>
        <w:tc>
          <w:tcPr>
            <w:tcW w:w="409" w:type="dxa"/>
            <w:vMerge/>
            <w:textDirection w:val="tbRl"/>
          </w:tcPr>
          <w:p w14:paraId="110871E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0C06A34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45350784" w14:textId="77777777">
        <w:trPr>
          <w:cantSplit/>
          <w:trHeight w:val="696"/>
        </w:trPr>
        <w:tc>
          <w:tcPr>
            <w:tcW w:w="311" w:type="dxa"/>
            <w:vMerge/>
            <w:tcBorders>
              <w:top w:val="single" w:sz="4" w:space="0" w:color="auto"/>
              <w:left w:val="nil"/>
              <w:bottom w:val="nil"/>
            </w:tcBorders>
            <w:textDirection w:val="tbRl"/>
          </w:tcPr>
          <w:p w14:paraId="3FA65CB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8" w:type="dxa"/>
            <w:tcBorders>
              <w:bottom w:val="single" w:sz="4" w:space="0" w:color="auto"/>
            </w:tcBorders>
            <w:textDirection w:val="tbRl"/>
          </w:tcPr>
          <w:p w14:paraId="6C3EE5E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1145</w:t>
            </w:r>
          </w:p>
          <w:p w14:paraId="44072643"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cBorders>
              <w:bottom w:val="single" w:sz="4" w:space="0" w:color="auto"/>
            </w:tcBorders>
            <w:textDirection w:val="tbRl"/>
          </w:tcPr>
          <w:p w14:paraId="6153B3A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716</w:t>
            </w:r>
          </w:p>
          <w:p w14:paraId="6320DDC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cBorders>
              <w:bottom w:val="single" w:sz="4" w:space="0" w:color="auto"/>
            </w:tcBorders>
            <w:textDirection w:val="tbRl"/>
          </w:tcPr>
          <w:p w14:paraId="7EE9AEC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691</w:t>
            </w:r>
          </w:p>
          <w:p w14:paraId="65E3EA8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cBorders>
              <w:bottom w:val="single" w:sz="4" w:space="0" w:color="auto"/>
            </w:tcBorders>
            <w:textDirection w:val="tbRl"/>
          </w:tcPr>
          <w:p w14:paraId="73AA1BA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591</w:t>
            </w:r>
          </w:p>
          <w:p w14:paraId="5FF2EBB8"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6" w:type="dxa"/>
            <w:tcBorders>
              <w:bottom w:val="single" w:sz="4" w:space="0" w:color="auto"/>
            </w:tcBorders>
            <w:textDirection w:val="tbRl"/>
          </w:tcPr>
          <w:p w14:paraId="0549D1F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“Prazna mjesta”</w:t>
            </w:r>
          </w:p>
        </w:tc>
        <w:tc>
          <w:tcPr>
            <w:tcW w:w="428" w:type="dxa"/>
            <w:vMerge/>
            <w:tcBorders>
              <w:bottom w:val="single" w:sz="4" w:space="0" w:color="auto"/>
              <w:right w:val="single" w:sz="4" w:space="0" w:color="auto"/>
            </w:tcBorders>
            <w:textDirection w:val="tbRl"/>
          </w:tcPr>
          <w:p w14:paraId="7C093F61"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798" w:type="dxa"/>
            <w:vMerge/>
            <w:tcBorders>
              <w:bottom w:val="nil"/>
              <w:right w:val="nil"/>
            </w:tcBorders>
            <w:textDirection w:val="tbRl"/>
          </w:tcPr>
          <w:p w14:paraId="09D16B1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954" w:type="dxa"/>
            <w:vMerge/>
            <w:tcBorders>
              <w:top w:val="single" w:sz="4" w:space="0" w:color="auto"/>
              <w:left w:val="nil"/>
              <w:bottom w:val="nil"/>
            </w:tcBorders>
            <w:textDirection w:val="tbRl"/>
          </w:tcPr>
          <w:p w14:paraId="42063F2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09" w:type="dxa"/>
            <w:tcBorders>
              <w:bottom w:val="single" w:sz="4" w:space="0" w:color="auto"/>
            </w:tcBorders>
            <w:textDirection w:val="tbRl"/>
          </w:tcPr>
          <w:p w14:paraId="04B08C7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1145</w:t>
            </w:r>
          </w:p>
          <w:p w14:paraId="0408680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cBorders>
              <w:bottom w:val="single" w:sz="4" w:space="0" w:color="auto"/>
            </w:tcBorders>
            <w:textDirection w:val="tbRl"/>
          </w:tcPr>
          <w:p w14:paraId="518C798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716</w:t>
            </w:r>
          </w:p>
          <w:p w14:paraId="151E78A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cBorders>
              <w:bottom w:val="single" w:sz="4" w:space="0" w:color="auto"/>
            </w:tcBorders>
            <w:textDirection w:val="tbRl"/>
          </w:tcPr>
          <w:p w14:paraId="4D082F6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691</w:t>
            </w:r>
          </w:p>
          <w:p w14:paraId="4E0F8937"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9" w:type="dxa"/>
            <w:tcBorders>
              <w:bottom w:val="single" w:sz="4" w:space="0" w:color="auto"/>
            </w:tcBorders>
            <w:textDirection w:val="tbRl"/>
          </w:tcPr>
          <w:p w14:paraId="450FD40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591</w:t>
            </w:r>
          </w:p>
          <w:p w14:paraId="0B46E518"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83" w:type="dxa"/>
            <w:tcBorders>
              <w:bottom w:val="single" w:sz="4" w:space="0" w:color="auto"/>
            </w:tcBorders>
            <w:textDirection w:val="tbRl"/>
          </w:tcPr>
          <w:p w14:paraId="39CF928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“Prazna mjesta”</w:t>
            </w:r>
          </w:p>
        </w:tc>
        <w:tc>
          <w:tcPr>
            <w:tcW w:w="409" w:type="dxa"/>
            <w:vMerge/>
            <w:tcBorders>
              <w:bottom w:val="single" w:sz="4" w:space="0" w:color="auto"/>
            </w:tcBorders>
            <w:textDirection w:val="tbRl"/>
          </w:tcPr>
          <w:p w14:paraId="6B35F3FA"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0FDDA5F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bl>
    <w:tbl>
      <w:tblPr>
        <w:tblStyle w:val="TableGrid"/>
        <w:tblW w:w="0" w:type="auto"/>
        <w:tblInd w:w="846" w:type="dxa"/>
        <w:tblLook w:val="04A0" w:firstRow="1" w:lastRow="0" w:firstColumn="1" w:lastColumn="0" w:noHBand="0" w:noVBand="1"/>
      </w:tblPr>
      <w:tblGrid>
        <w:gridCol w:w="247"/>
        <w:gridCol w:w="522"/>
        <w:gridCol w:w="490"/>
        <w:gridCol w:w="473"/>
        <w:gridCol w:w="760"/>
        <w:gridCol w:w="406"/>
        <w:gridCol w:w="784"/>
        <w:gridCol w:w="477"/>
        <w:gridCol w:w="580"/>
        <w:gridCol w:w="570"/>
        <w:gridCol w:w="404"/>
        <w:gridCol w:w="760"/>
        <w:gridCol w:w="401"/>
        <w:gridCol w:w="784"/>
      </w:tblGrid>
      <w:tr w:rsidR="003801E8" w14:paraId="09826831" w14:textId="77777777">
        <w:trPr>
          <w:cantSplit/>
          <w:trHeight w:val="1124"/>
        </w:trPr>
        <w:tc>
          <w:tcPr>
            <w:tcW w:w="505" w:type="dxa"/>
            <w:vMerge w:val="restart"/>
            <w:tcBorders>
              <w:top w:val="nil"/>
              <w:left w:val="nil"/>
              <w:bottom w:val="nil"/>
              <w:right w:val="single" w:sz="4" w:space="0" w:color="auto"/>
            </w:tcBorders>
            <w:textDirection w:val="tbRl"/>
          </w:tcPr>
          <w:p w14:paraId="1E6E266D"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20"/>
                <w:szCs w:val="20"/>
                <w:lang w:val="en-US" w:eastAsia="sr-Latn-ME"/>
              </w:rPr>
            </w:pPr>
          </w:p>
        </w:tc>
        <w:tc>
          <w:tcPr>
            <w:tcW w:w="544" w:type="dxa"/>
            <w:tcBorders>
              <w:left w:val="single" w:sz="4" w:space="0" w:color="auto"/>
            </w:tcBorders>
            <w:textDirection w:val="tbRl"/>
          </w:tcPr>
          <w:p w14:paraId="02C4E46A" w14:textId="77777777" w:rsidR="003801E8" w:rsidRDefault="00E44AAE">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Kumulativna incidenca</w:t>
            </w:r>
          </w:p>
        </w:tc>
        <w:tc>
          <w:tcPr>
            <w:tcW w:w="519" w:type="dxa"/>
            <w:textDirection w:val="tbRl"/>
          </w:tcPr>
          <w:p w14:paraId="567B6E8E" w14:textId="77777777" w:rsidR="003801E8" w:rsidRDefault="00E44AAE">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Prazna mjesta</w:t>
            </w:r>
          </w:p>
        </w:tc>
        <w:tc>
          <w:tcPr>
            <w:tcW w:w="526" w:type="dxa"/>
            <w:textDirection w:val="tbRl"/>
          </w:tcPr>
          <w:p w14:paraId="584D1255" w14:textId="77777777" w:rsidR="003801E8" w:rsidRDefault="00E44AAE">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Folijarni simptomi</w:t>
            </w:r>
          </w:p>
        </w:tc>
        <w:tc>
          <w:tcPr>
            <w:tcW w:w="765" w:type="dxa"/>
            <w:textDirection w:val="tbRl"/>
          </w:tcPr>
          <w:p w14:paraId="1FC52212" w14:textId="77777777" w:rsidR="003801E8" w:rsidRDefault="00E44AAE">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Parmetar</w:t>
            </w:r>
          </w:p>
        </w:tc>
        <w:tc>
          <w:tcPr>
            <w:tcW w:w="451" w:type="dxa"/>
            <w:vMerge w:val="restart"/>
            <w:textDirection w:val="tbRl"/>
          </w:tcPr>
          <w:p w14:paraId="68B8C23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Korelacija izneđu ukupne količine padavina i intenziteta simptoma, kumulativne incidence eska oboljenja i broja “praznih mjesta”</w:t>
            </w:r>
          </w:p>
        </w:tc>
        <w:tc>
          <w:tcPr>
            <w:tcW w:w="477" w:type="dxa"/>
            <w:vMerge w:val="restart"/>
            <w:tcBorders>
              <w:top w:val="nil"/>
              <w:bottom w:val="nil"/>
              <w:right w:val="nil"/>
            </w:tcBorders>
            <w:textDirection w:val="tbRl"/>
          </w:tcPr>
          <w:p w14:paraId="12FE8761" w14:textId="77777777" w:rsidR="003801E8" w:rsidRDefault="00E44AAE">
            <w:pPr>
              <w:tabs>
                <w:tab w:val="left" w:pos="3315"/>
              </w:tabs>
              <w:spacing w:after="0" w:line="240" w:lineRule="auto"/>
              <w:ind w:left="113" w:right="113"/>
              <w:jc w:val="both"/>
              <w:rPr>
                <w:rFonts w:ascii="Book Antiqua" w:hAnsi="Book Antiqua" w:cs="Times New Roman"/>
                <w:bCs/>
                <w:color w:val="000000" w:themeColor="text1"/>
                <w:kern w:val="2"/>
                <w:sz w:val="22"/>
                <w:szCs w:val="22"/>
                <w:lang w:eastAsia="sr-Latn-ME"/>
              </w:rPr>
            </w:pPr>
            <w:r>
              <w:rPr>
                <w:rFonts w:ascii="Book Antiqua" w:hAnsi="Book Antiqua" w:cs="Times New Roman"/>
                <w:b/>
                <w:color w:val="000000" w:themeColor="text1"/>
                <w:kern w:val="2"/>
                <w:sz w:val="22"/>
                <w:szCs w:val="22"/>
                <w:lang w:eastAsia="sr-Latn-ME"/>
              </w:rPr>
              <w:t>T</w:t>
            </w:r>
            <w:r>
              <w:rPr>
                <w:rFonts w:ascii="Book Antiqua" w:hAnsi="Book Antiqua" w:cs="Times New Roman"/>
                <w:b/>
                <w:color w:val="000000" w:themeColor="text1"/>
                <w:kern w:val="2"/>
                <w:sz w:val="20"/>
                <w:szCs w:val="20"/>
                <w:lang w:eastAsia="sr-Latn-ME"/>
              </w:rPr>
              <w:t>abela 32.</w:t>
            </w:r>
            <w:r>
              <w:rPr>
                <w:rFonts w:ascii="Book Antiqua" w:hAnsi="Book Antiqua" w:cs="Times New Roman"/>
                <w:bCs/>
                <w:color w:val="000000" w:themeColor="text1"/>
                <w:kern w:val="2"/>
                <w:sz w:val="20"/>
                <w:szCs w:val="20"/>
                <w:lang w:eastAsia="sr-Latn-ME"/>
              </w:rPr>
              <w:t xml:space="preserve"> Pirsov index korelacije između količine padavina i ispitivanih parametara eska oboljenja (Boldirani koeficijenti utvrđene</w:t>
            </w:r>
            <w:r>
              <w:rPr>
                <w:rFonts w:ascii="Book Antiqua" w:hAnsi="Book Antiqua" w:cs="Times New Roman"/>
                <w:bCs/>
                <w:color w:val="000000" w:themeColor="text1"/>
                <w:kern w:val="2"/>
                <w:sz w:val="22"/>
                <w:szCs w:val="22"/>
                <w:lang w:eastAsia="sr-Latn-ME"/>
              </w:rPr>
              <w:t xml:space="preserve"> značajnosti)</w:t>
            </w:r>
          </w:p>
          <w:p w14:paraId="499C42D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22"/>
                <w:szCs w:val="22"/>
                <w:lang w:val="en-US" w:eastAsia="sr-Latn-ME"/>
              </w:rPr>
            </w:pPr>
          </w:p>
          <w:p w14:paraId="0ABD319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22"/>
                <w:szCs w:val="22"/>
                <w:lang w:val="en-US" w:eastAsia="sr-Latn-ME"/>
              </w:rPr>
            </w:pPr>
          </w:p>
        </w:tc>
        <w:tc>
          <w:tcPr>
            <w:tcW w:w="477" w:type="dxa"/>
            <w:vMerge w:val="restart"/>
            <w:tcBorders>
              <w:top w:val="nil"/>
              <w:left w:val="nil"/>
            </w:tcBorders>
            <w:textDirection w:val="tbRl"/>
          </w:tcPr>
          <w:p w14:paraId="172313A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20"/>
                <w:szCs w:val="20"/>
                <w:lang w:eastAsia="sr-Latn-ME"/>
              </w:rPr>
            </w:pPr>
          </w:p>
          <w:p w14:paraId="37B63CFF"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20"/>
                <w:szCs w:val="20"/>
                <w:lang w:eastAsia="sr-Latn-ME"/>
              </w:rPr>
            </w:pPr>
          </w:p>
        </w:tc>
        <w:tc>
          <w:tcPr>
            <w:tcW w:w="440" w:type="dxa"/>
            <w:textDirection w:val="tbRl"/>
          </w:tcPr>
          <w:p w14:paraId="654ECD1D" w14:textId="77777777" w:rsidR="003801E8" w:rsidRDefault="00E44AAE">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Kumulativna incidenca</w:t>
            </w:r>
          </w:p>
          <w:p w14:paraId="1B1FC08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p w14:paraId="2C28EF14"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570" w:type="dxa"/>
            <w:textDirection w:val="tbRl"/>
          </w:tcPr>
          <w:p w14:paraId="3968A06B" w14:textId="77777777" w:rsidR="003801E8" w:rsidRDefault="00E44AAE">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Prazna mjesta</w:t>
            </w:r>
          </w:p>
        </w:tc>
        <w:tc>
          <w:tcPr>
            <w:tcW w:w="431" w:type="dxa"/>
            <w:textDirection w:val="tbRl"/>
          </w:tcPr>
          <w:p w14:paraId="7DDEEDA7" w14:textId="77777777" w:rsidR="003801E8" w:rsidRDefault="00E44AAE">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Folijarni simptomi</w:t>
            </w:r>
          </w:p>
        </w:tc>
        <w:tc>
          <w:tcPr>
            <w:tcW w:w="766" w:type="dxa"/>
            <w:textDirection w:val="tbRl"/>
          </w:tcPr>
          <w:p w14:paraId="6C501621"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p w14:paraId="576DD09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Parametar</w:t>
            </w:r>
          </w:p>
        </w:tc>
        <w:tc>
          <w:tcPr>
            <w:tcW w:w="403" w:type="dxa"/>
            <w:vMerge w:val="restart"/>
            <w:textDirection w:val="tbRl"/>
          </w:tcPr>
          <w:p w14:paraId="2AE7502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Korelacija sume aktivnih temperatura i intenziteta simptoma, kumulativne incidence i “praznih mjesta”</w:t>
            </w:r>
          </w:p>
        </w:tc>
        <w:tc>
          <w:tcPr>
            <w:tcW w:w="784" w:type="dxa"/>
            <w:vMerge w:val="restart"/>
            <w:tcBorders>
              <w:top w:val="nil"/>
              <w:bottom w:val="nil"/>
              <w:right w:val="nil"/>
            </w:tcBorders>
            <w:textDirection w:val="tbRl"/>
          </w:tcPr>
          <w:p w14:paraId="06F9A25C" w14:textId="77777777" w:rsidR="003801E8" w:rsidRDefault="00E44AAE">
            <w:pPr>
              <w:tabs>
                <w:tab w:val="left" w:pos="3315"/>
              </w:tabs>
              <w:spacing w:after="0" w:line="240" w:lineRule="auto"/>
              <w:ind w:left="113" w:right="113"/>
              <w:rPr>
                <w:rFonts w:ascii="Book Antiqua" w:hAnsi="Book Antiqua" w:cs="Times New Roman"/>
                <w:bCs/>
                <w:color w:val="000000" w:themeColor="text1"/>
                <w:kern w:val="2"/>
                <w:sz w:val="22"/>
                <w:szCs w:val="22"/>
                <w:lang w:val="en-US" w:eastAsia="sr-Latn-ME"/>
              </w:rPr>
            </w:pPr>
            <w:r>
              <w:rPr>
                <w:rFonts w:ascii="Book Antiqua" w:hAnsi="Book Antiqua" w:cs="Times New Roman"/>
                <w:b/>
                <w:color w:val="000000" w:themeColor="text1"/>
                <w:kern w:val="2"/>
                <w:sz w:val="20"/>
                <w:szCs w:val="20"/>
                <w:lang w:val="en-US" w:eastAsia="sr-Latn-ME"/>
              </w:rPr>
              <w:t>Tabela 31</w:t>
            </w:r>
            <w:r>
              <w:rPr>
                <w:rFonts w:ascii="Book Antiqua" w:hAnsi="Book Antiqua" w:cs="Times New Roman"/>
                <w:bCs/>
                <w:color w:val="000000" w:themeColor="text1"/>
                <w:kern w:val="2"/>
                <w:sz w:val="20"/>
                <w:szCs w:val="20"/>
                <w:lang w:val="en-US" w:eastAsia="sr-Latn-ME"/>
              </w:rPr>
              <w:t xml:space="preserve">. Pirsov index korelacije između sume aktivnih temperatura i ispitivanih parametara eska oboljenja (Boldirani koeficijenti </w:t>
            </w:r>
            <w:r>
              <w:rPr>
                <w:rFonts w:ascii="Book Antiqua" w:hAnsi="Book Antiqua" w:cs="Times New Roman"/>
                <w:bCs/>
                <w:color w:val="000000" w:themeColor="text1"/>
                <w:kern w:val="2"/>
                <w:sz w:val="22"/>
                <w:szCs w:val="22"/>
                <w:lang w:val="en-US" w:eastAsia="sr-Latn-ME"/>
              </w:rPr>
              <w:t>utvrđene značajnosti)</w:t>
            </w:r>
          </w:p>
          <w:p w14:paraId="31D668E2" w14:textId="77777777" w:rsidR="003801E8" w:rsidRDefault="00E44AAE">
            <w:pPr>
              <w:tabs>
                <w:tab w:val="left" w:pos="3315"/>
              </w:tabs>
              <w:spacing w:after="0" w:line="240" w:lineRule="auto"/>
              <w:ind w:left="113" w:right="113"/>
              <w:rPr>
                <w:rFonts w:ascii="Book Antiqua" w:hAnsi="Book Antiqua" w:cs="Times New Roman"/>
                <w:bCs/>
                <w:color w:val="000000" w:themeColor="text1"/>
                <w:kern w:val="2"/>
                <w:sz w:val="22"/>
                <w:szCs w:val="22"/>
                <w:lang w:val="en-US" w:eastAsia="sr-Latn-ME"/>
              </w:rPr>
            </w:pPr>
            <w:r>
              <w:rPr>
                <w:rFonts w:ascii="Book Antiqua" w:hAnsi="Book Antiqua" w:cs="Times New Roman"/>
                <w:b/>
                <w:color w:val="000000" w:themeColor="text1"/>
                <w:kern w:val="2"/>
                <w:sz w:val="22"/>
                <w:szCs w:val="22"/>
                <w:lang w:val="en-US" w:eastAsia="sr-Latn-ME"/>
              </w:rPr>
              <w:t xml:space="preserve"> </w:t>
            </w:r>
          </w:p>
        </w:tc>
      </w:tr>
      <w:tr w:rsidR="003801E8" w14:paraId="66AB6F9E" w14:textId="77777777">
        <w:trPr>
          <w:cantSplit/>
          <w:trHeight w:val="705"/>
        </w:trPr>
        <w:tc>
          <w:tcPr>
            <w:tcW w:w="505" w:type="dxa"/>
            <w:vMerge/>
            <w:tcBorders>
              <w:top w:val="single" w:sz="4" w:space="0" w:color="auto"/>
              <w:left w:val="nil"/>
              <w:bottom w:val="nil"/>
              <w:right w:val="single" w:sz="4" w:space="0" w:color="auto"/>
            </w:tcBorders>
            <w:textDirection w:val="tbRl"/>
          </w:tcPr>
          <w:p w14:paraId="6AE3DB37"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6"/>
                <w:szCs w:val="16"/>
                <w:lang w:val="en-US" w:eastAsia="sr-Latn-ME"/>
              </w:rPr>
            </w:pPr>
          </w:p>
        </w:tc>
        <w:tc>
          <w:tcPr>
            <w:tcW w:w="1589" w:type="dxa"/>
            <w:gridSpan w:val="3"/>
            <w:tcBorders>
              <w:left w:val="single" w:sz="4" w:space="0" w:color="auto"/>
            </w:tcBorders>
            <w:textDirection w:val="tbRl"/>
          </w:tcPr>
          <w:p w14:paraId="425DCEC2"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p w14:paraId="23D1B308"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p w14:paraId="3ECE097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p w14:paraId="014E89C8"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p w14:paraId="3D0865D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2021/  2024</w:t>
            </w:r>
          </w:p>
          <w:p w14:paraId="0636EA8E"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p w14:paraId="03D1108C"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p w14:paraId="06747ED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765" w:type="dxa"/>
            <w:textDirection w:val="tbRl"/>
          </w:tcPr>
          <w:p w14:paraId="3E339A0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Period</w:t>
            </w:r>
          </w:p>
        </w:tc>
        <w:tc>
          <w:tcPr>
            <w:tcW w:w="451" w:type="dxa"/>
            <w:vMerge/>
            <w:textDirection w:val="tbRl"/>
          </w:tcPr>
          <w:p w14:paraId="5CA821A1"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391F14B3"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7869F07D"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6"/>
                <w:szCs w:val="16"/>
                <w:lang w:val="en-US" w:eastAsia="sr-Latn-ME"/>
              </w:rPr>
            </w:pPr>
          </w:p>
        </w:tc>
        <w:tc>
          <w:tcPr>
            <w:tcW w:w="1441" w:type="dxa"/>
            <w:gridSpan w:val="3"/>
            <w:textDirection w:val="tbRl"/>
          </w:tcPr>
          <w:p w14:paraId="133BE6F8"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p w14:paraId="7C187FCC"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p w14:paraId="52EBAECB"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p w14:paraId="369D7AFD" w14:textId="77777777" w:rsidR="003801E8" w:rsidRDefault="00E44AAE">
            <w:pPr>
              <w:tabs>
                <w:tab w:val="left" w:pos="3315"/>
              </w:tabs>
              <w:spacing w:after="0" w:line="240" w:lineRule="auto"/>
              <w:ind w:left="113" w:right="113"/>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2021/ 2024</w:t>
            </w:r>
          </w:p>
        </w:tc>
        <w:tc>
          <w:tcPr>
            <w:tcW w:w="766" w:type="dxa"/>
            <w:textDirection w:val="tbRl"/>
          </w:tcPr>
          <w:p w14:paraId="5283FC33"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p w14:paraId="2C6F048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Period</w:t>
            </w:r>
          </w:p>
        </w:tc>
        <w:tc>
          <w:tcPr>
            <w:tcW w:w="403" w:type="dxa"/>
            <w:vMerge/>
            <w:textDirection w:val="tbRl"/>
          </w:tcPr>
          <w:p w14:paraId="3A0D53E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2C58D33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52CE7530" w14:textId="77777777">
        <w:trPr>
          <w:cantSplit/>
          <w:trHeight w:val="681"/>
        </w:trPr>
        <w:tc>
          <w:tcPr>
            <w:tcW w:w="505" w:type="dxa"/>
            <w:vMerge/>
            <w:tcBorders>
              <w:top w:val="single" w:sz="4" w:space="0" w:color="auto"/>
              <w:left w:val="nil"/>
              <w:bottom w:val="nil"/>
              <w:right w:val="single" w:sz="4" w:space="0" w:color="auto"/>
            </w:tcBorders>
            <w:textDirection w:val="tbRl"/>
          </w:tcPr>
          <w:p w14:paraId="59E5F8A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66813353"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0,83</w:t>
            </w:r>
          </w:p>
          <w:p w14:paraId="059ADF62"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519" w:type="dxa"/>
            <w:textDirection w:val="tbRl"/>
          </w:tcPr>
          <w:p w14:paraId="2178591E"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0,64</w:t>
            </w:r>
          </w:p>
          <w:p w14:paraId="20FF9550"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526" w:type="dxa"/>
            <w:textDirection w:val="tbRl"/>
          </w:tcPr>
          <w:p w14:paraId="080FE77F"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0,81</w:t>
            </w:r>
          </w:p>
          <w:p w14:paraId="6530A6E9"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765" w:type="dxa"/>
            <w:textDirection w:val="tbRl"/>
          </w:tcPr>
          <w:p w14:paraId="1680263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4D45EEB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0EE3657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tc>
        <w:tc>
          <w:tcPr>
            <w:tcW w:w="451" w:type="dxa"/>
            <w:vMerge/>
            <w:textDirection w:val="tbRl"/>
          </w:tcPr>
          <w:p w14:paraId="44B8DD5A"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03108BF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2CD6DE3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4A16FEFB"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0,89</w:t>
            </w:r>
          </w:p>
          <w:p w14:paraId="6F40B35B"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570" w:type="dxa"/>
            <w:textDirection w:val="tbRl"/>
          </w:tcPr>
          <w:p w14:paraId="202D9189"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0,91</w:t>
            </w:r>
          </w:p>
          <w:p w14:paraId="0F3508C4"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p w14:paraId="009E126F"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431" w:type="dxa"/>
            <w:textDirection w:val="tbRl"/>
          </w:tcPr>
          <w:p w14:paraId="4B35EDE3"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0,64</w:t>
            </w:r>
          </w:p>
          <w:p w14:paraId="6EF3F4D4"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766" w:type="dxa"/>
            <w:textDirection w:val="tbRl"/>
          </w:tcPr>
          <w:p w14:paraId="20046CB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64CC751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12B4B27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tc>
        <w:tc>
          <w:tcPr>
            <w:tcW w:w="403" w:type="dxa"/>
            <w:vMerge/>
            <w:textDirection w:val="tbRl"/>
          </w:tcPr>
          <w:p w14:paraId="392E970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4B63E82A"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43FC3AEF" w14:textId="77777777">
        <w:trPr>
          <w:cantSplit/>
          <w:trHeight w:val="691"/>
        </w:trPr>
        <w:tc>
          <w:tcPr>
            <w:tcW w:w="505" w:type="dxa"/>
            <w:vMerge/>
            <w:tcBorders>
              <w:top w:val="single" w:sz="4" w:space="0" w:color="auto"/>
              <w:left w:val="nil"/>
              <w:bottom w:val="nil"/>
              <w:right w:val="single" w:sz="4" w:space="0" w:color="auto"/>
            </w:tcBorders>
            <w:textDirection w:val="tbRl"/>
          </w:tcPr>
          <w:p w14:paraId="55729BC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28CF56B2"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0,94</w:t>
            </w:r>
          </w:p>
        </w:tc>
        <w:tc>
          <w:tcPr>
            <w:tcW w:w="519" w:type="dxa"/>
            <w:textDirection w:val="tbRl"/>
          </w:tcPr>
          <w:p w14:paraId="353DBAFD"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0,77</w:t>
            </w:r>
          </w:p>
        </w:tc>
        <w:tc>
          <w:tcPr>
            <w:tcW w:w="526" w:type="dxa"/>
            <w:textDirection w:val="tbRl"/>
          </w:tcPr>
          <w:p w14:paraId="1C3B4AF6"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0,75</w:t>
            </w:r>
          </w:p>
        </w:tc>
        <w:tc>
          <w:tcPr>
            <w:tcW w:w="765" w:type="dxa"/>
            <w:textDirection w:val="tbRl"/>
          </w:tcPr>
          <w:p w14:paraId="29B78B0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015E105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10A6CB2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tc>
        <w:tc>
          <w:tcPr>
            <w:tcW w:w="451" w:type="dxa"/>
            <w:vMerge/>
            <w:textDirection w:val="tbRl"/>
          </w:tcPr>
          <w:p w14:paraId="69CC6B5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623DC0BA"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76178DDD"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00AA3F84"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0,77</w:t>
            </w:r>
          </w:p>
        </w:tc>
        <w:tc>
          <w:tcPr>
            <w:tcW w:w="570" w:type="dxa"/>
            <w:textDirection w:val="tbRl"/>
          </w:tcPr>
          <w:p w14:paraId="1E53518B"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0,85</w:t>
            </w:r>
          </w:p>
        </w:tc>
        <w:tc>
          <w:tcPr>
            <w:tcW w:w="431" w:type="dxa"/>
            <w:textDirection w:val="tbRl"/>
          </w:tcPr>
          <w:p w14:paraId="7D6C09E0"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0,56</w:t>
            </w:r>
          </w:p>
          <w:p w14:paraId="34C3CD8D"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766" w:type="dxa"/>
            <w:textDirection w:val="tbRl"/>
          </w:tcPr>
          <w:p w14:paraId="56B15D2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6D4EC30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019DEAE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p w14:paraId="224921F1"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3" w:type="dxa"/>
            <w:vMerge/>
            <w:textDirection w:val="tbRl"/>
          </w:tcPr>
          <w:p w14:paraId="6AA7F0B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47CAA3D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20CA23F0" w14:textId="77777777">
        <w:trPr>
          <w:cantSplit/>
          <w:trHeight w:val="701"/>
        </w:trPr>
        <w:tc>
          <w:tcPr>
            <w:tcW w:w="505" w:type="dxa"/>
            <w:vMerge/>
            <w:tcBorders>
              <w:top w:val="single" w:sz="4" w:space="0" w:color="auto"/>
              <w:left w:val="nil"/>
              <w:bottom w:val="nil"/>
              <w:right w:val="single" w:sz="4" w:space="0" w:color="auto"/>
            </w:tcBorders>
            <w:textDirection w:val="tbRl"/>
          </w:tcPr>
          <w:p w14:paraId="3E6DB5C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11E32355"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0,80</w:t>
            </w:r>
          </w:p>
        </w:tc>
        <w:tc>
          <w:tcPr>
            <w:tcW w:w="519" w:type="dxa"/>
            <w:textDirection w:val="tbRl"/>
          </w:tcPr>
          <w:p w14:paraId="51CF2269"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0,67</w:t>
            </w:r>
          </w:p>
        </w:tc>
        <w:tc>
          <w:tcPr>
            <w:tcW w:w="526" w:type="dxa"/>
            <w:textDirection w:val="tbRl"/>
          </w:tcPr>
          <w:p w14:paraId="1267E845"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0,73</w:t>
            </w:r>
          </w:p>
        </w:tc>
        <w:tc>
          <w:tcPr>
            <w:tcW w:w="765" w:type="dxa"/>
            <w:textDirection w:val="tbRl"/>
          </w:tcPr>
          <w:p w14:paraId="3746558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204C6AFF"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2EB186A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tc>
        <w:tc>
          <w:tcPr>
            <w:tcW w:w="451" w:type="dxa"/>
            <w:vMerge/>
            <w:textDirection w:val="tbRl"/>
          </w:tcPr>
          <w:p w14:paraId="6B86F86C"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33F545F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6388E80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1639EDDF"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0,81</w:t>
            </w:r>
          </w:p>
        </w:tc>
        <w:tc>
          <w:tcPr>
            <w:tcW w:w="570" w:type="dxa"/>
            <w:textDirection w:val="tbRl"/>
          </w:tcPr>
          <w:p w14:paraId="4767469F"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0,87</w:t>
            </w:r>
          </w:p>
        </w:tc>
        <w:tc>
          <w:tcPr>
            <w:tcW w:w="431" w:type="dxa"/>
            <w:textDirection w:val="tbRl"/>
          </w:tcPr>
          <w:p w14:paraId="600D2DF5"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0,58</w:t>
            </w:r>
          </w:p>
          <w:p w14:paraId="74A8F4EE"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766" w:type="dxa"/>
            <w:textDirection w:val="tbRl"/>
          </w:tcPr>
          <w:p w14:paraId="10C9420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13F5D77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5956AA9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tc>
        <w:tc>
          <w:tcPr>
            <w:tcW w:w="403" w:type="dxa"/>
            <w:vMerge/>
            <w:textDirection w:val="tbRl"/>
          </w:tcPr>
          <w:p w14:paraId="6CDA766F"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13FE608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1F93DB62" w14:textId="77777777">
        <w:trPr>
          <w:cantSplit/>
          <w:trHeight w:val="711"/>
        </w:trPr>
        <w:tc>
          <w:tcPr>
            <w:tcW w:w="505" w:type="dxa"/>
            <w:vMerge/>
            <w:tcBorders>
              <w:top w:val="single" w:sz="4" w:space="0" w:color="auto"/>
              <w:left w:val="nil"/>
              <w:bottom w:val="nil"/>
              <w:right w:val="single" w:sz="4" w:space="0" w:color="auto"/>
            </w:tcBorders>
            <w:textDirection w:val="tbRl"/>
          </w:tcPr>
          <w:p w14:paraId="05D1829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518A6FA8"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0,66</w:t>
            </w:r>
          </w:p>
        </w:tc>
        <w:tc>
          <w:tcPr>
            <w:tcW w:w="519" w:type="dxa"/>
            <w:textDirection w:val="tbRl"/>
          </w:tcPr>
          <w:p w14:paraId="46EA535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0,48</w:t>
            </w:r>
          </w:p>
          <w:p w14:paraId="268C7CF0"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526" w:type="dxa"/>
            <w:textDirection w:val="tbRl"/>
          </w:tcPr>
          <w:p w14:paraId="76A1C379"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0,74</w:t>
            </w:r>
          </w:p>
          <w:p w14:paraId="36D4F351"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765" w:type="dxa"/>
            <w:textDirection w:val="tbRl"/>
          </w:tcPr>
          <w:p w14:paraId="228735B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38250F7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00CF1B7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51" w:type="dxa"/>
            <w:vMerge/>
            <w:textDirection w:val="tbRl"/>
          </w:tcPr>
          <w:p w14:paraId="245DE99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41D730A1"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77716F9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55D39108"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0,79</w:t>
            </w:r>
          </w:p>
          <w:p w14:paraId="306FC656"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570" w:type="dxa"/>
            <w:textDirection w:val="tbRl"/>
          </w:tcPr>
          <w:p w14:paraId="4B189055"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0,89</w:t>
            </w:r>
          </w:p>
          <w:p w14:paraId="0865E479"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431" w:type="dxa"/>
            <w:textDirection w:val="tbRl"/>
          </w:tcPr>
          <w:p w14:paraId="47FAB66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0,52</w:t>
            </w:r>
          </w:p>
          <w:p w14:paraId="7834229F"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766" w:type="dxa"/>
            <w:textDirection w:val="tbRl"/>
          </w:tcPr>
          <w:p w14:paraId="0321171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p w14:paraId="2780760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063B95E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03" w:type="dxa"/>
            <w:vMerge/>
            <w:textDirection w:val="tbRl"/>
          </w:tcPr>
          <w:p w14:paraId="36F2765E"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0EB3B783"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3B60805D" w14:textId="77777777">
        <w:trPr>
          <w:cantSplit/>
          <w:trHeight w:val="694"/>
        </w:trPr>
        <w:tc>
          <w:tcPr>
            <w:tcW w:w="505" w:type="dxa"/>
            <w:vMerge/>
            <w:tcBorders>
              <w:top w:val="single" w:sz="4" w:space="0" w:color="auto"/>
              <w:left w:val="nil"/>
              <w:bottom w:val="nil"/>
              <w:right w:val="single" w:sz="4" w:space="0" w:color="auto"/>
            </w:tcBorders>
            <w:textDirection w:val="tbRl"/>
          </w:tcPr>
          <w:p w14:paraId="0653FA53"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5EB6ECB6"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0,97</w:t>
            </w:r>
          </w:p>
        </w:tc>
        <w:tc>
          <w:tcPr>
            <w:tcW w:w="519" w:type="dxa"/>
            <w:textDirection w:val="tbRl"/>
          </w:tcPr>
          <w:p w14:paraId="2AA3E28D"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0,87</w:t>
            </w:r>
          </w:p>
        </w:tc>
        <w:tc>
          <w:tcPr>
            <w:tcW w:w="526" w:type="dxa"/>
            <w:textDirection w:val="tbRl"/>
          </w:tcPr>
          <w:p w14:paraId="6C370C4B"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0,79</w:t>
            </w:r>
          </w:p>
        </w:tc>
        <w:tc>
          <w:tcPr>
            <w:tcW w:w="765" w:type="dxa"/>
            <w:textDirection w:val="tbRl"/>
          </w:tcPr>
          <w:p w14:paraId="16DF879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p w14:paraId="1862814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16075D1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tc>
        <w:tc>
          <w:tcPr>
            <w:tcW w:w="451" w:type="dxa"/>
            <w:vMerge/>
            <w:textDirection w:val="tbRl"/>
          </w:tcPr>
          <w:p w14:paraId="3389EC7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4D41F0F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75C61C1A"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4C31129F"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0,59</w:t>
            </w:r>
          </w:p>
        </w:tc>
        <w:tc>
          <w:tcPr>
            <w:tcW w:w="570" w:type="dxa"/>
            <w:textDirection w:val="tbRl"/>
          </w:tcPr>
          <w:p w14:paraId="11A43D4C"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0,63</w:t>
            </w:r>
          </w:p>
        </w:tc>
        <w:tc>
          <w:tcPr>
            <w:tcW w:w="431" w:type="dxa"/>
            <w:textDirection w:val="tbRl"/>
          </w:tcPr>
          <w:p w14:paraId="64D056C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0,54</w:t>
            </w:r>
          </w:p>
        </w:tc>
        <w:tc>
          <w:tcPr>
            <w:tcW w:w="766" w:type="dxa"/>
            <w:textDirection w:val="tbRl"/>
          </w:tcPr>
          <w:p w14:paraId="279E567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p w14:paraId="0068710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41C4997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tc>
        <w:tc>
          <w:tcPr>
            <w:tcW w:w="403" w:type="dxa"/>
            <w:vMerge/>
            <w:textDirection w:val="tbRl"/>
          </w:tcPr>
          <w:p w14:paraId="2E40637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7734B06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609381DD" w14:textId="77777777">
        <w:trPr>
          <w:cantSplit/>
          <w:trHeight w:val="703"/>
        </w:trPr>
        <w:tc>
          <w:tcPr>
            <w:tcW w:w="505" w:type="dxa"/>
            <w:vMerge/>
            <w:tcBorders>
              <w:top w:val="single" w:sz="4" w:space="0" w:color="auto"/>
              <w:left w:val="nil"/>
              <w:bottom w:val="nil"/>
              <w:right w:val="single" w:sz="4" w:space="0" w:color="auto"/>
            </w:tcBorders>
            <w:textDirection w:val="tbRl"/>
          </w:tcPr>
          <w:p w14:paraId="00294FEC"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4BEBC5EF"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0,86</w:t>
            </w:r>
          </w:p>
        </w:tc>
        <w:tc>
          <w:tcPr>
            <w:tcW w:w="519" w:type="dxa"/>
            <w:textDirection w:val="tbRl"/>
          </w:tcPr>
          <w:p w14:paraId="2F153A51"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0,79</w:t>
            </w:r>
          </w:p>
        </w:tc>
        <w:tc>
          <w:tcPr>
            <w:tcW w:w="526" w:type="dxa"/>
            <w:textDirection w:val="tbRl"/>
          </w:tcPr>
          <w:p w14:paraId="5C6B0B24"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0,68</w:t>
            </w:r>
          </w:p>
        </w:tc>
        <w:tc>
          <w:tcPr>
            <w:tcW w:w="765" w:type="dxa"/>
            <w:textDirection w:val="tbRl"/>
          </w:tcPr>
          <w:p w14:paraId="11975C7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p w14:paraId="76C3FD4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57D86CC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p w14:paraId="24D1DBFF"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51" w:type="dxa"/>
            <w:vMerge/>
            <w:textDirection w:val="tbRl"/>
          </w:tcPr>
          <w:p w14:paraId="21F186FA"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49D3E74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615C936A"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379036AE"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0,70</w:t>
            </w:r>
          </w:p>
        </w:tc>
        <w:tc>
          <w:tcPr>
            <w:tcW w:w="570" w:type="dxa"/>
            <w:textDirection w:val="tbRl"/>
          </w:tcPr>
          <w:p w14:paraId="328E7DA4"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0,73</w:t>
            </w:r>
          </w:p>
        </w:tc>
        <w:tc>
          <w:tcPr>
            <w:tcW w:w="431" w:type="dxa"/>
            <w:textDirection w:val="tbRl"/>
          </w:tcPr>
          <w:p w14:paraId="1F76BA8C"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0,59</w:t>
            </w:r>
          </w:p>
        </w:tc>
        <w:tc>
          <w:tcPr>
            <w:tcW w:w="766" w:type="dxa"/>
            <w:textDirection w:val="tbRl"/>
          </w:tcPr>
          <w:p w14:paraId="28DF48A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p w14:paraId="18F3069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3E4F784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p w14:paraId="09C573CA" w14:textId="77777777" w:rsidR="003801E8" w:rsidRDefault="003801E8">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p>
        </w:tc>
        <w:tc>
          <w:tcPr>
            <w:tcW w:w="403" w:type="dxa"/>
            <w:vMerge/>
            <w:textDirection w:val="tbRl"/>
          </w:tcPr>
          <w:p w14:paraId="76F7D0DD"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1C14AF3D"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77358481" w14:textId="77777777">
        <w:trPr>
          <w:cantSplit/>
          <w:trHeight w:val="841"/>
        </w:trPr>
        <w:tc>
          <w:tcPr>
            <w:tcW w:w="505" w:type="dxa"/>
            <w:vMerge/>
            <w:tcBorders>
              <w:top w:val="single" w:sz="4" w:space="0" w:color="auto"/>
              <w:left w:val="nil"/>
              <w:bottom w:val="nil"/>
              <w:right w:val="single" w:sz="4" w:space="0" w:color="auto"/>
            </w:tcBorders>
            <w:textDirection w:val="tbRl"/>
          </w:tcPr>
          <w:p w14:paraId="15E9D8CC"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472ED7F6"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0,72</w:t>
            </w:r>
          </w:p>
        </w:tc>
        <w:tc>
          <w:tcPr>
            <w:tcW w:w="519" w:type="dxa"/>
            <w:textDirection w:val="tbRl"/>
          </w:tcPr>
          <w:p w14:paraId="6B1FC7A4"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0,57</w:t>
            </w:r>
          </w:p>
          <w:p w14:paraId="3D3ABF29"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526" w:type="dxa"/>
            <w:textDirection w:val="tbRl"/>
          </w:tcPr>
          <w:p w14:paraId="11C466FB"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0,72</w:t>
            </w:r>
          </w:p>
          <w:p w14:paraId="36AF71EB"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765" w:type="dxa"/>
            <w:textDirection w:val="tbRl"/>
          </w:tcPr>
          <w:p w14:paraId="03B209D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p w14:paraId="602FF27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2A75A10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51" w:type="dxa"/>
            <w:vMerge/>
            <w:textDirection w:val="tbRl"/>
          </w:tcPr>
          <w:p w14:paraId="7DAECB8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35C1DE6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697E7E8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34C89161"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0,93</w:t>
            </w:r>
          </w:p>
          <w:p w14:paraId="0D7E00A5"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570" w:type="dxa"/>
            <w:textDirection w:val="tbRl"/>
          </w:tcPr>
          <w:p w14:paraId="35EB7B94"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0,81</w:t>
            </w:r>
          </w:p>
          <w:p w14:paraId="25F0BB1A"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431" w:type="dxa"/>
            <w:textDirection w:val="tbRl"/>
          </w:tcPr>
          <w:p w14:paraId="1F46A239"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0,84</w:t>
            </w:r>
          </w:p>
        </w:tc>
        <w:tc>
          <w:tcPr>
            <w:tcW w:w="766" w:type="dxa"/>
            <w:textDirection w:val="tbRl"/>
          </w:tcPr>
          <w:p w14:paraId="73CA2D0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p w14:paraId="2E2DB0C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29E43A6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03" w:type="dxa"/>
            <w:vMerge/>
            <w:textDirection w:val="tbRl"/>
          </w:tcPr>
          <w:p w14:paraId="33A084E3"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3016D6A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748808E4" w14:textId="77777777">
        <w:trPr>
          <w:cantSplit/>
          <w:trHeight w:val="697"/>
        </w:trPr>
        <w:tc>
          <w:tcPr>
            <w:tcW w:w="505" w:type="dxa"/>
            <w:vMerge/>
            <w:tcBorders>
              <w:top w:val="single" w:sz="4" w:space="0" w:color="auto"/>
              <w:left w:val="nil"/>
              <w:bottom w:val="nil"/>
              <w:right w:val="single" w:sz="4" w:space="0" w:color="auto"/>
            </w:tcBorders>
            <w:textDirection w:val="tbRl"/>
          </w:tcPr>
          <w:p w14:paraId="5B293FC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588072F5"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0,62</w:t>
            </w:r>
          </w:p>
        </w:tc>
        <w:tc>
          <w:tcPr>
            <w:tcW w:w="519" w:type="dxa"/>
            <w:textDirection w:val="tbRl"/>
          </w:tcPr>
          <w:p w14:paraId="52C70DA6"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0,71</w:t>
            </w:r>
          </w:p>
        </w:tc>
        <w:tc>
          <w:tcPr>
            <w:tcW w:w="526" w:type="dxa"/>
            <w:textDirection w:val="tbRl"/>
          </w:tcPr>
          <w:p w14:paraId="396381A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0,36</w:t>
            </w:r>
          </w:p>
        </w:tc>
        <w:tc>
          <w:tcPr>
            <w:tcW w:w="765" w:type="dxa"/>
            <w:textDirection w:val="tbRl"/>
          </w:tcPr>
          <w:p w14:paraId="3972CB06"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p w14:paraId="03E384B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4A672AA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tc>
        <w:tc>
          <w:tcPr>
            <w:tcW w:w="451" w:type="dxa"/>
            <w:vMerge/>
            <w:textDirection w:val="tbRl"/>
          </w:tcPr>
          <w:p w14:paraId="72DC687D"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0CA16E1D"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2809F4D3"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21021586"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0,71</w:t>
            </w:r>
          </w:p>
        </w:tc>
        <w:tc>
          <w:tcPr>
            <w:tcW w:w="570" w:type="dxa"/>
            <w:textDirection w:val="tbRl"/>
          </w:tcPr>
          <w:p w14:paraId="68008B78"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0,80</w:t>
            </w:r>
          </w:p>
        </w:tc>
        <w:tc>
          <w:tcPr>
            <w:tcW w:w="431" w:type="dxa"/>
            <w:textDirection w:val="tbRl"/>
          </w:tcPr>
          <w:p w14:paraId="77F379F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0,51</w:t>
            </w:r>
          </w:p>
          <w:p w14:paraId="529B1734"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766" w:type="dxa"/>
            <w:textDirection w:val="tbRl"/>
          </w:tcPr>
          <w:p w14:paraId="22D6065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p w14:paraId="07BD6F3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0960CC1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tc>
        <w:tc>
          <w:tcPr>
            <w:tcW w:w="403" w:type="dxa"/>
            <w:vMerge/>
            <w:textDirection w:val="tbRl"/>
          </w:tcPr>
          <w:p w14:paraId="6181E41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4F185BD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5F44B243" w14:textId="77777777">
        <w:trPr>
          <w:cantSplit/>
          <w:trHeight w:val="835"/>
        </w:trPr>
        <w:tc>
          <w:tcPr>
            <w:tcW w:w="505" w:type="dxa"/>
            <w:vMerge/>
            <w:tcBorders>
              <w:top w:val="single" w:sz="4" w:space="0" w:color="auto"/>
              <w:left w:val="nil"/>
              <w:bottom w:val="nil"/>
              <w:right w:val="single" w:sz="4" w:space="0" w:color="auto"/>
            </w:tcBorders>
            <w:textDirection w:val="tbRl"/>
          </w:tcPr>
          <w:p w14:paraId="21C9FF1A"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5D4C4E0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0,47</w:t>
            </w:r>
          </w:p>
        </w:tc>
        <w:tc>
          <w:tcPr>
            <w:tcW w:w="519" w:type="dxa"/>
            <w:textDirection w:val="tbRl"/>
          </w:tcPr>
          <w:p w14:paraId="535B3F1C"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0,32</w:t>
            </w:r>
          </w:p>
        </w:tc>
        <w:tc>
          <w:tcPr>
            <w:tcW w:w="526" w:type="dxa"/>
            <w:textDirection w:val="tbRl"/>
          </w:tcPr>
          <w:p w14:paraId="6E90EEB5"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0,62</w:t>
            </w:r>
          </w:p>
        </w:tc>
        <w:tc>
          <w:tcPr>
            <w:tcW w:w="765" w:type="dxa"/>
            <w:textDirection w:val="tbRl"/>
          </w:tcPr>
          <w:p w14:paraId="4922984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p w14:paraId="4F38C5D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5009BD9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51" w:type="dxa"/>
            <w:vMerge/>
            <w:textDirection w:val="tbRl"/>
          </w:tcPr>
          <w:p w14:paraId="20BB1B74"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45190390"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6BAA7DA8"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06A387C7"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0,70</w:t>
            </w:r>
          </w:p>
        </w:tc>
        <w:tc>
          <w:tcPr>
            <w:tcW w:w="570" w:type="dxa"/>
            <w:textDirection w:val="tbRl"/>
          </w:tcPr>
          <w:p w14:paraId="4A9C8694"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0,85</w:t>
            </w:r>
          </w:p>
        </w:tc>
        <w:tc>
          <w:tcPr>
            <w:tcW w:w="431" w:type="dxa"/>
            <w:textDirection w:val="tbRl"/>
          </w:tcPr>
          <w:p w14:paraId="71E3B8D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0,43</w:t>
            </w:r>
          </w:p>
        </w:tc>
        <w:tc>
          <w:tcPr>
            <w:tcW w:w="766" w:type="dxa"/>
            <w:textDirection w:val="tbRl"/>
          </w:tcPr>
          <w:p w14:paraId="4836676B"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p w14:paraId="6A2A5BF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w:t>
            </w:r>
          </w:p>
          <w:p w14:paraId="76163837"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03" w:type="dxa"/>
            <w:vMerge/>
            <w:textDirection w:val="tbRl"/>
          </w:tcPr>
          <w:p w14:paraId="4D7785FF"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7D5C76C1"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63B86D17" w14:textId="77777777">
        <w:trPr>
          <w:cantSplit/>
          <w:trHeight w:val="847"/>
        </w:trPr>
        <w:tc>
          <w:tcPr>
            <w:tcW w:w="505" w:type="dxa"/>
            <w:vMerge/>
            <w:tcBorders>
              <w:top w:val="single" w:sz="4" w:space="0" w:color="auto"/>
              <w:left w:val="nil"/>
              <w:bottom w:val="nil"/>
              <w:right w:val="single" w:sz="4" w:space="0" w:color="auto"/>
            </w:tcBorders>
            <w:textDirection w:val="tbRl"/>
          </w:tcPr>
          <w:p w14:paraId="6977A0C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2D5F2C5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0,29</w:t>
            </w:r>
          </w:p>
        </w:tc>
        <w:tc>
          <w:tcPr>
            <w:tcW w:w="519" w:type="dxa"/>
            <w:textDirection w:val="tbRl"/>
          </w:tcPr>
          <w:p w14:paraId="3733B9E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0,20</w:t>
            </w:r>
          </w:p>
          <w:p w14:paraId="566EA4C9"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526" w:type="dxa"/>
            <w:textDirection w:val="tbRl"/>
          </w:tcPr>
          <w:p w14:paraId="6DB487C3"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0,49</w:t>
            </w:r>
          </w:p>
          <w:p w14:paraId="41C92E63"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765" w:type="dxa"/>
            <w:textDirection w:val="tbRl"/>
          </w:tcPr>
          <w:p w14:paraId="5E05713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Jul</w:t>
            </w:r>
          </w:p>
          <w:p w14:paraId="11D44DD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w:t>
            </w:r>
          </w:p>
          <w:p w14:paraId="18BB710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eastAsia="sr-Latn-ME"/>
              </w:rPr>
              <w:t>avgust</w:t>
            </w:r>
          </w:p>
        </w:tc>
        <w:tc>
          <w:tcPr>
            <w:tcW w:w="451" w:type="dxa"/>
            <w:vMerge/>
            <w:textDirection w:val="tbRl"/>
          </w:tcPr>
          <w:p w14:paraId="69EAC771"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6EF22DF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5BDA367E"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5D6970FD"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0,41</w:t>
            </w:r>
          </w:p>
          <w:p w14:paraId="3120855C"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570" w:type="dxa"/>
            <w:textDirection w:val="tbRl"/>
          </w:tcPr>
          <w:p w14:paraId="47A8E008"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0,67</w:t>
            </w:r>
          </w:p>
          <w:p w14:paraId="34A762EE"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431" w:type="dxa"/>
            <w:textDirection w:val="tbRl"/>
          </w:tcPr>
          <w:p w14:paraId="148B1E0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0,18</w:t>
            </w:r>
          </w:p>
        </w:tc>
        <w:tc>
          <w:tcPr>
            <w:tcW w:w="766" w:type="dxa"/>
            <w:textDirection w:val="tbRl"/>
          </w:tcPr>
          <w:p w14:paraId="380AC22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Jul</w:t>
            </w:r>
          </w:p>
          <w:p w14:paraId="0FC788C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w:t>
            </w:r>
          </w:p>
          <w:p w14:paraId="74D6BA4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eastAsia="sr-Latn-ME"/>
              </w:rPr>
              <w:t>avgust</w:t>
            </w:r>
          </w:p>
        </w:tc>
        <w:tc>
          <w:tcPr>
            <w:tcW w:w="403" w:type="dxa"/>
            <w:vMerge/>
            <w:textDirection w:val="tbRl"/>
          </w:tcPr>
          <w:p w14:paraId="6CB5A91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102482BE"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16897BA8" w14:textId="77777777">
        <w:trPr>
          <w:cantSplit/>
          <w:trHeight w:val="703"/>
        </w:trPr>
        <w:tc>
          <w:tcPr>
            <w:tcW w:w="505" w:type="dxa"/>
            <w:vMerge/>
            <w:tcBorders>
              <w:top w:val="single" w:sz="4" w:space="0" w:color="auto"/>
              <w:left w:val="nil"/>
              <w:bottom w:val="nil"/>
              <w:right w:val="single" w:sz="4" w:space="0" w:color="auto"/>
            </w:tcBorders>
            <w:textDirection w:val="tbRl"/>
          </w:tcPr>
          <w:p w14:paraId="353E02C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26FDEDC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0,22</w:t>
            </w:r>
          </w:p>
        </w:tc>
        <w:tc>
          <w:tcPr>
            <w:tcW w:w="519" w:type="dxa"/>
            <w:textDirection w:val="tbRl"/>
          </w:tcPr>
          <w:p w14:paraId="7696CDF1"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0,03</w:t>
            </w:r>
          </w:p>
        </w:tc>
        <w:tc>
          <w:tcPr>
            <w:tcW w:w="526" w:type="dxa"/>
            <w:textDirection w:val="tbRl"/>
          </w:tcPr>
          <w:p w14:paraId="126785AC"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0,64</w:t>
            </w:r>
          </w:p>
        </w:tc>
        <w:tc>
          <w:tcPr>
            <w:tcW w:w="765" w:type="dxa"/>
            <w:textDirection w:val="tbRl"/>
          </w:tcPr>
          <w:p w14:paraId="287FD95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tc>
        <w:tc>
          <w:tcPr>
            <w:tcW w:w="451" w:type="dxa"/>
            <w:vMerge/>
            <w:textDirection w:val="tbRl"/>
          </w:tcPr>
          <w:p w14:paraId="4BC1F83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6B5BF10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413A895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7DB38261"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0,91</w:t>
            </w:r>
          </w:p>
        </w:tc>
        <w:tc>
          <w:tcPr>
            <w:tcW w:w="570" w:type="dxa"/>
            <w:textDirection w:val="tbRl"/>
          </w:tcPr>
          <w:p w14:paraId="6A9DB0C8"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0,99</w:t>
            </w:r>
          </w:p>
        </w:tc>
        <w:tc>
          <w:tcPr>
            <w:tcW w:w="431" w:type="dxa"/>
            <w:textDirection w:val="tbRl"/>
          </w:tcPr>
          <w:p w14:paraId="3E93D813"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0,56</w:t>
            </w:r>
          </w:p>
        </w:tc>
        <w:tc>
          <w:tcPr>
            <w:tcW w:w="766" w:type="dxa"/>
            <w:textDirection w:val="tbRl"/>
          </w:tcPr>
          <w:p w14:paraId="48D52E9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April</w:t>
            </w:r>
          </w:p>
        </w:tc>
        <w:tc>
          <w:tcPr>
            <w:tcW w:w="403" w:type="dxa"/>
            <w:vMerge/>
            <w:textDirection w:val="tbRl"/>
          </w:tcPr>
          <w:p w14:paraId="3568261A"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778A7A7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17C6F18C" w14:textId="77777777">
        <w:trPr>
          <w:cantSplit/>
          <w:trHeight w:val="841"/>
        </w:trPr>
        <w:tc>
          <w:tcPr>
            <w:tcW w:w="505" w:type="dxa"/>
            <w:vMerge/>
            <w:tcBorders>
              <w:top w:val="single" w:sz="4" w:space="0" w:color="auto"/>
              <w:left w:val="nil"/>
              <w:bottom w:val="nil"/>
              <w:right w:val="single" w:sz="4" w:space="0" w:color="auto"/>
            </w:tcBorders>
            <w:textDirection w:val="tbRl"/>
          </w:tcPr>
          <w:p w14:paraId="33598DB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0D9E4301"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0,90</w:t>
            </w:r>
          </w:p>
        </w:tc>
        <w:tc>
          <w:tcPr>
            <w:tcW w:w="519" w:type="dxa"/>
            <w:textDirection w:val="tbRl"/>
          </w:tcPr>
          <w:p w14:paraId="0B7D4692"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0,79</w:t>
            </w:r>
          </w:p>
        </w:tc>
        <w:tc>
          <w:tcPr>
            <w:tcW w:w="526" w:type="dxa"/>
            <w:textDirection w:val="tbRl"/>
          </w:tcPr>
          <w:p w14:paraId="60091445"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0,76</w:t>
            </w:r>
          </w:p>
        </w:tc>
        <w:tc>
          <w:tcPr>
            <w:tcW w:w="765" w:type="dxa"/>
            <w:textDirection w:val="tbRl"/>
          </w:tcPr>
          <w:p w14:paraId="575B94F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tc>
        <w:tc>
          <w:tcPr>
            <w:tcW w:w="451" w:type="dxa"/>
            <w:vMerge/>
            <w:textDirection w:val="tbRl"/>
          </w:tcPr>
          <w:p w14:paraId="6F6F029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10C3A83D"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3D19DAFE"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23F309E8"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0,64</w:t>
            </w:r>
          </w:p>
        </w:tc>
        <w:tc>
          <w:tcPr>
            <w:tcW w:w="570" w:type="dxa"/>
            <w:textDirection w:val="tbRl"/>
          </w:tcPr>
          <w:p w14:paraId="3DCFD5A2"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0,54</w:t>
            </w:r>
          </w:p>
        </w:tc>
        <w:tc>
          <w:tcPr>
            <w:tcW w:w="431" w:type="dxa"/>
            <w:textDirection w:val="tbRl"/>
          </w:tcPr>
          <w:p w14:paraId="69438536"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0,74</w:t>
            </w:r>
          </w:p>
        </w:tc>
        <w:tc>
          <w:tcPr>
            <w:tcW w:w="766" w:type="dxa"/>
            <w:textDirection w:val="tbRl"/>
          </w:tcPr>
          <w:p w14:paraId="5E5A4EE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Maj</w:t>
            </w:r>
          </w:p>
        </w:tc>
        <w:tc>
          <w:tcPr>
            <w:tcW w:w="403" w:type="dxa"/>
            <w:vMerge/>
            <w:textDirection w:val="tbRl"/>
          </w:tcPr>
          <w:p w14:paraId="49917EB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6DB6C59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721DAF5E" w14:textId="77777777">
        <w:trPr>
          <w:cantSplit/>
          <w:trHeight w:val="697"/>
        </w:trPr>
        <w:tc>
          <w:tcPr>
            <w:tcW w:w="505" w:type="dxa"/>
            <w:vMerge/>
            <w:tcBorders>
              <w:top w:val="single" w:sz="4" w:space="0" w:color="auto"/>
              <w:left w:val="nil"/>
              <w:bottom w:val="nil"/>
              <w:right w:val="single" w:sz="4" w:space="0" w:color="auto"/>
            </w:tcBorders>
            <w:textDirection w:val="tbRl"/>
          </w:tcPr>
          <w:p w14:paraId="462D4A9F"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52948988"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0,97</w:t>
            </w:r>
          </w:p>
        </w:tc>
        <w:tc>
          <w:tcPr>
            <w:tcW w:w="519" w:type="dxa"/>
            <w:textDirection w:val="tbRl"/>
          </w:tcPr>
          <w:p w14:paraId="276D0318"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0,92</w:t>
            </w:r>
          </w:p>
        </w:tc>
        <w:tc>
          <w:tcPr>
            <w:tcW w:w="526" w:type="dxa"/>
            <w:textDirection w:val="tbRl"/>
          </w:tcPr>
          <w:p w14:paraId="1C1C7DA6"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0,77</w:t>
            </w:r>
          </w:p>
          <w:p w14:paraId="0C0CF930"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765" w:type="dxa"/>
            <w:textDirection w:val="tbRl"/>
          </w:tcPr>
          <w:p w14:paraId="68C05C8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tc>
        <w:tc>
          <w:tcPr>
            <w:tcW w:w="451" w:type="dxa"/>
            <w:vMerge/>
            <w:textDirection w:val="tbRl"/>
          </w:tcPr>
          <w:p w14:paraId="36AAD327"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527361C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2F7AC44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13C84EA8"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0,55</w:t>
            </w:r>
          </w:p>
          <w:p w14:paraId="067E305E"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570" w:type="dxa"/>
            <w:textDirection w:val="tbRl"/>
          </w:tcPr>
          <w:p w14:paraId="32123581"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eastAsia="sr-Latn-ME"/>
              </w:rPr>
            </w:pPr>
            <w:r>
              <w:rPr>
                <w:rFonts w:ascii="Book Antiqua" w:hAnsi="Book Antiqua" w:cs="Times New Roman"/>
                <w:b/>
                <w:color w:val="000000" w:themeColor="text1"/>
                <w:kern w:val="2"/>
                <w:sz w:val="14"/>
                <w:szCs w:val="14"/>
                <w:lang w:eastAsia="sr-Latn-ME"/>
              </w:rPr>
              <w:t>0,68</w:t>
            </w:r>
          </w:p>
          <w:p w14:paraId="7F9B67E8"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431" w:type="dxa"/>
            <w:textDirection w:val="tbRl"/>
          </w:tcPr>
          <w:p w14:paraId="07EE2B8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eastAsia="sr-Latn-ME"/>
              </w:rPr>
            </w:pPr>
            <w:r>
              <w:rPr>
                <w:rFonts w:ascii="Book Antiqua" w:hAnsi="Book Antiqua" w:cs="Times New Roman"/>
                <w:bCs/>
                <w:color w:val="000000" w:themeColor="text1"/>
                <w:kern w:val="2"/>
                <w:sz w:val="14"/>
                <w:szCs w:val="14"/>
                <w:lang w:eastAsia="sr-Latn-ME"/>
              </w:rPr>
              <w:t>0,41</w:t>
            </w:r>
          </w:p>
          <w:p w14:paraId="570820B9" w14:textId="77777777" w:rsidR="003801E8" w:rsidRDefault="003801E8">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p>
        </w:tc>
        <w:tc>
          <w:tcPr>
            <w:tcW w:w="766" w:type="dxa"/>
            <w:textDirection w:val="tbRl"/>
          </w:tcPr>
          <w:p w14:paraId="6DDC34C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Jun</w:t>
            </w:r>
          </w:p>
        </w:tc>
        <w:tc>
          <w:tcPr>
            <w:tcW w:w="403" w:type="dxa"/>
            <w:vMerge/>
            <w:textDirection w:val="tbRl"/>
          </w:tcPr>
          <w:p w14:paraId="33E1420F"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63B000D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31CAE46B" w14:textId="77777777">
        <w:trPr>
          <w:cantSplit/>
          <w:trHeight w:val="835"/>
        </w:trPr>
        <w:tc>
          <w:tcPr>
            <w:tcW w:w="505" w:type="dxa"/>
            <w:vMerge/>
            <w:tcBorders>
              <w:top w:val="single" w:sz="4" w:space="0" w:color="auto"/>
              <w:left w:val="nil"/>
              <w:bottom w:val="nil"/>
              <w:right w:val="single" w:sz="4" w:space="0" w:color="auto"/>
            </w:tcBorders>
            <w:textDirection w:val="tbRl"/>
          </w:tcPr>
          <w:p w14:paraId="77DD92DF"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0A585A3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0,14</w:t>
            </w:r>
          </w:p>
        </w:tc>
        <w:tc>
          <w:tcPr>
            <w:tcW w:w="519" w:type="dxa"/>
            <w:textDirection w:val="tbRl"/>
          </w:tcPr>
          <w:p w14:paraId="7A8ABF48"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0,24</w:t>
            </w:r>
          </w:p>
        </w:tc>
        <w:tc>
          <w:tcPr>
            <w:tcW w:w="526" w:type="dxa"/>
            <w:textDirection w:val="tbRl"/>
          </w:tcPr>
          <w:p w14:paraId="37D9274A"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0,20</w:t>
            </w:r>
          </w:p>
        </w:tc>
        <w:tc>
          <w:tcPr>
            <w:tcW w:w="765" w:type="dxa"/>
            <w:textDirection w:val="tbRl"/>
          </w:tcPr>
          <w:p w14:paraId="20C51EB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tc>
        <w:tc>
          <w:tcPr>
            <w:tcW w:w="451" w:type="dxa"/>
            <w:vMerge/>
            <w:textDirection w:val="tbRl"/>
          </w:tcPr>
          <w:p w14:paraId="453854B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1D1671C2"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tcBorders>
            <w:textDirection w:val="tbRl"/>
          </w:tcPr>
          <w:p w14:paraId="0116D654"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6429067E"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0,94</w:t>
            </w:r>
          </w:p>
        </w:tc>
        <w:tc>
          <w:tcPr>
            <w:tcW w:w="570" w:type="dxa"/>
            <w:textDirection w:val="tbRl"/>
          </w:tcPr>
          <w:p w14:paraId="14EAEF89"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0,94</w:t>
            </w:r>
          </w:p>
        </w:tc>
        <w:tc>
          <w:tcPr>
            <w:tcW w:w="431" w:type="dxa"/>
            <w:textDirection w:val="tbRl"/>
          </w:tcPr>
          <w:p w14:paraId="13F41EF5"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0,69</w:t>
            </w:r>
          </w:p>
        </w:tc>
        <w:tc>
          <w:tcPr>
            <w:tcW w:w="766" w:type="dxa"/>
            <w:textDirection w:val="tbRl"/>
          </w:tcPr>
          <w:p w14:paraId="17545BB9"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Jul</w:t>
            </w:r>
          </w:p>
        </w:tc>
        <w:tc>
          <w:tcPr>
            <w:tcW w:w="403" w:type="dxa"/>
            <w:vMerge/>
            <w:textDirection w:val="tbRl"/>
          </w:tcPr>
          <w:p w14:paraId="1A4F7CF6"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7679980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r w:rsidR="003801E8" w14:paraId="679996AD" w14:textId="77777777">
        <w:trPr>
          <w:cantSplit/>
          <w:trHeight w:val="835"/>
        </w:trPr>
        <w:tc>
          <w:tcPr>
            <w:tcW w:w="505" w:type="dxa"/>
            <w:vMerge/>
            <w:tcBorders>
              <w:top w:val="single" w:sz="4" w:space="0" w:color="auto"/>
              <w:left w:val="nil"/>
              <w:bottom w:val="nil"/>
              <w:right w:val="single" w:sz="4" w:space="0" w:color="auto"/>
            </w:tcBorders>
            <w:textDirection w:val="tbRl"/>
          </w:tcPr>
          <w:p w14:paraId="4FA9B19D"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544" w:type="dxa"/>
            <w:tcBorders>
              <w:left w:val="single" w:sz="4" w:space="0" w:color="auto"/>
            </w:tcBorders>
            <w:textDirection w:val="tbRl"/>
          </w:tcPr>
          <w:p w14:paraId="3C0FBE9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0,43</w:t>
            </w:r>
          </w:p>
        </w:tc>
        <w:tc>
          <w:tcPr>
            <w:tcW w:w="519" w:type="dxa"/>
            <w:textDirection w:val="tbRl"/>
          </w:tcPr>
          <w:p w14:paraId="430F3F35"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0,23</w:t>
            </w:r>
          </w:p>
        </w:tc>
        <w:tc>
          <w:tcPr>
            <w:tcW w:w="526" w:type="dxa"/>
            <w:textDirection w:val="tbRl"/>
          </w:tcPr>
          <w:p w14:paraId="3AF8AF5E"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0,69</w:t>
            </w:r>
          </w:p>
        </w:tc>
        <w:tc>
          <w:tcPr>
            <w:tcW w:w="765" w:type="dxa"/>
            <w:textDirection w:val="tbRl"/>
          </w:tcPr>
          <w:p w14:paraId="716C7E30"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51" w:type="dxa"/>
            <w:textDirection w:val="tbRl"/>
          </w:tcPr>
          <w:p w14:paraId="6A31FDD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477" w:type="dxa"/>
            <w:vMerge/>
            <w:tcBorders>
              <w:bottom w:val="nil"/>
              <w:right w:val="nil"/>
            </w:tcBorders>
            <w:textDirection w:val="tbRl"/>
          </w:tcPr>
          <w:p w14:paraId="1AE4B5AB"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77" w:type="dxa"/>
            <w:vMerge/>
            <w:tcBorders>
              <w:left w:val="nil"/>
              <w:bottom w:val="nil"/>
            </w:tcBorders>
            <w:textDirection w:val="tbRl"/>
          </w:tcPr>
          <w:p w14:paraId="531A254E"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6"/>
                <w:szCs w:val="16"/>
                <w:lang w:val="en-US" w:eastAsia="sr-Latn-ME"/>
              </w:rPr>
            </w:pPr>
          </w:p>
        </w:tc>
        <w:tc>
          <w:tcPr>
            <w:tcW w:w="440" w:type="dxa"/>
            <w:textDirection w:val="tbRl"/>
          </w:tcPr>
          <w:p w14:paraId="2D16066A"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0,69</w:t>
            </w:r>
          </w:p>
        </w:tc>
        <w:tc>
          <w:tcPr>
            <w:tcW w:w="570" w:type="dxa"/>
            <w:textDirection w:val="tbRl"/>
          </w:tcPr>
          <w:p w14:paraId="4100EB9F" w14:textId="77777777" w:rsidR="003801E8" w:rsidRDefault="00E44AAE">
            <w:pPr>
              <w:tabs>
                <w:tab w:val="left" w:pos="3315"/>
              </w:tabs>
              <w:spacing w:after="0" w:line="240" w:lineRule="auto"/>
              <w:ind w:left="113" w:right="113"/>
              <w:jc w:val="center"/>
              <w:rPr>
                <w:rFonts w:ascii="Book Antiqua" w:hAnsi="Book Antiqua" w:cs="Times New Roman"/>
                <w:b/>
                <w:color w:val="000000" w:themeColor="text1"/>
                <w:kern w:val="2"/>
                <w:sz w:val="14"/>
                <w:szCs w:val="14"/>
                <w:lang w:val="en-US" w:eastAsia="sr-Latn-ME"/>
              </w:rPr>
            </w:pPr>
            <w:r>
              <w:rPr>
                <w:rFonts w:ascii="Book Antiqua" w:hAnsi="Book Antiqua" w:cs="Times New Roman"/>
                <w:b/>
                <w:color w:val="000000" w:themeColor="text1"/>
                <w:kern w:val="2"/>
                <w:sz w:val="14"/>
                <w:szCs w:val="14"/>
                <w:lang w:val="en-US" w:eastAsia="sr-Latn-ME"/>
              </w:rPr>
              <w:t>0,90</w:t>
            </w:r>
          </w:p>
        </w:tc>
        <w:tc>
          <w:tcPr>
            <w:tcW w:w="431" w:type="dxa"/>
            <w:textDirection w:val="tbRl"/>
          </w:tcPr>
          <w:p w14:paraId="5B5C07CE"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0,34</w:t>
            </w:r>
          </w:p>
        </w:tc>
        <w:tc>
          <w:tcPr>
            <w:tcW w:w="766" w:type="dxa"/>
            <w:textDirection w:val="tbRl"/>
          </w:tcPr>
          <w:p w14:paraId="74A449E4" w14:textId="77777777" w:rsidR="003801E8" w:rsidRDefault="00E44AAE">
            <w:pPr>
              <w:tabs>
                <w:tab w:val="left" w:pos="3315"/>
              </w:tabs>
              <w:spacing w:after="0" w:line="240" w:lineRule="auto"/>
              <w:ind w:left="113" w:right="113"/>
              <w:jc w:val="center"/>
              <w:rPr>
                <w:rFonts w:ascii="Book Antiqua" w:hAnsi="Book Antiqua" w:cs="Times New Roman"/>
                <w:bCs/>
                <w:color w:val="000000" w:themeColor="text1"/>
                <w:kern w:val="2"/>
                <w:sz w:val="14"/>
                <w:szCs w:val="14"/>
                <w:lang w:val="en-US" w:eastAsia="sr-Latn-ME"/>
              </w:rPr>
            </w:pPr>
            <w:r>
              <w:rPr>
                <w:rFonts w:ascii="Book Antiqua" w:hAnsi="Book Antiqua" w:cs="Times New Roman"/>
                <w:bCs/>
                <w:color w:val="000000" w:themeColor="text1"/>
                <w:kern w:val="2"/>
                <w:sz w:val="14"/>
                <w:szCs w:val="14"/>
                <w:lang w:val="en-US" w:eastAsia="sr-Latn-ME"/>
              </w:rPr>
              <w:t>Avgust</w:t>
            </w:r>
          </w:p>
        </w:tc>
        <w:tc>
          <w:tcPr>
            <w:tcW w:w="403" w:type="dxa"/>
            <w:textDirection w:val="tbRl"/>
          </w:tcPr>
          <w:p w14:paraId="5DB3AAC9"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c>
          <w:tcPr>
            <w:tcW w:w="784" w:type="dxa"/>
            <w:vMerge/>
            <w:tcBorders>
              <w:bottom w:val="nil"/>
              <w:right w:val="nil"/>
            </w:tcBorders>
            <w:textDirection w:val="tbRl"/>
          </w:tcPr>
          <w:p w14:paraId="50ABBDB5" w14:textId="77777777" w:rsidR="003801E8" w:rsidRDefault="003801E8">
            <w:pPr>
              <w:tabs>
                <w:tab w:val="left" w:pos="3315"/>
              </w:tabs>
              <w:spacing w:after="0" w:line="240" w:lineRule="auto"/>
              <w:ind w:left="113" w:right="113"/>
              <w:jc w:val="both"/>
              <w:rPr>
                <w:rFonts w:ascii="Book Antiqua" w:hAnsi="Book Antiqua" w:cs="Times New Roman"/>
                <w:bCs/>
                <w:color w:val="000000" w:themeColor="text1"/>
                <w:kern w:val="2"/>
                <w:sz w:val="14"/>
                <w:szCs w:val="14"/>
                <w:lang w:val="en-US" w:eastAsia="sr-Latn-ME"/>
              </w:rPr>
            </w:pPr>
          </w:p>
        </w:tc>
      </w:tr>
    </w:tbl>
    <w:p w14:paraId="0A366775" w14:textId="77777777" w:rsidR="003801E8" w:rsidRDefault="00E44AAE">
      <w:pPr>
        <w:tabs>
          <w:tab w:val="left" w:pos="3315"/>
        </w:tabs>
        <w:spacing w:line="360" w:lineRule="auto"/>
        <w:jc w:val="both"/>
        <w:rPr>
          <w:rFonts w:ascii="Book Antiqua" w:hAnsi="Book Antiqua" w:cs="Times New Roman"/>
          <w:bCs/>
          <w:color w:val="000000" w:themeColor="text1"/>
          <w:kern w:val="2"/>
          <w:sz w:val="24"/>
          <w:szCs w:val="24"/>
          <w:lang w:eastAsia="sr-Latn-ME"/>
        </w:rPr>
      </w:pPr>
      <w:r>
        <w:rPr>
          <w:rFonts w:ascii="Book Antiqua" w:hAnsi="Book Antiqua" w:cs="Times New Roman"/>
          <w:bCs/>
          <w:color w:val="000000" w:themeColor="text1"/>
          <w:kern w:val="2"/>
          <w:sz w:val="24"/>
          <w:szCs w:val="24"/>
          <w:lang w:eastAsia="sr-Latn-ME"/>
        </w:rPr>
        <w:lastRenderedPageBreak/>
        <w:t xml:space="preserve">Dobijeni Pirsovi koeficijenti ukazuju da veća količina padavina i manja suma aktivnih temperatura u periodu april - maj značajno utiču na veći intenzitent pojave simptoma eska oboljenja (grafikon 13 i 14). </w:t>
      </w:r>
    </w:p>
    <w:p w14:paraId="642BA99A" w14:textId="77777777" w:rsidR="003801E8" w:rsidRDefault="00E44AAE">
      <w:pPr>
        <w:tabs>
          <w:tab w:val="left" w:pos="3315"/>
        </w:tabs>
        <w:jc w:val="both"/>
        <w:rPr>
          <w:rFonts w:ascii="Book Antiqua" w:hAnsi="Book Antiqua" w:cs="Times New Roman"/>
          <w:bCs/>
          <w:color w:val="000000" w:themeColor="text1"/>
          <w:kern w:val="2"/>
          <w:sz w:val="14"/>
          <w:szCs w:val="14"/>
          <w:lang w:val="en-US" w:eastAsia="sr-Latn-ME"/>
        </w:rPr>
      </w:pPr>
      <w:r>
        <w:rPr>
          <w:rFonts w:ascii="Book Antiqua" w:hAnsi="Book Antiqua"/>
          <w:noProof/>
          <w:color w:val="000000" w:themeColor="text1"/>
          <w:sz w:val="14"/>
          <w:szCs w:val="14"/>
          <w:lang w:val="en-US"/>
        </w:rPr>
        <mc:AlternateContent>
          <mc:Choice Requires="wps">
            <w:drawing>
              <wp:anchor distT="0" distB="0" distL="114300" distR="114300" simplePos="0" relativeHeight="251659264" behindDoc="0" locked="0" layoutInCell="1" allowOverlap="1" wp14:anchorId="7C8244AC" wp14:editId="2C917BE3">
                <wp:simplePos x="0" y="0"/>
                <wp:positionH relativeFrom="column">
                  <wp:posOffset>2795270</wp:posOffset>
                </wp:positionH>
                <wp:positionV relativeFrom="paragraph">
                  <wp:posOffset>600075</wp:posOffset>
                </wp:positionV>
                <wp:extent cx="270510" cy="1765300"/>
                <wp:effectExtent l="0" t="0" r="15875" b="26035"/>
                <wp:wrapNone/>
                <wp:docPr id="1588110004" name="Oval 26"/>
                <wp:cNvGraphicFramePr/>
                <a:graphic xmlns:a="http://schemas.openxmlformats.org/drawingml/2006/main">
                  <a:graphicData uri="http://schemas.microsoft.com/office/word/2010/wordprocessingShape">
                    <wps:wsp>
                      <wps:cNvSpPr/>
                      <wps:spPr>
                        <a:xfrm>
                          <a:off x="0" y="0"/>
                          <a:ext cx="270344" cy="1765079"/>
                        </a:xfrm>
                        <a:prstGeom prst="ellipse">
                          <a:avLst/>
                        </a:prstGeom>
                        <a:noFill/>
                        <a:ln w="95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26" o:spid="_x0000_s1026" o:spt="3" type="#_x0000_t3" style="position:absolute;left:0pt;margin-left:220.1pt;margin-top:47.25pt;height:139pt;width:21.3pt;z-index:251659264;v-text-anchor:middle;mso-width-relative:page;mso-height-relative:page;" filled="f" stroked="t" coordsize="21600,21600" o:gfxdata="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8hCh+2wAAAAoBAAAPAAAAAAAA&#10;AAEAIAAAACIAAABkcnMvZG93bnJldi54bWxQSwECFAAUAAAACACHTuJA+8HU6IECAAAcBQAADgAA&#10;AAAAAAABACAAAAAqAQAAZHJzL2Uyb0RvYy54bWxQSwUGAAAAAAYABgBZAQAAHQYAAAAA&#10;">
                <v:fill on="f" focussize="0,0"/>
                <v:stroke color="#FF0000" joinstyle="round"/>
                <v:imagedata o:title=""/>
                <o:lock v:ext="edit" aspectratio="f"/>
              </v:shape>
            </w:pict>
          </mc:Fallback>
        </mc:AlternateContent>
      </w:r>
      <w:r>
        <w:rPr>
          <w:rFonts w:ascii="Book Antiqua" w:hAnsi="Book Antiqua"/>
          <w:noProof/>
          <w:color w:val="000000" w:themeColor="text1"/>
          <w:sz w:val="14"/>
          <w:szCs w:val="14"/>
          <w:lang w:val="en-US"/>
        </w:rPr>
        <w:drawing>
          <wp:inline distT="0" distB="0" distL="0" distR="0" wp14:anchorId="644A819D" wp14:editId="195B4F2F">
            <wp:extent cx="5400675" cy="2743200"/>
            <wp:effectExtent l="0" t="0" r="9525" b="0"/>
            <wp:docPr id="124129031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A165853" w14:textId="77777777" w:rsidR="003801E8" w:rsidRDefault="00E44AAE">
      <w:pPr>
        <w:tabs>
          <w:tab w:val="left" w:pos="3315"/>
        </w:tabs>
        <w:spacing w:line="360" w:lineRule="auto"/>
        <w:jc w:val="both"/>
        <w:rPr>
          <w:rFonts w:ascii="Book Antiqua" w:hAnsi="Book Antiqua" w:cs="Times New Roman"/>
          <w:bCs/>
          <w:color w:val="000000" w:themeColor="text1"/>
          <w:kern w:val="2"/>
          <w:sz w:val="22"/>
          <w:szCs w:val="22"/>
          <w:lang w:val="en-US" w:eastAsia="sr-Latn-ME"/>
        </w:rPr>
      </w:pPr>
      <w:bookmarkStart w:id="12" w:name="_Hlk178456197"/>
      <w:r>
        <w:rPr>
          <w:rFonts w:ascii="Book Antiqua" w:hAnsi="Book Antiqua" w:cs="Times New Roman"/>
          <w:b/>
          <w:color w:val="000000" w:themeColor="text1"/>
          <w:kern w:val="2"/>
          <w:sz w:val="22"/>
          <w:szCs w:val="22"/>
          <w:lang w:val="en-US" w:eastAsia="sr-Latn-ME"/>
        </w:rPr>
        <w:t>Grafikon 13</w:t>
      </w:r>
      <w:r>
        <w:rPr>
          <w:rFonts w:ascii="Book Antiqua" w:hAnsi="Book Antiqua" w:cs="Times New Roman"/>
          <w:bCs/>
          <w:color w:val="000000" w:themeColor="text1"/>
          <w:kern w:val="2"/>
          <w:sz w:val="22"/>
          <w:szCs w:val="22"/>
          <w:lang w:val="en-US" w:eastAsia="sr-Latn-ME"/>
        </w:rPr>
        <w:t xml:space="preserve">. Povezanost sume aktivnih temperatura i ukupne količine padavina tokom Aprila sa intenzitetom simptoma </w:t>
      </w:r>
    </w:p>
    <w:bookmarkEnd w:id="12"/>
    <w:p w14:paraId="4647711F" w14:textId="77777777" w:rsidR="003801E8" w:rsidRDefault="00E44AAE">
      <w:pPr>
        <w:tabs>
          <w:tab w:val="left" w:pos="3315"/>
        </w:tabs>
        <w:jc w:val="both"/>
        <w:rPr>
          <w:rFonts w:ascii="Book Antiqua" w:hAnsi="Book Antiqua" w:cs="Times New Roman"/>
          <w:bCs/>
          <w:color w:val="000000" w:themeColor="text1"/>
          <w:kern w:val="2"/>
          <w:sz w:val="14"/>
          <w:szCs w:val="14"/>
          <w:lang w:val="en-US" w:eastAsia="sr-Latn-ME"/>
        </w:rPr>
      </w:pPr>
      <w:r>
        <w:rPr>
          <w:rFonts w:ascii="Book Antiqua" w:hAnsi="Book Antiqua"/>
          <w:noProof/>
          <w:color w:val="000000" w:themeColor="text1"/>
          <w:sz w:val="14"/>
          <w:szCs w:val="14"/>
          <w:lang w:val="en-US"/>
        </w:rPr>
        <w:drawing>
          <wp:inline distT="0" distB="0" distL="0" distR="0" wp14:anchorId="5EF98E2C" wp14:editId="26D00E7E">
            <wp:extent cx="5400675" cy="3100705"/>
            <wp:effectExtent l="0" t="0" r="9525" b="4445"/>
            <wp:docPr id="32080463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DCB8D9A" w14:textId="77777777" w:rsidR="003801E8" w:rsidRDefault="00E44AAE">
      <w:pPr>
        <w:tabs>
          <w:tab w:val="left" w:pos="3315"/>
        </w:tabs>
        <w:spacing w:line="360" w:lineRule="auto"/>
        <w:jc w:val="both"/>
        <w:rPr>
          <w:rFonts w:ascii="Book Antiqua" w:hAnsi="Book Antiqua" w:cs="Times New Roman"/>
          <w:bCs/>
          <w:color w:val="000000" w:themeColor="text1"/>
          <w:kern w:val="2"/>
          <w:sz w:val="22"/>
          <w:szCs w:val="22"/>
          <w:lang w:val="en-US" w:eastAsia="sr-Latn-ME"/>
        </w:rPr>
      </w:pPr>
      <w:r>
        <w:rPr>
          <w:rFonts w:ascii="Book Antiqua" w:hAnsi="Book Antiqua" w:cs="Times New Roman"/>
          <w:b/>
          <w:color w:val="000000" w:themeColor="text1"/>
          <w:kern w:val="2"/>
          <w:sz w:val="22"/>
          <w:szCs w:val="22"/>
          <w:lang w:val="en-US" w:eastAsia="sr-Latn-ME"/>
        </w:rPr>
        <w:t>Grafikon 14</w:t>
      </w:r>
      <w:r>
        <w:t xml:space="preserve">. </w:t>
      </w:r>
      <w:r>
        <w:rPr>
          <w:rFonts w:ascii="Book Antiqua" w:hAnsi="Book Antiqua" w:cs="Times New Roman"/>
          <w:bCs/>
          <w:color w:val="000000" w:themeColor="text1"/>
          <w:kern w:val="2"/>
          <w:sz w:val="22"/>
          <w:szCs w:val="22"/>
          <w:lang w:val="en-US" w:eastAsia="sr-Latn-ME"/>
        </w:rPr>
        <w:t>Povezanost sume aktivnih temperatura i ukupne količine padavina tokom Maja sa intenzitetom simptoma</w:t>
      </w:r>
    </w:p>
    <w:p w14:paraId="45041088" w14:textId="77777777" w:rsidR="003801E8" w:rsidRDefault="00E44AAE">
      <w:pPr>
        <w:tabs>
          <w:tab w:val="left" w:pos="3315"/>
        </w:tabs>
        <w:jc w:val="both"/>
        <w:rPr>
          <w:rFonts w:ascii="Book Antiqua" w:hAnsi="Book Antiqua" w:cs="Times New Roman"/>
          <w:bCs/>
          <w:color w:val="000000" w:themeColor="text1"/>
          <w:kern w:val="2"/>
          <w:sz w:val="22"/>
          <w:szCs w:val="22"/>
          <w:lang w:val="en-US" w:eastAsia="sr-Latn-ME"/>
        </w:rPr>
      </w:pPr>
      <w:r>
        <w:rPr>
          <w:rFonts w:ascii="Book Antiqua" w:hAnsi="Book Antiqua" w:cs="Times New Roman"/>
          <w:b/>
          <w:bCs/>
          <w:color w:val="000000" w:themeColor="text1"/>
          <w:sz w:val="24"/>
          <w:szCs w:val="24"/>
        </w:rPr>
        <w:lastRenderedPageBreak/>
        <w:t xml:space="preserve">5.16 </w:t>
      </w:r>
      <w:r>
        <w:rPr>
          <w:rFonts w:ascii="Book Antiqua" w:hAnsi="Book Antiqua" w:cs="Times New Roman"/>
          <w:b/>
          <w:bCs/>
          <w:iCs/>
          <w:color w:val="000000" w:themeColor="text1"/>
          <w:sz w:val="24"/>
          <w:szCs w:val="24"/>
        </w:rPr>
        <w:t xml:space="preserve">Uticaj eska oboljenja na kvantitet i kvalitet prinosa </w:t>
      </w:r>
    </w:p>
    <w:p w14:paraId="47FB051A" w14:textId="77777777" w:rsidR="003801E8" w:rsidRDefault="00E44AAE">
      <w:pPr>
        <w:tabs>
          <w:tab w:val="left" w:pos="3315"/>
        </w:tabs>
        <w:spacing w:line="360" w:lineRule="auto"/>
        <w:jc w:val="both"/>
        <w:rPr>
          <w:rFonts w:ascii="Book Antiqua" w:hAnsi="Book Antiqua" w:cs="Times New Roman"/>
          <w:iCs/>
          <w:color w:val="000000" w:themeColor="text1"/>
          <w:sz w:val="24"/>
          <w:szCs w:val="24"/>
          <w:lang w:val="sr-Latn-RS"/>
        </w:rPr>
      </w:pPr>
      <w:r>
        <w:rPr>
          <w:rFonts w:ascii="Book Antiqua" w:hAnsi="Book Antiqua" w:cs="Times New Roman"/>
          <w:iCs/>
          <w:color w:val="000000" w:themeColor="text1"/>
          <w:sz w:val="24"/>
          <w:szCs w:val="24"/>
        </w:rPr>
        <w:t xml:space="preserve">Tokom berbe 2023. godine utvrđen je prosječan prinos od 4,15 kg po zdravom čokotu, odnosno 1,36 kg na čokotima koji su pokazivali folijarne simptome eska oboljenja. </w:t>
      </w:r>
      <w:r>
        <w:rPr>
          <w:rFonts w:ascii="Book Antiqua" w:hAnsi="Book Antiqua" w:cs="Times New Roman"/>
          <w:iCs/>
          <w:color w:val="000000" w:themeColor="text1"/>
          <w:sz w:val="24"/>
          <w:szCs w:val="24"/>
          <w:lang w:val="sr-Latn-RS"/>
        </w:rPr>
        <w:t xml:space="preserve">Analizom prinosa ustanovljeno je smanjenje od 35,98%. Tržišna cijena grožđa u 2023 godini iznosila je 1,10 eur/kg. Na bazi ovih podataka dolazi se do zaključka da je usled razvoja eska oboljenja u vinogradu u 2023. godini nastao finansijski gubitak od oko 5.931 €. </w:t>
      </w:r>
    </w:p>
    <w:p w14:paraId="03FF8C2B"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iCs/>
          <w:color w:val="000000" w:themeColor="text1"/>
          <w:sz w:val="24"/>
          <w:szCs w:val="24"/>
          <w:lang w:val="sr-Latn-RS"/>
        </w:rPr>
        <w:t>Me</w:t>
      </w:r>
      <w:r>
        <w:rPr>
          <w:rFonts w:ascii="Book Antiqua" w:hAnsi="Book Antiqua" w:cs="Times New Roman"/>
          <w:iCs/>
          <w:color w:val="000000" w:themeColor="text1"/>
          <w:sz w:val="24"/>
          <w:szCs w:val="24"/>
        </w:rPr>
        <w:t>đutim, usled širenja eska oboljenja, 2024. godine je utvrđen značajno veći finansijski gubitak u ispitivanom vinogradu. Tokom berbe 2024. godine prosječan prinos na zdravim čokotima iznosio je 5,24 kg, nasuprot 1,07 kg na čokotima koji su pokazivali simptome bolesti. Analizom prinosa je utvrđeno smanjenje od 43,47%. Tržišna cijena grožđa 2024</w:t>
      </w:r>
      <w:r>
        <w:rPr>
          <w:rFonts w:ascii="Book Antiqua" w:hAnsi="Book Antiqua" w:cs="Times New Roman"/>
          <w:color w:val="000000" w:themeColor="text1"/>
          <w:sz w:val="24"/>
          <w:szCs w:val="24"/>
        </w:rPr>
        <w:t xml:space="preserve">. godine bila je na istom nivou kao i prethodne, pa prema tome finansijski gubitak u proizvodnji usled razvoja i širenja eska oboljenja, iznosio je 9.058 €. </w:t>
      </w:r>
    </w:p>
    <w:p w14:paraId="7DB0F94D"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Finansijski gubitak 2024. godine je 52,59% veći u odnosu na 2023. godinu. Podaci o prosječnom prinosu, tržišnoj cijeni grožđa i nastalim gubicima tokom 2023. i 2024. godine prikazani u tabeli 33. </w:t>
      </w:r>
    </w:p>
    <w:p w14:paraId="0958FB35" w14:textId="77777777" w:rsidR="003801E8" w:rsidRDefault="003801E8">
      <w:pPr>
        <w:tabs>
          <w:tab w:val="left" w:pos="3315"/>
        </w:tabs>
        <w:spacing w:line="360" w:lineRule="auto"/>
        <w:jc w:val="both"/>
        <w:rPr>
          <w:rFonts w:ascii="Book Antiqua" w:hAnsi="Book Antiqua" w:cs="Times New Roman"/>
          <w:color w:val="000000" w:themeColor="text1"/>
          <w:sz w:val="24"/>
          <w:szCs w:val="24"/>
        </w:rPr>
      </w:pPr>
    </w:p>
    <w:p w14:paraId="35A9DA06" w14:textId="77777777" w:rsidR="003801E8" w:rsidRDefault="00E44AAE">
      <w:pPr>
        <w:tabs>
          <w:tab w:val="left" w:pos="3315"/>
        </w:tabs>
        <w:spacing w:line="360" w:lineRule="auto"/>
        <w:jc w:val="both"/>
        <w:rPr>
          <w:rFonts w:ascii="Book Antiqua" w:hAnsi="Book Antiqua" w:cs="Times New Roman"/>
          <w:color w:val="000000" w:themeColor="text1"/>
          <w:sz w:val="22"/>
          <w:szCs w:val="22"/>
        </w:rPr>
      </w:pPr>
      <w:r>
        <w:rPr>
          <w:rFonts w:ascii="Book Antiqua" w:hAnsi="Book Antiqua" w:cs="Times New Roman"/>
          <w:b/>
          <w:bCs/>
          <w:color w:val="000000" w:themeColor="text1"/>
          <w:sz w:val="22"/>
          <w:szCs w:val="22"/>
        </w:rPr>
        <w:t>Tabela 33</w:t>
      </w:r>
      <w:r>
        <w:rPr>
          <w:rFonts w:ascii="Book Antiqua" w:hAnsi="Book Antiqua" w:cs="Times New Roman"/>
          <w:color w:val="000000" w:themeColor="text1"/>
          <w:sz w:val="22"/>
          <w:szCs w:val="22"/>
        </w:rPr>
        <w:t>.  Kalkulacija gubitka prinosa usled razvoja eska oboljenja u vinogradu u periodu 2023-2024. godine</w:t>
      </w:r>
    </w:p>
    <w:tbl>
      <w:tblPr>
        <w:tblStyle w:val="TableGrid"/>
        <w:tblW w:w="0" w:type="auto"/>
        <w:tblLook w:val="04A0" w:firstRow="1" w:lastRow="0" w:firstColumn="1" w:lastColumn="0" w:noHBand="0" w:noVBand="1"/>
      </w:tblPr>
      <w:tblGrid>
        <w:gridCol w:w="946"/>
        <w:gridCol w:w="1037"/>
        <w:gridCol w:w="1146"/>
        <w:gridCol w:w="1125"/>
        <w:gridCol w:w="1248"/>
        <w:gridCol w:w="1038"/>
        <w:gridCol w:w="1044"/>
        <w:gridCol w:w="920"/>
      </w:tblGrid>
      <w:tr w:rsidR="003801E8" w14:paraId="6C500D2E" w14:textId="77777777">
        <w:trPr>
          <w:trHeight w:val="937"/>
        </w:trPr>
        <w:tc>
          <w:tcPr>
            <w:tcW w:w="988" w:type="dxa"/>
            <w:tcBorders>
              <w:left w:val="nil"/>
              <w:right w:val="nil"/>
            </w:tcBorders>
          </w:tcPr>
          <w:p w14:paraId="501DF3BE" w14:textId="77777777" w:rsidR="003801E8" w:rsidRDefault="003801E8">
            <w:pPr>
              <w:tabs>
                <w:tab w:val="left" w:pos="3315"/>
              </w:tabs>
              <w:spacing w:after="0" w:line="360" w:lineRule="auto"/>
              <w:jc w:val="both"/>
              <w:rPr>
                <w:rFonts w:ascii="Book Antiqua" w:hAnsi="Book Antiqua" w:cs="Times New Roman"/>
                <w:b/>
                <w:bCs/>
                <w:color w:val="000000" w:themeColor="text1"/>
                <w:sz w:val="18"/>
                <w:szCs w:val="18"/>
                <w:lang w:val="en-US"/>
              </w:rPr>
            </w:pPr>
          </w:p>
          <w:p w14:paraId="281C9884" w14:textId="77777777" w:rsidR="003801E8" w:rsidRDefault="00E44AAE">
            <w:pPr>
              <w:tabs>
                <w:tab w:val="left" w:pos="3315"/>
              </w:tabs>
              <w:spacing w:after="0" w:line="360" w:lineRule="auto"/>
              <w:jc w:val="both"/>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Godina</w:t>
            </w:r>
          </w:p>
        </w:tc>
        <w:tc>
          <w:tcPr>
            <w:tcW w:w="1146" w:type="dxa"/>
            <w:tcBorders>
              <w:left w:val="nil"/>
              <w:right w:val="nil"/>
            </w:tcBorders>
          </w:tcPr>
          <w:p w14:paraId="6C13C748" w14:textId="77777777" w:rsidR="003801E8" w:rsidRDefault="00E44AAE">
            <w:pPr>
              <w:tabs>
                <w:tab w:val="left" w:pos="3315"/>
              </w:tabs>
              <w:spacing w:after="0" w:line="360" w:lineRule="auto"/>
              <w:jc w:val="both"/>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Prinos zdrav čokot (kg)</w:t>
            </w:r>
          </w:p>
        </w:tc>
        <w:tc>
          <w:tcPr>
            <w:tcW w:w="1232" w:type="dxa"/>
            <w:tcBorders>
              <w:left w:val="nil"/>
              <w:right w:val="nil"/>
            </w:tcBorders>
          </w:tcPr>
          <w:p w14:paraId="4DD1125C" w14:textId="77777777" w:rsidR="003801E8" w:rsidRDefault="00E44AAE">
            <w:pPr>
              <w:tabs>
                <w:tab w:val="left" w:pos="3315"/>
              </w:tabs>
              <w:spacing w:after="0" w:line="360" w:lineRule="auto"/>
              <w:jc w:val="both"/>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Prinos bolestan čokot (kg)</w:t>
            </w:r>
          </w:p>
        </w:tc>
        <w:tc>
          <w:tcPr>
            <w:tcW w:w="1213" w:type="dxa"/>
            <w:tcBorders>
              <w:left w:val="nil"/>
              <w:right w:val="nil"/>
            </w:tcBorders>
          </w:tcPr>
          <w:p w14:paraId="68BA4157" w14:textId="77777777" w:rsidR="003801E8" w:rsidRDefault="00E44AAE">
            <w:pPr>
              <w:tabs>
                <w:tab w:val="left" w:pos="3315"/>
              </w:tabs>
              <w:spacing w:after="0" w:line="360" w:lineRule="auto"/>
              <w:jc w:val="both"/>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Ukupan prinos (kg)</w:t>
            </w:r>
          </w:p>
        </w:tc>
        <w:tc>
          <w:tcPr>
            <w:tcW w:w="1317" w:type="dxa"/>
            <w:tcBorders>
              <w:left w:val="nil"/>
              <w:right w:val="nil"/>
            </w:tcBorders>
          </w:tcPr>
          <w:p w14:paraId="4C69925A" w14:textId="77777777" w:rsidR="003801E8" w:rsidRDefault="00E44AAE">
            <w:pPr>
              <w:tabs>
                <w:tab w:val="left" w:pos="3315"/>
              </w:tabs>
              <w:spacing w:after="0" w:line="360" w:lineRule="auto"/>
              <w:jc w:val="both"/>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Očekivani prinos (kg)</w:t>
            </w:r>
          </w:p>
        </w:tc>
        <w:tc>
          <w:tcPr>
            <w:tcW w:w="1088" w:type="dxa"/>
            <w:tcBorders>
              <w:left w:val="nil"/>
              <w:right w:val="nil"/>
            </w:tcBorders>
          </w:tcPr>
          <w:p w14:paraId="0920682E" w14:textId="77777777" w:rsidR="003801E8" w:rsidRDefault="00E44AAE">
            <w:pPr>
              <w:tabs>
                <w:tab w:val="left" w:pos="3315"/>
              </w:tabs>
              <w:spacing w:after="0" w:line="360" w:lineRule="auto"/>
              <w:jc w:val="both"/>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Gubitak prinosa (kg)</w:t>
            </w:r>
          </w:p>
        </w:tc>
        <w:tc>
          <w:tcPr>
            <w:tcW w:w="1153" w:type="dxa"/>
            <w:tcBorders>
              <w:left w:val="nil"/>
              <w:right w:val="nil"/>
            </w:tcBorders>
          </w:tcPr>
          <w:p w14:paraId="3B496C40" w14:textId="77777777" w:rsidR="003801E8" w:rsidRDefault="003801E8">
            <w:pPr>
              <w:tabs>
                <w:tab w:val="left" w:pos="3315"/>
              </w:tabs>
              <w:spacing w:after="0" w:line="360" w:lineRule="auto"/>
              <w:jc w:val="both"/>
              <w:rPr>
                <w:rFonts w:ascii="Book Antiqua" w:hAnsi="Book Antiqua" w:cs="Times New Roman"/>
                <w:b/>
                <w:bCs/>
                <w:color w:val="000000" w:themeColor="text1"/>
                <w:sz w:val="18"/>
                <w:szCs w:val="18"/>
                <w:lang w:val="en-US"/>
              </w:rPr>
            </w:pPr>
          </w:p>
          <w:p w14:paraId="0ACAAE4B" w14:textId="77777777" w:rsidR="003801E8" w:rsidRDefault="00E44AAE">
            <w:pPr>
              <w:tabs>
                <w:tab w:val="left" w:pos="3315"/>
              </w:tabs>
              <w:spacing w:after="0" w:line="360" w:lineRule="auto"/>
              <w:jc w:val="both"/>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Cijena (€)</w:t>
            </w:r>
          </w:p>
        </w:tc>
        <w:tc>
          <w:tcPr>
            <w:tcW w:w="925" w:type="dxa"/>
            <w:tcBorders>
              <w:left w:val="nil"/>
              <w:right w:val="nil"/>
            </w:tcBorders>
          </w:tcPr>
          <w:p w14:paraId="1C8D1AF6" w14:textId="77777777" w:rsidR="003801E8" w:rsidRDefault="00E44AAE">
            <w:pPr>
              <w:tabs>
                <w:tab w:val="left" w:pos="3315"/>
              </w:tabs>
              <w:spacing w:after="0" w:line="360" w:lineRule="auto"/>
              <w:jc w:val="both"/>
              <w:rPr>
                <w:rFonts w:ascii="Book Antiqua" w:hAnsi="Book Antiqua" w:cs="Times New Roman"/>
                <w:b/>
                <w:bCs/>
                <w:color w:val="000000" w:themeColor="text1"/>
                <w:sz w:val="18"/>
                <w:szCs w:val="18"/>
                <w:lang w:val="en-US"/>
              </w:rPr>
            </w:pPr>
            <w:r>
              <w:rPr>
                <w:rFonts w:ascii="Book Antiqua" w:hAnsi="Book Antiqua" w:cs="Times New Roman"/>
                <w:b/>
                <w:bCs/>
                <w:color w:val="000000" w:themeColor="text1"/>
                <w:sz w:val="18"/>
                <w:szCs w:val="18"/>
                <w:lang w:val="en-US"/>
              </w:rPr>
              <w:t>Gubitak (€)</w:t>
            </w:r>
          </w:p>
        </w:tc>
      </w:tr>
      <w:tr w:rsidR="003801E8" w14:paraId="40A431C0" w14:textId="77777777">
        <w:tc>
          <w:tcPr>
            <w:tcW w:w="988" w:type="dxa"/>
            <w:tcBorders>
              <w:left w:val="nil"/>
              <w:right w:val="nil"/>
            </w:tcBorders>
          </w:tcPr>
          <w:p w14:paraId="5616984B"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2023.</w:t>
            </w:r>
          </w:p>
        </w:tc>
        <w:tc>
          <w:tcPr>
            <w:tcW w:w="1146" w:type="dxa"/>
            <w:tcBorders>
              <w:left w:val="nil"/>
              <w:right w:val="nil"/>
            </w:tcBorders>
          </w:tcPr>
          <w:p w14:paraId="3BDD5561"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4,15</w:t>
            </w:r>
          </w:p>
        </w:tc>
        <w:tc>
          <w:tcPr>
            <w:tcW w:w="1232" w:type="dxa"/>
            <w:tcBorders>
              <w:left w:val="nil"/>
              <w:right w:val="nil"/>
            </w:tcBorders>
          </w:tcPr>
          <w:p w14:paraId="352145CD"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1,36</w:t>
            </w:r>
          </w:p>
        </w:tc>
        <w:tc>
          <w:tcPr>
            <w:tcW w:w="1213" w:type="dxa"/>
            <w:tcBorders>
              <w:left w:val="nil"/>
              <w:right w:val="nil"/>
            </w:tcBorders>
          </w:tcPr>
          <w:p w14:paraId="587FA1F6"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9646,16</w:t>
            </w:r>
          </w:p>
        </w:tc>
        <w:tc>
          <w:tcPr>
            <w:tcW w:w="1317" w:type="dxa"/>
            <w:tcBorders>
              <w:left w:val="nil"/>
              <w:right w:val="nil"/>
            </w:tcBorders>
          </w:tcPr>
          <w:p w14:paraId="33754810" w14:textId="77777777" w:rsidR="003801E8" w:rsidRDefault="00E44AAE">
            <w:pPr>
              <w:tabs>
                <w:tab w:val="left" w:pos="3315"/>
              </w:tabs>
              <w:spacing w:after="0" w:line="360" w:lineRule="auto"/>
              <w:jc w:val="both"/>
              <w:rPr>
                <w:rFonts w:ascii="Book Antiqua" w:hAnsi="Book Antiqua" w:cs="Times New Roman"/>
                <w:color w:val="000000" w:themeColor="text1"/>
                <w:sz w:val="18"/>
                <w:szCs w:val="18"/>
              </w:rPr>
            </w:pPr>
            <w:r>
              <w:rPr>
                <w:rFonts w:ascii="Book Antiqua" w:hAnsi="Book Antiqua" w:cs="Times New Roman"/>
                <w:color w:val="000000" w:themeColor="text1"/>
                <w:sz w:val="18"/>
                <w:szCs w:val="18"/>
              </w:rPr>
              <w:t>15038,4</w:t>
            </w:r>
          </w:p>
        </w:tc>
        <w:tc>
          <w:tcPr>
            <w:tcW w:w="1088" w:type="dxa"/>
            <w:tcBorders>
              <w:left w:val="nil"/>
              <w:right w:val="nil"/>
            </w:tcBorders>
          </w:tcPr>
          <w:p w14:paraId="355A64A8"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5392,24</w:t>
            </w:r>
          </w:p>
        </w:tc>
        <w:tc>
          <w:tcPr>
            <w:tcW w:w="1153" w:type="dxa"/>
            <w:tcBorders>
              <w:left w:val="nil"/>
              <w:right w:val="nil"/>
            </w:tcBorders>
          </w:tcPr>
          <w:p w14:paraId="67D44883" w14:textId="77777777" w:rsidR="003801E8" w:rsidRDefault="00E44AAE">
            <w:pPr>
              <w:tabs>
                <w:tab w:val="left" w:pos="3315"/>
              </w:tabs>
              <w:spacing w:after="0" w:line="360" w:lineRule="auto"/>
              <w:jc w:val="both"/>
              <w:rPr>
                <w:rFonts w:ascii="Book Antiqua" w:hAnsi="Book Antiqua" w:cs="Times New Roman"/>
                <w:color w:val="000000" w:themeColor="text1"/>
                <w:sz w:val="18"/>
                <w:szCs w:val="18"/>
              </w:rPr>
            </w:pPr>
            <w:r>
              <w:rPr>
                <w:rFonts w:ascii="Book Antiqua" w:hAnsi="Book Antiqua" w:cs="Times New Roman"/>
                <w:color w:val="000000" w:themeColor="text1"/>
                <w:sz w:val="18"/>
                <w:szCs w:val="18"/>
              </w:rPr>
              <w:t>1,1</w:t>
            </w:r>
          </w:p>
        </w:tc>
        <w:tc>
          <w:tcPr>
            <w:tcW w:w="925" w:type="dxa"/>
            <w:tcBorders>
              <w:left w:val="nil"/>
              <w:right w:val="nil"/>
            </w:tcBorders>
          </w:tcPr>
          <w:p w14:paraId="55EEAE5E" w14:textId="77777777" w:rsidR="003801E8" w:rsidRDefault="00E44AAE">
            <w:pPr>
              <w:tabs>
                <w:tab w:val="left" w:pos="3315"/>
              </w:tabs>
              <w:spacing w:after="0" w:line="360" w:lineRule="auto"/>
              <w:jc w:val="both"/>
              <w:rPr>
                <w:rFonts w:ascii="Book Antiqua" w:hAnsi="Book Antiqua" w:cs="Times New Roman"/>
                <w:color w:val="000000" w:themeColor="text1"/>
                <w:sz w:val="18"/>
                <w:szCs w:val="18"/>
              </w:rPr>
            </w:pPr>
            <w:r>
              <w:rPr>
                <w:rFonts w:ascii="Book Antiqua" w:hAnsi="Book Antiqua" w:cs="Times New Roman"/>
                <w:color w:val="000000" w:themeColor="text1"/>
                <w:sz w:val="18"/>
                <w:szCs w:val="18"/>
              </w:rPr>
              <w:t>5931,46</w:t>
            </w:r>
          </w:p>
        </w:tc>
      </w:tr>
      <w:tr w:rsidR="003801E8" w14:paraId="20B4505D" w14:textId="77777777">
        <w:tc>
          <w:tcPr>
            <w:tcW w:w="988" w:type="dxa"/>
            <w:tcBorders>
              <w:left w:val="nil"/>
              <w:right w:val="nil"/>
            </w:tcBorders>
          </w:tcPr>
          <w:p w14:paraId="76157846"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2024.</w:t>
            </w:r>
          </w:p>
        </w:tc>
        <w:tc>
          <w:tcPr>
            <w:tcW w:w="1146" w:type="dxa"/>
            <w:tcBorders>
              <w:left w:val="nil"/>
              <w:right w:val="nil"/>
            </w:tcBorders>
          </w:tcPr>
          <w:p w14:paraId="30B41A5B"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5,24</w:t>
            </w:r>
          </w:p>
        </w:tc>
        <w:tc>
          <w:tcPr>
            <w:tcW w:w="1232" w:type="dxa"/>
            <w:tcBorders>
              <w:left w:val="nil"/>
              <w:right w:val="nil"/>
            </w:tcBorders>
          </w:tcPr>
          <w:p w14:paraId="0863D188"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lang w:val="en-US"/>
              </w:rPr>
              <w:t>1,07</w:t>
            </w:r>
          </w:p>
        </w:tc>
        <w:tc>
          <w:tcPr>
            <w:tcW w:w="1213" w:type="dxa"/>
            <w:tcBorders>
              <w:left w:val="nil"/>
              <w:right w:val="nil"/>
            </w:tcBorders>
          </w:tcPr>
          <w:p w14:paraId="7869F1EB"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rPr>
              <w:t>10707,68</w:t>
            </w:r>
          </w:p>
        </w:tc>
        <w:tc>
          <w:tcPr>
            <w:tcW w:w="1317" w:type="dxa"/>
            <w:tcBorders>
              <w:left w:val="nil"/>
              <w:right w:val="nil"/>
            </w:tcBorders>
          </w:tcPr>
          <w:p w14:paraId="1372C853"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rPr>
              <w:t>18942,6</w:t>
            </w:r>
          </w:p>
        </w:tc>
        <w:tc>
          <w:tcPr>
            <w:tcW w:w="1088" w:type="dxa"/>
            <w:tcBorders>
              <w:left w:val="nil"/>
              <w:right w:val="nil"/>
            </w:tcBorders>
          </w:tcPr>
          <w:p w14:paraId="357BC6AF"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rPr>
              <w:t>8234,92</w:t>
            </w:r>
          </w:p>
        </w:tc>
        <w:tc>
          <w:tcPr>
            <w:tcW w:w="1153" w:type="dxa"/>
            <w:tcBorders>
              <w:left w:val="nil"/>
              <w:right w:val="nil"/>
            </w:tcBorders>
          </w:tcPr>
          <w:p w14:paraId="6881F9B2"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rPr>
              <w:t>1,1</w:t>
            </w:r>
          </w:p>
        </w:tc>
        <w:tc>
          <w:tcPr>
            <w:tcW w:w="925" w:type="dxa"/>
            <w:tcBorders>
              <w:left w:val="nil"/>
              <w:right w:val="nil"/>
            </w:tcBorders>
          </w:tcPr>
          <w:p w14:paraId="5D54FE80" w14:textId="77777777" w:rsidR="003801E8" w:rsidRDefault="00E44AAE">
            <w:pPr>
              <w:tabs>
                <w:tab w:val="left" w:pos="3315"/>
              </w:tabs>
              <w:spacing w:after="0" w:line="360" w:lineRule="auto"/>
              <w:jc w:val="both"/>
              <w:rPr>
                <w:rFonts w:ascii="Book Antiqua" w:hAnsi="Book Antiqua" w:cs="Times New Roman"/>
                <w:color w:val="000000" w:themeColor="text1"/>
                <w:sz w:val="18"/>
                <w:szCs w:val="18"/>
                <w:lang w:val="en-US"/>
              </w:rPr>
            </w:pPr>
            <w:r>
              <w:rPr>
                <w:rFonts w:ascii="Book Antiqua" w:hAnsi="Book Antiqua" w:cs="Times New Roman"/>
                <w:color w:val="000000" w:themeColor="text1"/>
                <w:sz w:val="18"/>
                <w:szCs w:val="18"/>
              </w:rPr>
              <w:t>9058,41</w:t>
            </w:r>
          </w:p>
        </w:tc>
      </w:tr>
    </w:tbl>
    <w:p w14:paraId="407BCDC9" w14:textId="77777777" w:rsidR="003801E8" w:rsidRDefault="003801E8">
      <w:pPr>
        <w:tabs>
          <w:tab w:val="left" w:pos="3315"/>
        </w:tabs>
        <w:spacing w:line="360" w:lineRule="auto"/>
        <w:jc w:val="both"/>
        <w:rPr>
          <w:rFonts w:ascii="Book Antiqua" w:hAnsi="Book Antiqua" w:cs="Times New Roman"/>
          <w:color w:val="000000" w:themeColor="text1"/>
          <w:sz w:val="22"/>
          <w:szCs w:val="22"/>
          <w:lang w:val="en-US"/>
        </w:rPr>
      </w:pPr>
    </w:p>
    <w:p w14:paraId="6892753A" w14:textId="77777777" w:rsidR="003801E8" w:rsidRDefault="003801E8">
      <w:pPr>
        <w:tabs>
          <w:tab w:val="left" w:pos="3315"/>
        </w:tabs>
        <w:spacing w:line="360" w:lineRule="auto"/>
        <w:jc w:val="both"/>
        <w:rPr>
          <w:rFonts w:ascii="Book Antiqua" w:hAnsi="Book Antiqua" w:cs="Times New Roman"/>
          <w:color w:val="000000" w:themeColor="text1"/>
          <w:sz w:val="22"/>
          <w:szCs w:val="22"/>
          <w:lang w:val="en-US"/>
        </w:rPr>
      </w:pPr>
    </w:p>
    <w:p w14:paraId="55A830C6"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lang w:val="sr-Latn-RS"/>
        </w:rPr>
        <w:lastRenderedPageBreak/>
        <w:t xml:space="preserve">Rezultati laboratorijskih analiza o nivou </w:t>
      </w:r>
      <w:r>
        <w:rPr>
          <w:rFonts w:ascii="Book Antiqua" w:hAnsi="Book Antiqua" w:cs="Times New Roman"/>
          <w:color w:val="000000" w:themeColor="text1"/>
          <w:sz w:val="24"/>
          <w:szCs w:val="24"/>
        </w:rPr>
        <w:t xml:space="preserve">šećera, ukupnoj količini kiselina i pH vrijednosti šire dobijene od grožđa sa oboljelih i zdravih čokota, ukazuju na razlike u kvalitetu grožđa. Šira dobijena od grožđa sa čokota koji su ispoljavali folijarne simptome eska oboljenja tokom 2024. godine, imala je nivo šećera od 13,22%, pH vrijednost 3,41, a sadržaj ukupnih kiselina iznosio je 6,75. Nasuprot tome, šira dobijena od grožđa sa zdravih čokota imala je 19,61% šećera, sadržaj ukupnih kisjelina od 4,87, dok je vrijednost pH iznosila 3,52. Navedeni podaci o hemijskim karakteristikama šire ukazuju na uticaj eska oboljenja na kvalitet grožđa. </w:t>
      </w:r>
    </w:p>
    <w:p w14:paraId="3063FBB0"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06BB6E06"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5F78A2E9"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320EB078"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7894ADAD"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7AD7CDFD"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440664C3"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44545E70"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73B7C11B"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6B782184"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7AAAB6C4"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02327A1D"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65835637"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7A8F7836"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6D03A69A"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401B4CDE"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7260C247"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050A11A3" w14:textId="77777777" w:rsidR="003801E8" w:rsidRDefault="003801E8">
      <w:pPr>
        <w:tabs>
          <w:tab w:val="left" w:pos="3315"/>
        </w:tabs>
        <w:jc w:val="both"/>
        <w:rPr>
          <w:rFonts w:ascii="Times New Roman" w:hAnsi="Times New Roman" w:cs="Times New Roman"/>
          <w:color w:val="1F3864" w:themeColor="accent1" w:themeShade="80"/>
          <w:sz w:val="22"/>
          <w:szCs w:val="22"/>
          <w:lang w:val="sr-Latn-RS"/>
        </w:rPr>
      </w:pPr>
    </w:p>
    <w:p w14:paraId="6E5346CB" w14:textId="77777777" w:rsidR="003801E8" w:rsidRDefault="00E44AAE">
      <w:pPr>
        <w:tabs>
          <w:tab w:val="left" w:pos="3315"/>
        </w:tabs>
        <w:spacing w:line="360" w:lineRule="auto"/>
        <w:jc w:val="both"/>
        <w:rPr>
          <w:rFonts w:ascii="Book Antiqua" w:hAnsi="Book Antiqua" w:cs="Times New Roman"/>
          <w:b/>
          <w:bCs/>
          <w:color w:val="000000" w:themeColor="text1"/>
          <w:sz w:val="24"/>
          <w:szCs w:val="24"/>
          <w:lang w:val="sr-Latn-RS"/>
        </w:rPr>
      </w:pPr>
      <w:r>
        <w:rPr>
          <w:rFonts w:ascii="Book Antiqua" w:hAnsi="Book Antiqua" w:cs="Times New Roman"/>
          <w:b/>
          <w:bCs/>
          <w:color w:val="000000" w:themeColor="text1"/>
          <w:sz w:val="24"/>
          <w:szCs w:val="24"/>
          <w:lang w:val="sr-Latn-RS"/>
        </w:rPr>
        <w:lastRenderedPageBreak/>
        <w:t xml:space="preserve">VI DISKUSIJA          </w:t>
      </w:r>
    </w:p>
    <w:p w14:paraId="0BCFDCE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Dosadašnja istraživanja sprovedena u Crnoj Gori ukazuju da eska predstavlja jedno od najznačajnijih oboljenja drveta vinove loze (</w:t>
      </w:r>
      <w:r>
        <w:rPr>
          <w:rFonts w:ascii="Book Antiqua" w:hAnsi="Book Antiqua" w:cs="Times New Roman"/>
          <w:b/>
          <w:color w:val="000000" w:themeColor="text1"/>
          <w:sz w:val="24"/>
          <w:szCs w:val="24"/>
          <w:lang w:val="sr-Latn-RS"/>
        </w:rPr>
        <w:t>Latinović i sar., 2005</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t>Latinović i Latinović, 2017</w:t>
      </w:r>
      <w:r>
        <w:rPr>
          <w:rFonts w:ascii="Book Antiqua" w:hAnsi="Book Antiqua" w:cs="Times New Roman"/>
          <w:color w:val="000000" w:themeColor="text1"/>
          <w:sz w:val="24"/>
          <w:szCs w:val="24"/>
          <w:lang w:val="sr-Latn-RS"/>
        </w:rPr>
        <w:t>). Rezultati istraživanja prikazani u ovom radu, sprovedenog u periodu 2021–2024. godine u svim vinogradarskim regionima Crne Gore, pružaju dodatni i sveobuhvatniji uvid u zdravstveno stanje  vinove loze sa aspekta prisustva eska oboljenja. Vizuelnom procjenom simptoma na ukupno 44.000 čokota u 30 vinograda različite starosti, utvrđeno je da se u vinogradima mlađim od 10 godina intenzitet simptoma kretao u rasponu od 1 do 5%.</w:t>
      </w:r>
    </w:p>
    <w:p w14:paraId="40592C0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U vinogradima starijim od 10 godina, intenzitet ispoljavanja simptoma značajno je varirao u zavisnosti od starosti zasada i sortimenta, pri čemu je bio uporediv sa intenzitetom bolesti koji su utvrdili </w:t>
      </w:r>
      <w:r>
        <w:rPr>
          <w:rFonts w:ascii="Book Antiqua" w:hAnsi="Book Antiqua" w:cs="Times New Roman"/>
          <w:b/>
          <w:color w:val="000000" w:themeColor="text1"/>
          <w:sz w:val="24"/>
          <w:szCs w:val="24"/>
          <w:lang w:val="sr-Latn-RS"/>
        </w:rPr>
        <w:t>Pollastro et al. (2009)</w:t>
      </w:r>
      <w:r>
        <w:rPr>
          <w:rFonts w:ascii="Book Antiqua" w:hAnsi="Book Antiqua" w:cs="Times New Roman"/>
          <w:color w:val="000000" w:themeColor="text1"/>
          <w:sz w:val="24"/>
          <w:szCs w:val="24"/>
          <w:lang w:val="sr-Latn-RS"/>
        </w:rPr>
        <w:t xml:space="preserve"> u Italiji, ali znatno viši u odnosu na podatke iz Kanade koje navode </w:t>
      </w:r>
      <w:r>
        <w:rPr>
          <w:rFonts w:ascii="Book Antiqua" w:hAnsi="Book Antiqua" w:cs="Times New Roman"/>
          <w:b/>
          <w:color w:val="000000" w:themeColor="text1"/>
          <w:sz w:val="24"/>
          <w:szCs w:val="24"/>
          <w:lang w:val="sr-Latn-RS"/>
        </w:rPr>
        <w:t>Urbez Torres et al. (2013)</w:t>
      </w:r>
      <w:r>
        <w:rPr>
          <w:rFonts w:ascii="Book Antiqua" w:hAnsi="Book Antiqua" w:cs="Times New Roman"/>
          <w:color w:val="000000" w:themeColor="text1"/>
          <w:sz w:val="24"/>
          <w:szCs w:val="24"/>
          <w:lang w:val="sr-Latn-RS"/>
        </w:rPr>
        <w:t>. Najveći intenzitet pojave simptoma eska oboljenja zabilježen je u vinogradima starosti između 15 i 35 godina, što je u saglasnosti sa rezultatima istraživanja sprovedenih u Oregonu (</w:t>
      </w:r>
      <w:r>
        <w:rPr>
          <w:rFonts w:ascii="Book Antiqua" w:hAnsi="Book Antiqua" w:cs="Times New Roman"/>
          <w:b/>
          <w:color w:val="000000" w:themeColor="text1"/>
          <w:sz w:val="24"/>
          <w:szCs w:val="24"/>
          <w:lang w:val="sr-Latn-RS"/>
        </w:rPr>
        <w:t>Hernandez i Achala, 2023</w:t>
      </w:r>
      <w:r>
        <w:rPr>
          <w:rFonts w:ascii="Book Antiqua" w:hAnsi="Book Antiqua" w:cs="Times New Roman"/>
          <w:color w:val="000000" w:themeColor="text1"/>
          <w:sz w:val="24"/>
          <w:szCs w:val="24"/>
          <w:lang w:val="sr-Latn-RS"/>
        </w:rPr>
        <w:t>). Posebno se ističe maksimalna incidenca od 50–55% registrovana u vinogradima autohtone crnogorske sorte Vranac, starosti oko 35 godina.</w:t>
      </w:r>
    </w:p>
    <w:p w14:paraId="37FBF52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U okviru ovog istraživanja, simptomi eska oboljenja nisu uočeni u vinogradima mlađim od 5 godina, što je u suprotnosti sa nalazima </w:t>
      </w:r>
      <w:r>
        <w:rPr>
          <w:rFonts w:ascii="Book Antiqua" w:hAnsi="Book Antiqua" w:cs="Times New Roman"/>
          <w:b/>
          <w:color w:val="000000" w:themeColor="text1"/>
          <w:sz w:val="24"/>
          <w:szCs w:val="24"/>
          <w:lang w:val="sr-Latn-RS"/>
        </w:rPr>
        <w:t>Edwards et al. (2001)</w:t>
      </w:r>
      <w:r>
        <w:rPr>
          <w:rFonts w:ascii="Book Antiqua" w:hAnsi="Book Antiqua" w:cs="Times New Roman"/>
          <w:color w:val="000000" w:themeColor="text1"/>
          <w:sz w:val="24"/>
          <w:szCs w:val="24"/>
          <w:lang w:val="sr-Latn-RS"/>
        </w:rPr>
        <w:t xml:space="preserve">, koji navode pojavu simptoma na čokotima starosti 4–6 godina. Ipak, rezultati anketiranja vinogradara ukazuju da se i u Crnoj Gori simptomi eska oboljenja mogu javiti na čokotima mlađim od 5 godina, što sugeriše da odsustvo vizuelno uočenih simptoma u najmlađim vinogradima tokom ovog istraživanja ne isključuje mogućnost ranije infekcije i latentnog razvoja patogena. </w:t>
      </w:r>
    </w:p>
    <w:p w14:paraId="57F86109"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6EAF72E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Utvrđena povezanost između pojave simptoma eska oboljenja i starosti vinograda tokom ovog istraživanja u skladu je sa rezultatima koje navode </w:t>
      </w:r>
      <w:r>
        <w:rPr>
          <w:rFonts w:ascii="Book Antiqua" w:hAnsi="Book Antiqua" w:cs="Times New Roman"/>
          <w:b/>
          <w:color w:val="000000" w:themeColor="text1"/>
          <w:sz w:val="24"/>
          <w:szCs w:val="24"/>
          <w:lang w:val="sr-Latn-RS"/>
        </w:rPr>
        <w:t>Zabalgogeazcoa (2008)</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t>Pandey et al. (2015)</w:t>
      </w:r>
      <w:r>
        <w:rPr>
          <w:rFonts w:ascii="Book Antiqua" w:hAnsi="Book Antiqua" w:cs="Times New Roman"/>
          <w:color w:val="000000" w:themeColor="text1"/>
          <w:sz w:val="24"/>
          <w:szCs w:val="24"/>
          <w:lang w:val="sr-Latn-RS"/>
        </w:rPr>
        <w:t xml:space="preserve"> i </w:t>
      </w:r>
      <w:r>
        <w:rPr>
          <w:rFonts w:ascii="Book Antiqua" w:hAnsi="Book Antiqua" w:cs="Times New Roman"/>
          <w:b/>
          <w:color w:val="000000" w:themeColor="text1"/>
          <w:sz w:val="24"/>
          <w:szCs w:val="24"/>
          <w:lang w:val="sr-Latn-RS"/>
        </w:rPr>
        <w:t>Kovacs et al. (2017)</w:t>
      </w:r>
      <w:r>
        <w:rPr>
          <w:rFonts w:ascii="Book Antiqua" w:hAnsi="Book Antiqua" w:cs="Times New Roman"/>
          <w:color w:val="000000" w:themeColor="text1"/>
          <w:sz w:val="24"/>
          <w:szCs w:val="24"/>
          <w:lang w:val="sr-Latn-RS"/>
        </w:rPr>
        <w:t xml:space="preserve">. Kako ističu </w:t>
      </w:r>
      <w:r>
        <w:rPr>
          <w:rFonts w:ascii="Book Antiqua" w:hAnsi="Book Antiqua" w:cs="Times New Roman"/>
          <w:b/>
          <w:color w:val="000000" w:themeColor="text1"/>
          <w:sz w:val="24"/>
          <w:szCs w:val="24"/>
          <w:lang w:val="sr-Latn-RS"/>
        </w:rPr>
        <w:t>Maher et al. (2012)</w:t>
      </w:r>
      <w:r>
        <w:rPr>
          <w:rFonts w:ascii="Book Antiqua" w:hAnsi="Book Antiqua" w:cs="Times New Roman"/>
          <w:color w:val="000000" w:themeColor="text1"/>
          <w:sz w:val="24"/>
          <w:szCs w:val="24"/>
          <w:lang w:val="sr-Latn-RS"/>
        </w:rPr>
        <w:t xml:space="preserve">, procjena stvarnog intenziteta eska oboljenja isključivo na osnovu pojave folijarnih simptoma može biti nepouzdana, te se kao relevantniji parametar preporučuje određivanje kumulativne incidence u periodu od najmanje tri do pet godina. U skladu s tim, na osnovu četvorogodišnjeg praćenja pojave simptoma eska oboljenja u vinogradu sorte Vranac starosti 21 godinu u Crnoj Gori, tokom 2024. godine utvrđena je kumulativna incidenca od 48,06%. Ovaj rezultat je uporediv sa nalazima </w:t>
      </w:r>
      <w:r>
        <w:rPr>
          <w:rFonts w:ascii="Book Antiqua" w:hAnsi="Book Antiqua" w:cs="Times New Roman"/>
          <w:b/>
          <w:color w:val="000000" w:themeColor="text1"/>
          <w:sz w:val="24"/>
          <w:szCs w:val="24"/>
          <w:lang w:val="sr-Latn-RS"/>
        </w:rPr>
        <w:t>Dewasme et al. (2022)</w:t>
      </w:r>
      <w:r>
        <w:rPr>
          <w:rFonts w:ascii="Book Antiqua" w:hAnsi="Book Antiqua" w:cs="Times New Roman"/>
          <w:color w:val="000000" w:themeColor="text1"/>
          <w:sz w:val="24"/>
          <w:szCs w:val="24"/>
          <w:lang w:val="sr-Latn-RS"/>
        </w:rPr>
        <w:t>, koji u vinogradima u Francuskoj izvještavaju o kumulativnoj incidenci od 46,7%.</w:t>
      </w:r>
    </w:p>
    <w:p w14:paraId="5BD70F0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U svim vinogradarskim regionima Crne Gore zabilježeni su tipični simptomi eska oboljenja, u skladu sa opisima koje su dali </w:t>
      </w:r>
      <w:r>
        <w:rPr>
          <w:rFonts w:ascii="Book Antiqua" w:hAnsi="Book Antiqua" w:cs="Times New Roman"/>
          <w:b/>
          <w:color w:val="000000" w:themeColor="text1"/>
          <w:sz w:val="24"/>
          <w:szCs w:val="24"/>
          <w:lang w:val="sr-Latn-RS"/>
        </w:rPr>
        <w:t>Mugnai et al. (1999)</w:t>
      </w:r>
      <w:r>
        <w:rPr>
          <w:rFonts w:ascii="Book Antiqua" w:hAnsi="Book Antiqua" w:cs="Times New Roman"/>
          <w:color w:val="000000" w:themeColor="text1"/>
          <w:sz w:val="24"/>
          <w:szCs w:val="24"/>
          <w:lang w:val="sr-Latn-RS"/>
        </w:rPr>
        <w:t xml:space="preserve"> i </w:t>
      </w:r>
      <w:r>
        <w:rPr>
          <w:rFonts w:ascii="Book Antiqua" w:hAnsi="Book Antiqua" w:cs="Times New Roman"/>
          <w:b/>
          <w:color w:val="000000" w:themeColor="text1"/>
          <w:sz w:val="24"/>
          <w:szCs w:val="24"/>
          <w:lang w:val="sr-Latn-RS"/>
        </w:rPr>
        <w:t>Surico et al. (2006)</w:t>
      </w:r>
      <w:r>
        <w:rPr>
          <w:rFonts w:ascii="Book Antiqua" w:hAnsi="Book Antiqua" w:cs="Times New Roman"/>
          <w:color w:val="000000" w:themeColor="text1"/>
          <w:sz w:val="24"/>
          <w:szCs w:val="24"/>
          <w:lang w:val="sr-Latn-RS"/>
        </w:rPr>
        <w:t>. Simptomi su se ispoljavali u vidu hroničnog i apoplektičnog sušenja listova, lastara, grozdova ili kompletnih čokota vinove loze. Tokom istraživanja registrovani su i simptomi na grozdovima, koji su se kod bijelih sorti manifestovali kao sitne mrlje na bobicama, što je u saglasnosti sa opisima više autora (</w:t>
      </w:r>
      <w:r>
        <w:rPr>
          <w:rFonts w:ascii="Book Antiqua" w:hAnsi="Book Antiqua" w:cs="Times New Roman"/>
          <w:b/>
          <w:color w:val="000000" w:themeColor="text1"/>
          <w:sz w:val="24"/>
          <w:szCs w:val="24"/>
          <w:lang w:val="sr-Latn-RS"/>
        </w:rPr>
        <w:t>Graniti et al., 2000</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t>Larignon et al., 2009</w:t>
      </w:r>
      <w:r>
        <w:rPr>
          <w:rFonts w:ascii="Book Antiqua" w:hAnsi="Book Antiqua" w:cs="Times New Roman"/>
          <w:color w:val="000000" w:themeColor="text1"/>
          <w:sz w:val="24"/>
          <w:szCs w:val="24"/>
          <w:lang w:val="sr-Latn-RS"/>
        </w:rPr>
        <w:t xml:space="preserve">). Prema </w:t>
      </w:r>
      <w:r>
        <w:rPr>
          <w:rFonts w:ascii="Book Antiqua" w:hAnsi="Book Antiqua" w:cs="Times New Roman"/>
          <w:b/>
          <w:color w:val="000000" w:themeColor="text1"/>
          <w:sz w:val="24"/>
          <w:szCs w:val="24"/>
          <w:lang w:val="sr-Latn-RS"/>
        </w:rPr>
        <w:t>Fontaine et al. (2015)</w:t>
      </w:r>
      <w:r>
        <w:rPr>
          <w:rFonts w:ascii="Book Antiqua" w:hAnsi="Book Antiqua" w:cs="Times New Roman"/>
          <w:color w:val="000000" w:themeColor="text1"/>
          <w:sz w:val="24"/>
          <w:szCs w:val="24"/>
          <w:lang w:val="sr-Latn-RS"/>
        </w:rPr>
        <w:t>, do sada ne postoje podaci o uticaju eska oboljenja na cvasti i korjenov sistem vinove loze, a rezultati četvorogodišnjeg istraživanja sprovedenog u Crnoj Gori potvrđuju ove navode, budući da na navedenim organima nisu uočeni simptomi bolesti.</w:t>
      </w:r>
    </w:p>
    <w:p w14:paraId="64698CE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Uočeni unutrašnji simptomi, koji su se manifestovali u vidu crnih nekrotičnih tačaka, crne ili braon nekroze, kao i pojave bijele truleži, u potpunosti odgovaraju simptomima koje su opisali </w:t>
      </w:r>
      <w:r>
        <w:rPr>
          <w:rFonts w:ascii="Book Antiqua" w:hAnsi="Book Antiqua" w:cs="Times New Roman"/>
          <w:b/>
          <w:color w:val="000000" w:themeColor="text1"/>
          <w:sz w:val="24"/>
          <w:szCs w:val="24"/>
          <w:lang w:val="sr-Latn-RS"/>
        </w:rPr>
        <w:t>Mugnai et al. (1999)</w:t>
      </w:r>
      <w:r>
        <w:rPr>
          <w:rFonts w:ascii="Book Antiqua" w:hAnsi="Book Antiqua" w:cs="Times New Roman"/>
          <w:color w:val="000000" w:themeColor="text1"/>
          <w:sz w:val="24"/>
          <w:szCs w:val="24"/>
          <w:lang w:val="sr-Latn-RS"/>
        </w:rPr>
        <w:t xml:space="preserve"> i </w:t>
      </w:r>
      <w:r>
        <w:rPr>
          <w:rFonts w:ascii="Book Antiqua" w:hAnsi="Book Antiqua" w:cs="Times New Roman"/>
          <w:b/>
          <w:color w:val="000000" w:themeColor="text1"/>
          <w:sz w:val="24"/>
          <w:szCs w:val="24"/>
          <w:lang w:val="sr-Latn-RS"/>
        </w:rPr>
        <w:t>White et al. (2011)</w:t>
      </w:r>
      <w:r>
        <w:rPr>
          <w:rFonts w:ascii="Book Antiqua" w:hAnsi="Book Antiqua" w:cs="Times New Roman"/>
          <w:color w:val="000000" w:themeColor="text1"/>
          <w:sz w:val="24"/>
          <w:szCs w:val="24"/>
          <w:lang w:val="sr-Latn-RS"/>
        </w:rPr>
        <w:t xml:space="preserve">. Iz zona zahvaćenih crnim nekrozama najčešće su izolovani patogeni </w:t>
      </w:r>
      <w:r>
        <w:rPr>
          <w:rFonts w:ascii="Book Antiqua" w:hAnsi="Book Antiqua" w:cs="Times New Roman"/>
          <w:i/>
          <w:color w:val="000000" w:themeColor="text1"/>
          <w:sz w:val="24"/>
          <w:szCs w:val="24"/>
          <w:lang w:val="sr-Latn-RS"/>
        </w:rPr>
        <w:t>P. minimum</w:t>
      </w:r>
      <w:r>
        <w:rPr>
          <w:rFonts w:ascii="Book Antiqua" w:hAnsi="Book Antiqua" w:cs="Times New Roman"/>
          <w:color w:val="000000" w:themeColor="text1"/>
          <w:sz w:val="24"/>
          <w:szCs w:val="24"/>
          <w:lang w:val="sr-Latn-RS"/>
        </w:rPr>
        <w:t xml:space="preserve"> i </w:t>
      </w:r>
      <w:r>
        <w:rPr>
          <w:rFonts w:ascii="Book Antiqua" w:hAnsi="Book Antiqua" w:cs="Times New Roman"/>
          <w:i/>
          <w:color w:val="000000" w:themeColor="text1"/>
          <w:sz w:val="24"/>
          <w:szCs w:val="24"/>
          <w:lang w:val="sr-Latn-RS"/>
        </w:rPr>
        <w:t>P. chlamydospora</w:t>
      </w:r>
      <w:r>
        <w:rPr>
          <w:rFonts w:ascii="Book Antiqua" w:hAnsi="Book Antiqua" w:cs="Times New Roman"/>
          <w:color w:val="000000" w:themeColor="text1"/>
          <w:sz w:val="24"/>
          <w:szCs w:val="24"/>
          <w:lang w:val="sr-Latn-RS"/>
        </w:rPr>
        <w:t xml:space="preserve">, što je u saglasnosti sa nalazima </w:t>
      </w:r>
      <w:r>
        <w:rPr>
          <w:rFonts w:ascii="Book Antiqua" w:hAnsi="Book Antiqua" w:cs="Times New Roman"/>
          <w:b/>
          <w:color w:val="000000" w:themeColor="text1"/>
          <w:sz w:val="24"/>
          <w:szCs w:val="24"/>
          <w:lang w:val="sr-Latn-RS"/>
        </w:rPr>
        <w:t>Mugnai et al. (1999)</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t>Sofia et al. (2006)</w:t>
      </w:r>
      <w:r>
        <w:rPr>
          <w:rFonts w:ascii="Book Antiqua" w:hAnsi="Book Antiqua" w:cs="Times New Roman"/>
          <w:color w:val="000000" w:themeColor="text1"/>
          <w:sz w:val="24"/>
          <w:szCs w:val="24"/>
          <w:lang w:val="sr-Latn-RS"/>
        </w:rPr>
        <w:t xml:space="preserve"> i </w:t>
      </w:r>
      <w:r>
        <w:rPr>
          <w:rFonts w:ascii="Book Antiqua" w:hAnsi="Book Antiqua" w:cs="Times New Roman"/>
          <w:b/>
          <w:color w:val="000000" w:themeColor="text1"/>
          <w:sz w:val="24"/>
          <w:szCs w:val="24"/>
          <w:lang w:val="sr-Latn-RS"/>
        </w:rPr>
        <w:t>Calzarano i Di Marco (2007)</w:t>
      </w:r>
      <w:r>
        <w:rPr>
          <w:rFonts w:ascii="Book Antiqua" w:hAnsi="Book Antiqua" w:cs="Times New Roman"/>
          <w:color w:val="000000" w:themeColor="text1"/>
          <w:sz w:val="24"/>
          <w:szCs w:val="24"/>
          <w:lang w:val="sr-Latn-RS"/>
        </w:rPr>
        <w:t xml:space="preserve">. </w:t>
      </w:r>
    </w:p>
    <w:p w14:paraId="404EC38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Detaljnim pregledom starijih vinograda utvrđeno je uzdužno pucanje debla, kao i pojava bijele truleži u centralnom dijelu stabla vinove loze, što je takođe prethodno opisano od strane </w:t>
      </w:r>
      <w:r>
        <w:rPr>
          <w:rFonts w:ascii="Book Antiqua" w:hAnsi="Book Antiqua" w:cs="Times New Roman"/>
          <w:b/>
          <w:color w:val="000000" w:themeColor="text1"/>
          <w:sz w:val="24"/>
          <w:szCs w:val="24"/>
          <w:lang w:val="sr-Latn-RS"/>
        </w:rPr>
        <w:t>Mugnai et al. (1999)</w:t>
      </w:r>
      <w:r>
        <w:rPr>
          <w:rFonts w:ascii="Book Antiqua" w:hAnsi="Book Antiqua" w:cs="Times New Roman"/>
          <w:color w:val="000000" w:themeColor="text1"/>
          <w:sz w:val="24"/>
          <w:szCs w:val="24"/>
          <w:lang w:val="sr-Latn-RS"/>
        </w:rPr>
        <w:t>.</w:t>
      </w:r>
    </w:p>
    <w:p w14:paraId="28AFA41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Na osnovu poprečnih i uzdužnih presjeka čokota vinove loze utvrđeno je da infekcija najčešće nastaje na mjestima presjeka formiranim tokom rezidbe, što potvrđuju i raniji izvještaji </w:t>
      </w:r>
      <w:r>
        <w:rPr>
          <w:rFonts w:ascii="Book Antiqua" w:hAnsi="Book Antiqua" w:cs="Times New Roman"/>
          <w:b/>
          <w:color w:val="000000" w:themeColor="text1"/>
          <w:sz w:val="24"/>
          <w:szCs w:val="24"/>
          <w:lang w:val="sr-Latn-RS"/>
        </w:rPr>
        <w:t>Mugnai et al. (1999)</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t>Sparapano et al. (2000)</w:t>
      </w:r>
      <w:r>
        <w:rPr>
          <w:rFonts w:ascii="Book Antiqua" w:hAnsi="Book Antiqua" w:cs="Times New Roman"/>
          <w:color w:val="000000" w:themeColor="text1"/>
          <w:sz w:val="24"/>
          <w:szCs w:val="24"/>
          <w:lang w:val="sr-Latn-RS"/>
        </w:rPr>
        <w:t xml:space="preserve"> i </w:t>
      </w:r>
      <w:r>
        <w:rPr>
          <w:rFonts w:ascii="Book Antiqua" w:hAnsi="Book Antiqua" w:cs="Times New Roman"/>
          <w:b/>
          <w:color w:val="000000" w:themeColor="text1"/>
          <w:sz w:val="24"/>
          <w:szCs w:val="24"/>
          <w:lang w:val="sr-Latn-RS"/>
        </w:rPr>
        <w:t>van Niekerk et al. (2011)</w:t>
      </w:r>
      <w:r>
        <w:rPr>
          <w:rFonts w:ascii="Book Antiqua" w:hAnsi="Book Antiqua" w:cs="Times New Roman"/>
          <w:color w:val="000000" w:themeColor="text1"/>
          <w:sz w:val="24"/>
          <w:szCs w:val="24"/>
          <w:lang w:val="sr-Latn-RS"/>
        </w:rPr>
        <w:t xml:space="preserve">. Iz simptoma tzv. „bijele truleži“ najčešće je izolovana fitopatogena gljiva </w:t>
      </w:r>
      <w:r>
        <w:rPr>
          <w:rFonts w:ascii="Book Antiqua" w:hAnsi="Book Antiqua" w:cs="Times New Roman"/>
          <w:i/>
          <w:color w:val="000000" w:themeColor="text1"/>
          <w:sz w:val="24"/>
          <w:szCs w:val="24"/>
          <w:lang w:val="sr-Latn-RS"/>
        </w:rPr>
        <w:t>F. mediterranea</w:t>
      </w:r>
      <w:r>
        <w:rPr>
          <w:rFonts w:ascii="Book Antiqua" w:hAnsi="Book Antiqua" w:cs="Times New Roman"/>
          <w:color w:val="000000" w:themeColor="text1"/>
          <w:sz w:val="24"/>
          <w:szCs w:val="24"/>
          <w:lang w:val="sr-Latn-RS"/>
        </w:rPr>
        <w:t xml:space="preserve">, što je u skladu sa rezultatima istraživanja </w:t>
      </w:r>
      <w:r>
        <w:rPr>
          <w:rFonts w:ascii="Book Antiqua" w:hAnsi="Book Antiqua" w:cs="Times New Roman"/>
          <w:b/>
          <w:color w:val="000000" w:themeColor="text1"/>
          <w:sz w:val="24"/>
          <w:szCs w:val="24"/>
          <w:lang w:val="sr-Latn-RS"/>
        </w:rPr>
        <w:t>Mugnai et al. (1999)</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t>Peros et al. (2008)</w:t>
      </w:r>
      <w:r>
        <w:rPr>
          <w:rFonts w:ascii="Book Antiqua" w:hAnsi="Book Antiqua" w:cs="Times New Roman"/>
          <w:color w:val="000000" w:themeColor="text1"/>
          <w:sz w:val="24"/>
          <w:szCs w:val="24"/>
          <w:lang w:val="sr-Latn-RS"/>
        </w:rPr>
        <w:t xml:space="preserve"> i </w:t>
      </w:r>
      <w:r>
        <w:rPr>
          <w:rFonts w:ascii="Book Antiqua" w:hAnsi="Book Antiqua" w:cs="Times New Roman"/>
          <w:b/>
          <w:color w:val="000000" w:themeColor="text1"/>
          <w:sz w:val="24"/>
          <w:szCs w:val="24"/>
          <w:lang w:val="sr-Latn-RS"/>
        </w:rPr>
        <w:t>Sanchez-Torres et al. (2008)</w:t>
      </w:r>
      <w:r>
        <w:rPr>
          <w:rFonts w:ascii="Book Antiqua" w:hAnsi="Book Antiqua" w:cs="Times New Roman"/>
          <w:color w:val="000000" w:themeColor="text1"/>
          <w:sz w:val="24"/>
          <w:szCs w:val="24"/>
          <w:lang w:val="sr-Latn-RS"/>
        </w:rPr>
        <w:t>.</w:t>
      </w:r>
    </w:p>
    <w:p w14:paraId="75374AA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Ranija istraživanja </w:t>
      </w:r>
      <w:r>
        <w:rPr>
          <w:rFonts w:ascii="Book Antiqua" w:hAnsi="Book Antiqua" w:cs="Times New Roman"/>
          <w:b/>
          <w:color w:val="000000" w:themeColor="text1"/>
          <w:sz w:val="24"/>
          <w:szCs w:val="24"/>
          <w:lang w:val="sr-Latn-RS"/>
        </w:rPr>
        <w:t>Latinović i sar. (2005)</w:t>
      </w:r>
      <w:r>
        <w:rPr>
          <w:rFonts w:ascii="Book Antiqua" w:hAnsi="Book Antiqua" w:cs="Times New Roman"/>
          <w:color w:val="000000" w:themeColor="text1"/>
          <w:sz w:val="24"/>
          <w:szCs w:val="24"/>
          <w:lang w:val="sr-Latn-RS"/>
        </w:rPr>
        <w:t xml:space="preserve"> ukazuju da je </w:t>
      </w:r>
      <w:r>
        <w:rPr>
          <w:rFonts w:ascii="Book Antiqua" w:hAnsi="Book Antiqua" w:cs="Times New Roman"/>
          <w:i/>
          <w:color w:val="000000" w:themeColor="text1"/>
          <w:sz w:val="24"/>
          <w:szCs w:val="24"/>
          <w:lang w:val="sr-Latn-RS"/>
        </w:rPr>
        <w:t>P. alelophylum</w:t>
      </w:r>
      <w:r>
        <w:rPr>
          <w:rFonts w:ascii="Book Antiqua" w:hAnsi="Book Antiqua" w:cs="Times New Roman"/>
          <w:color w:val="000000" w:themeColor="text1"/>
          <w:sz w:val="24"/>
          <w:szCs w:val="24"/>
          <w:lang w:val="sr-Latn-RS"/>
        </w:rPr>
        <w:t xml:space="preserve"> jedan od uzročnika eska oboljenja u Crnoj Gori. Međutim, rezultati ovog istraživanja pokazuju da su molekularnim metodama kao najvažniji uzročnici eska oboljenja u Crnoj Gori identifikovani </w:t>
      </w:r>
      <w:r>
        <w:rPr>
          <w:rFonts w:ascii="Book Antiqua" w:hAnsi="Book Antiqua" w:cs="Times New Roman"/>
          <w:i/>
          <w:color w:val="000000" w:themeColor="text1"/>
          <w:sz w:val="24"/>
          <w:szCs w:val="24"/>
          <w:lang w:val="sr-Latn-RS"/>
        </w:rPr>
        <w:t>P. minimum</w:t>
      </w:r>
      <w:r>
        <w:rPr>
          <w:rFonts w:ascii="Book Antiqua" w:hAnsi="Book Antiqua" w:cs="Times New Roman"/>
          <w:color w:val="000000" w:themeColor="text1"/>
          <w:sz w:val="24"/>
          <w:szCs w:val="24"/>
          <w:lang w:val="sr-Latn-RS"/>
        </w:rPr>
        <w:t xml:space="preserve">, </w:t>
      </w:r>
      <w:r>
        <w:rPr>
          <w:rFonts w:ascii="Book Antiqua" w:hAnsi="Book Antiqua" w:cs="Times New Roman"/>
          <w:i/>
          <w:color w:val="000000" w:themeColor="text1"/>
          <w:sz w:val="24"/>
          <w:szCs w:val="24"/>
          <w:lang w:val="sr-Latn-RS"/>
        </w:rPr>
        <w:t>P. chlamydospora</w:t>
      </w:r>
      <w:r>
        <w:rPr>
          <w:rFonts w:ascii="Book Antiqua" w:hAnsi="Book Antiqua" w:cs="Times New Roman"/>
          <w:color w:val="000000" w:themeColor="text1"/>
          <w:sz w:val="24"/>
          <w:szCs w:val="24"/>
          <w:lang w:val="sr-Latn-RS"/>
        </w:rPr>
        <w:t xml:space="preserve"> i </w:t>
      </w:r>
      <w:r>
        <w:rPr>
          <w:rFonts w:ascii="Book Antiqua" w:hAnsi="Book Antiqua" w:cs="Times New Roman"/>
          <w:i/>
          <w:color w:val="000000" w:themeColor="text1"/>
          <w:sz w:val="24"/>
          <w:szCs w:val="24"/>
          <w:lang w:val="sr-Latn-RS"/>
        </w:rPr>
        <w:t>F. mediterranea</w:t>
      </w:r>
      <w:r>
        <w:rPr>
          <w:rFonts w:ascii="Book Antiqua" w:hAnsi="Book Antiqua" w:cs="Times New Roman"/>
          <w:color w:val="000000" w:themeColor="text1"/>
          <w:sz w:val="24"/>
          <w:szCs w:val="24"/>
          <w:lang w:val="sr-Latn-RS"/>
        </w:rPr>
        <w:t xml:space="preserve">. Tokom istraživanja, </w:t>
      </w:r>
      <w:r>
        <w:rPr>
          <w:rFonts w:ascii="Book Antiqua" w:hAnsi="Book Antiqua" w:cs="Times New Roman"/>
          <w:i/>
          <w:color w:val="000000" w:themeColor="text1"/>
          <w:sz w:val="24"/>
          <w:szCs w:val="24"/>
          <w:lang w:val="sr-Latn-RS"/>
        </w:rPr>
        <w:t>P. minimum</w:t>
      </w:r>
      <w:r>
        <w:rPr>
          <w:rFonts w:ascii="Book Antiqua" w:hAnsi="Book Antiqua" w:cs="Times New Roman"/>
          <w:color w:val="000000" w:themeColor="text1"/>
          <w:sz w:val="24"/>
          <w:szCs w:val="24"/>
          <w:lang w:val="sr-Latn-RS"/>
        </w:rPr>
        <w:t xml:space="preserve"> i </w:t>
      </w:r>
      <w:r>
        <w:rPr>
          <w:rFonts w:ascii="Book Antiqua" w:hAnsi="Book Antiqua" w:cs="Times New Roman"/>
          <w:i/>
          <w:color w:val="000000" w:themeColor="text1"/>
          <w:sz w:val="24"/>
          <w:szCs w:val="24"/>
          <w:lang w:val="sr-Latn-RS"/>
        </w:rPr>
        <w:t>P. chlamydospora</w:t>
      </w:r>
      <w:r>
        <w:rPr>
          <w:rFonts w:ascii="Book Antiqua" w:hAnsi="Book Antiqua" w:cs="Times New Roman"/>
          <w:color w:val="000000" w:themeColor="text1"/>
          <w:sz w:val="24"/>
          <w:szCs w:val="24"/>
          <w:lang w:val="sr-Latn-RS"/>
        </w:rPr>
        <w:t xml:space="preserve"> bili su najčešće izolovani patogeni. Prisustvo </w:t>
      </w:r>
      <w:r>
        <w:rPr>
          <w:rFonts w:ascii="Book Antiqua" w:hAnsi="Book Antiqua" w:cs="Times New Roman"/>
          <w:i/>
          <w:color w:val="000000" w:themeColor="text1"/>
          <w:sz w:val="24"/>
          <w:szCs w:val="24"/>
          <w:lang w:val="sr-Latn-RS"/>
        </w:rPr>
        <w:t>F. mediterranea</w:t>
      </w:r>
      <w:r>
        <w:rPr>
          <w:rFonts w:ascii="Book Antiqua" w:hAnsi="Book Antiqua" w:cs="Times New Roman"/>
          <w:color w:val="000000" w:themeColor="text1"/>
          <w:sz w:val="24"/>
          <w:szCs w:val="24"/>
          <w:lang w:val="sr-Latn-RS"/>
        </w:rPr>
        <w:t xml:space="preserve"> utvrđeno je isključivo u oboljelim čokotima vinove loze starijim od 15 godina, što je djelimično u suprotnosti sa nalazima </w:t>
      </w:r>
      <w:r>
        <w:rPr>
          <w:rFonts w:ascii="Book Antiqua" w:hAnsi="Book Antiqua" w:cs="Times New Roman"/>
          <w:b/>
          <w:color w:val="000000" w:themeColor="text1"/>
          <w:sz w:val="24"/>
          <w:szCs w:val="24"/>
          <w:lang w:val="sr-Latn-RS"/>
        </w:rPr>
        <w:t>Fischera (2006)</w:t>
      </w:r>
      <w:r>
        <w:rPr>
          <w:rFonts w:ascii="Book Antiqua" w:hAnsi="Book Antiqua" w:cs="Times New Roman"/>
          <w:color w:val="000000" w:themeColor="text1"/>
          <w:sz w:val="24"/>
          <w:szCs w:val="24"/>
          <w:lang w:val="sr-Latn-RS"/>
        </w:rPr>
        <w:t>, koji navodi da se ovaj patogen uglavnom javlja u čokotima starijim od 10 godina.</w:t>
      </w:r>
    </w:p>
    <w:p w14:paraId="6538581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Ovim istraživanjem je u Crnoj Gori po prvi put izolovan i identifikovan veći broj gljiva povezanih sa bolestima stabla vinove loze, uključujući </w:t>
      </w:r>
      <w:r>
        <w:rPr>
          <w:rFonts w:ascii="Book Antiqua" w:hAnsi="Book Antiqua" w:cs="Times New Roman"/>
          <w:i/>
          <w:color w:val="000000" w:themeColor="text1"/>
          <w:sz w:val="24"/>
          <w:szCs w:val="24"/>
          <w:lang w:val="sr-Latn-RS"/>
        </w:rPr>
        <w:t>N. parvum</w:t>
      </w:r>
      <w:r>
        <w:rPr>
          <w:rFonts w:ascii="Book Antiqua" w:hAnsi="Book Antiqua" w:cs="Times New Roman"/>
          <w:color w:val="000000" w:themeColor="text1"/>
          <w:sz w:val="24"/>
          <w:szCs w:val="24"/>
          <w:lang w:val="sr-Latn-RS"/>
        </w:rPr>
        <w:t xml:space="preserve">, </w:t>
      </w:r>
      <w:r>
        <w:rPr>
          <w:rFonts w:ascii="Book Antiqua" w:hAnsi="Book Antiqua" w:cs="Times New Roman"/>
          <w:i/>
          <w:color w:val="000000" w:themeColor="text1"/>
          <w:sz w:val="24"/>
          <w:szCs w:val="24"/>
          <w:lang w:val="sr-Latn-RS"/>
        </w:rPr>
        <w:t>D. seriata</w:t>
      </w:r>
      <w:r>
        <w:rPr>
          <w:rFonts w:ascii="Book Antiqua" w:hAnsi="Book Antiqua" w:cs="Times New Roman"/>
          <w:color w:val="000000" w:themeColor="text1"/>
          <w:sz w:val="24"/>
          <w:szCs w:val="24"/>
          <w:lang w:val="sr-Latn-RS"/>
        </w:rPr>
        <w:t xml:space="preserve">, </w:t>
      </w:r>
      <w:r>
        <w:rPr>
          <w:rFonts w:ascii="Book Antiqua" w:hAnsi="Book Antiqua" w:cs="Times New Roman"/>
          <w:i/>
          <w:color w:val="000000" w:themeColor="text1"/>
          <w:sz w:val="24"/>
          <w:szCs w:val="24"/>
          <w:lang w:val="sr-Latn-RS"/>
        </w:rPr>
        <w:t>D. mutila</w:t>
      </w:r>
      <w:r>
        <w:rPr>
          <w:rFonts w:ascii="Book Antiqua" w:hAnsi="Book Antiqua" w:cs="Times New Roman"/>
          <w:color w:val="000000" w:themeColor="text1"/>
          <w:sz w:val="24"/>
          <w:szCs w:val="24"/>
          <w:lang w:val="sr-Latn-RS"/>
        </w:rPr>
        <w:t xml:space="preserve">, </w:t>
      </w:r>
      <w:r>
        <w:rPr>
          <w:rFonts w:ascii="Book Antiqua" w:hAnsi="Book Antiqua" w:cs="Times New Roman"/>
          <w:i/>
          <w:color w:val="000000" w:themeColor="text1"/>
          <w:sz w:val="24"/>
          <w:szCs w:val="24"/>
          <w:lang w:val="sr-Latn-RS"/>
        </w:rPr>
        <w:t>D. eres</w:t>
      </w:r>
      <w:r>
        <w:rPr>
          <w:rFonts w:ascii="Book Antiqua" w:hAnsi="Book Antiqua" w:cs="Times New Roman"/>
          <w:color w:val="000000" w:themeColor="text1"/>
          <w:sz w:val="24"/>
          <w:szCs w:val="24"/>
          <w:lang w:val="sr-Latn-RS"/>
        </w:rPr>
        <w:t xml:space="preserve">, </w:t>
      </w:r>
      <w:r>
        <w:rPr>
          <w:rFonts w:ascii="Book Antiqua" w:hAnsi="Book Antiqua" w:cs="Times New Roman"/>
          <w:i/>
          <w:color w:val="000000" w:themeColor="text1"/>
          <w:sz w:val="24"/>
          <w:szCs w:val="24"/>
          <w:lang w:val="sr-Latn-RS"/>
        </w:rPr>
        <w:t>C. luteo-olivacea</w:t>
      </w:r>
      <w:r>
        <w:rPr>
          <w:rFonts w:ascii="Book Antiqua" w:hAnsi="Book Antiqua" w:cs="Times New Roman"/>
          <w:color w:val="000000" w:themeColor="text1"/>
          <w:sz w:val="24"/>
          <w:szCs w:val="24"/>
          <w:lang w:val="sr-Latn-RS"/>
        </w:rPr>
        <w:t xml:space="preserve">, </w:t>
      </w:r>
      <w:r>
        <w:rPr>
          <w:rFonts w:ascii="Book Antiqua" w:hAnsi="Book Antiqua" w:cs="Times New Roman"/>
          <w:i/>
          <w:color w:val="000000" w:themeColor="text1"/>
          <w:sz w:val="24"/>
          <w:szCs w:val="24"/>
          <w:lang w:val="sr-Latn-RS"/>
        </w:rPr>
        <w:t>S. vitis</w:t>
      </w:r>
      <w:r>
        <w:rPr>
          <w:rFonts w:ascii="Book Antiqua" w:hAnsi="Book Antiqua" w:cs="Times New Roman"/>
          <w:color w:val="000000" w:themeColor="text1"/>
          <w:sz w:val="24"/>
          <w:szCs w:val="24"/>
          <w:lang w:val="sr-Latn-RS"/>
        </w:rPr>
        <w:t xml:space="preserve"> i </w:t>
      </w:r>
      <w:r>
        <w:rPr>
          <w:rFonts w:ascii="Book Antiqua" w:hAnsi="Book Antiqua" w:cs="Times New Roman"/>
          <w:i/>
          <w:color w:val="000000" w:themeColor="text1"/>
          <w:sz w:val="24"/>
          <w:szCs w:val="24"/>
          <w:lang w:val="sr-Latn-RS"/>
        </w:rPr>
        <w:t>B. mediterranea</w:t>
      </w:r>
      <w:r>
        <w:rPr>
          <w:rFonts w:ascii="Book Antiqua" w:hAnsi="Book Antiqua" w:cs="Times New Roman"/>
          <w:color w:val="000000" w:themeColor="text1"/>
          <w:sz w:val="24"/>
          <w:szCs w:val="24"/>
          <w:lang w:val="sr-Latn-RS"/>
        </w:rPr>
        <w:t xml:space="preserve">. Većina identifikovanih patogena spada u dobro poznate uzročnike bolesti stabla vinove loze sa širokom geografskom rasprostranjenošću, što potvrđuju navodi </w:t>
      </w:r>
      <w:r>
        <w:rPr>
          <w:rFonts w:ascii="Book Antiqua" w:hAnsi="Book Antiqua" w:cs="Times New Roman"/>
          <w:b/>
          <w:color w:val="000000" w:themeColor="text1"/>
          <w:sz w:val="24"/>
          <w:szCs w:val="24"/>
          <w:lang w:val="sr-Latn-RS"/>
        </w:rPr>
        <w:t>Travadon et al. (2015)</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t>Kanetis et al. (2022)</w:t>
      </w:r>
      <w:r>
        <w:rPr>
          <w:rFonts w:ascii="Book Antiqua" w:hAnsi="Book Antiqua" w:cs="Times New Roman"/>
          <w:color w:val="000000" w:themeColor="text1"/>
          <w:sz w:val="24"/>
          <w:szCs w:val="24"/>
          <w:lang w:val="sr-Latn-RS"/>
        </w:rPr>
        <w:t xml:space="preserve"> i </w:t>
      </w:r>
      <w:r>
        <w:rPr>
          <w:rFonts w:ascii="Book Antiqua" w:hAnsi="Book Antiqua" w:cs="Times New Roman"/>
          <w:b/>
          <w:color w:val="000000" w:themeColor="text1"/>
          <w:sz w:val="24"/>
          <w:szCs w:val="24"/>
          <w:lang w:val="sr-Latn-RS"/>
        </w:rPr>
        <w:t>Tsoukas et al. (2025)</w:t>
      </w:r>
      <w:r>
        <w:rPr>
          <w:rFonts w:ascii="Book Antiqua" w:hAnsi="Book Antiqua" w:cs="Times New Roman"/>
          <w:color w:val="000000" w:themeColor="text1"/>
          <w:sz w:val="24"/>
          <w:szCs w:val="24"/>
          <w:lang w:val="sr-Latn-RS"/>
        </w:rPr>
        <w:t xml:space="preserve">. Međutim, u ovom radu se </w:t>
      </w:r>
      <w:r>
        <w:rPr>
          <w:rFonts w:ascii="Book Antiqua" w:hAnsi="Book Antiqua" w:cs="Times New Roman"/>
          <w:i/>
          <w:color w:val="000000" w:themeColor="text1"/>
          <w:sz w:val="24"/>
          <w:szCs w:val="24"/>
          <w:lang w:val="sr-Latn-RS"/>
        </w:rPr>
        <w:t>B. mediterranea</w:t>
      </w:r>
      <w:r>
        <w:rPr>
          <w:rFonts w:ascii="Book Antiqua" w:hAnsi="Book Antiqua" w:cs="Times New Roman"/>
          <w:color w:val="000000" w:themeColor="text1"/>
          <w:sz w:val="24"/>
          <w:szCs w:val="24"/>
          <w:lang w:val="sr-Latn-RS"/>
        </w:rPr>
        <w:t xml:space="preserve"> po prvi put u Evropi dovodi u vezu sa bolestima stabla vinove loze.</w:t>
      </w:r>
    </w:p>
    <w:p w14:paraId="3D9744D7"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6F38BC9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en-US"/>
        </w:rPr>
      </w:pPr>
      <w:r>
        <w:rPr>
          <w:rFonts w:ascii="Book Antiqua" w:hAnsi="Book Antiqua" w:cs="Times New Roman"/>
          <w:color w:val="000000" w:themeColor="text1"/>
          <w:sz w:val="24"/>
          <w:szCs w:val="24"/>
          <w:lang w:val="sr-Latn-RS"/>
        </w:rPr>
        <w:t xml:space="preserve">Van evropskog kontinenta, </w:t>
      </w:r>
      <w:r>
        <w:rPr>
          <w:rFonts w:ascii="Book Antiqua" w:hAnsi="Book Antiqua" w:cs="Times New Roman"/>
          <w:i/>
          <w:color w:val="000000" w:themeColor="text1"/>
          <w:sz w:val="24"/>
          <w:szCs w:val="24"/>
          <w:lang w:val="sr-Latn-RS"/>
        </w:rPr>
        <w:t>B. mediterranea</w:t>
      </w:r>
      <w:r>
        <w:rPr>
          <w:rFonts w:ascii="Book Antiqua" w:hAnsi="Book Antiqua" w:cs="Times New Roman"/>
          <w:color w:val="000000" w:themeColor="text1"/>
          <w:sz w:val="24"/>
          <w:szCs w:val="24"/>
          <w:lang w:val="sr-Latn-RS"/>
        </w:rPr>
        <w:t xml:space="preserve"> je kao patogen stabla vinove loze opisana od strane </w:t>
      </w:r>
      <w:r>
        <w:rPr>
          <w:rFonts w:ascii="Book Antiqua" w:hAnsi="Book Antiqua" w:cs="Times New Roman"/>
          <w:b/>
          <w:color w:val="000000" w:themeColor="text1"/>
          <w:sz w:val="24"/>
          <w:szCs w:val="24"/>
          <w:lang w:val="sr-Latn-RS"/>
        </w:rPr>
        <w:t>Travadon et al. (2022)</w:t>
      </w:r>
      <w:r>
        <w:rPr>
          <w:rFonts w:ascii="Book Antiqua" w:hAnsi="Book Antiqua" w:cs="Times New Roman"/>
          <w:color w:val="000000" w:themeColor="text1"/>
          <w:sz w:val="24"/>
          <w:szCs w:val="24"/>
          <w:lang w:val="sr-Latn-RS"/>
        </w:rPr>
        <w:t xml:space="preserve"> u Kaliforniji, dok je u Evropi ova vrsta uglavnom identifikovana na vrstama roda </w:t>
      </w:r>
      <w:r>
        <w:rPr>
          <w:rFonts w:ascii="Book Antiqua" w:hAnsi="Book Antiqua" w:cs="Times New Roman"/>
          <w:i/>
          <w:color w:val="000000" w:themeColor="text1"/>
          <w:sz w:val="24"/>
          <w:szCs w:val="24"/>
          <w:lang w:val="sr-Latn-RS"/>
        </w:rPr>
        <w:t xml:space="preserve">Quercus </w:t>
      </w:r>
      <w:r>
        <w:rPr>
          <w:rFonts w:ascii="Book Antiqua" w:hAnsi="Book Antiqua" w:cs="Times New Roman"/>
          <w:color w:val="000000" w:themeColor="text1"/>
          <w:sz w:val="24"/>
          <w:szCs w:val="24"/>
          <w:lang w:val="sr-Latn-RS"/>
        </w:rPr>
        <w:t>(</w:t>
      </w:r>
      <w:r>
        <w:rPr>
          <w:rFonts w:ascii="Book Antiqua" w:hAnsi="Book Antiqua" w:cs="Times New Roman"/>
          <w:b/>
          <w:color w:val="000000" w:themeColor="text1"/>
          <w:sz w:val="24"/>
          <w:szCs w:val="24"/>
          <w:lang w:val="sr-Latn-RS"/>
        </w:rPr>
        <w:t>Henriques et al., 2015</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lastRenderedPageBreak/>
        <w:t>Patejuk et al., 2022</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t>Georgieva et al., 2024</w:t>
      </w:r>
      <w:r>
        <w:rPr>
          <w:rFonts w:ascii="Book Antiqua" w:hAnsi="Book Antiqua" w:cs="Times New Roman"/>
          <w:color w:val="000000" w:themeColor="text1"/>
          <w:sz w:val="24"/>
          <w:szCs w:val="24"/>
          <w:lang w:val="sr-Latn-RS"/>
        </w:rPr>
        <w:t>), kao i na maslini na području Balkana (</w:t>
      </w:r>
      <w:r>
        <w:rPr>
          <w:rFonts w:ascii="Book Antiqua" w:hAnsi="Book Antiqua" w:cs="Times New Roman"/>
          <w:b/>
          <w:color w:val="000000" w:themeColor="text1"/>
          <w:sz w:val="24"/>
          <w:szCs w:val="24"/>
          <w:lang w:val="sr-Latn-RS"/>
        </w:rPr>
        <w:t>Petrović et al., 2024</w:t>
      </w:r>
      <w:r>
        <w:rPr>
          <w:rFonts w:ascii="Book Antiqua" w:hAnsi="Book Antiqua" w:cs="Times New Roman"/>
          <w:color w:val="000000" w:themeColor="text1"/>
          <w:sz w:val="24"/>
          <w:szCs w:val="24"/>
          <w:lang w:val="sr-Latn-RS"/>
        </w:rPr>
        <w:t xml:space="preserve">). Takođe, </w:t>
      </w:r>
      <w:r>
        <w:rPr>
          <w:rFonts w:ascii="Book Antiqua" w:hAnsi="Book Antiqua" w:cs="Times New Roman"/>
          <w:b/>
          <w:color w:val="000000" w:themeColor="text1"/>
          <w:sz w:val="24"/>
          <w:szCs w:val="24"/>
          <w:lang w:val="sr-Latn-RS"/>
        </w:rPr>
        <w:t>Bahmani et al. (2021)</w:t>
      </w:r>
      <w:r>
        <w:rPr>
          <w:rFonts w:ascii="Book Antiqua" w:hAnsi="Book Antiqua" w:cs="Times New Roman"/>
          <w:color w:val="000000" w:themeColor="text1"/>
          <w:sz w:val="24"/>
          <w:szCs w:val="24"/>
          <w:lang w:val="sr-Latn-RS"/>
        </w:rPr>
        <w:t xml:space="preserve"> izvještavaju o povezanosti vrste </w:t>
      </w:r>
      <w:r>
        <w:rPr>
          <w:rFonts w:ascii="Book Antiqua" w:hAnsi="Book Antiqua" w:cs="Times New Roman"/>
          <w:i/>
          <w:color w:val="000000" w:themeColor="text1"/>
          <w:sz w:val="24"/>
          <w:szCs w:val="24"/>
          <w:lang w:val="sr-Latn-RS"/>
        </w:rPr>
        <w:t>Biscogniauxia rosacearum</w:t>
      </w:r>
      <w:r>
        <w:rPr>
          <w:rFonts w:ascii="Book Antiqua" w:hAnsi="Book Antiqua" w:cs="Times New Roman"/>
          <w:color w:val="000000" w:themeColor="text1"/>
          <w:sz w:val="24"/>
          <w:szCs w:val="24"/>
          <w:lang w:val="sr-Latn-RS"/>
        </w:rPr>
        <w:t xml:space="preserve"> sa bolestima drveta vinove loze u Iranu, što dodatno ukazuje na potencijalni značaj roda </w:t>
      </w:r>
      <w:r>
        <w:rPr>
          <w:rFonts w:ascii="Book Antiqua" w:hAnsi="Book Antiqua" w:cs="Times New Roman"/>
          <w:i/>
          <w:color w:val="000000" w:themeColor="text1"/>
          <w:sz w:val="24"/>
          <w:szCs w:val="24"/>
          <w:lang w:val="sr-Latn-RS"/>
        </w:rPr>
        <w:t>Biscogniauxia</w:t>
      </w:r>
      <w:r>
        <w:rPr>
          <w:rFonts w:ascii="Book Antiqua" w:hAnsi="Book Antiqua" w:cs="Times New Roman"/>
          <w:color w:val="000000" w:themeColor="text1"/>
          <w:sz w:val="24"/>
          <w:szCs w:val="24"/>
          <w:lang w:val="sr-Latn-RS"/>
        </w:rPr>
        <w:t xml:space="preserve"> u etiologiji ovih oboljenja.</w:t>
      </w:r>
      <w:r>
        <w:rPr>
          <w:rFonts w:ascii="Book Antiqua" w:hAnsi="Book Antiqua" w:cs="Times New Roman"/>
          <w:color w:val="000000" w:themeColor="text1"/>
          <w:sz w:val="24"/>
          <w:szCs w:val="24"/>
          <w:lang w:val="en-US"/>
        </w:rPr>
        <w:t xml:space="preserve"> </w:t>
      </w:r>
    </w:p>
    <w:p w14:paraId="6EA756C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Rezultati identifikacije </w:t>
      </w:r>
      <w:r>
        <w:rPr>
          <w:rFonts w:ascii="Book Antiqua" w:hAnsi="Book Antiqua" w:cs="Times New Roman"/>
          <w:i/>
          <w:color w:val="000000" w:themeColor="text1"/>
          <w:sz w:val="24"/>
          <w:szCs w:val="24"/>
          <w:lang w:val="sr-Latn-RS"/>
        </w:rPr>
        <w:t>P. chlamydospora</w:t>
      </w:r>
      <w:r>
        <w:rPr>
          <w:rFonts w:ascii="Book Antiqua" w:hAnsi="Book Antiqua" w:cs="Times New Roman"/>
          <w:color w:val="000000" w:themeColor="text1"/>
          <w:sz w:val="24"/>
          <w:szCs w:val="24"/>
          <w:lang w:val="sr-Latn-RS"/>
        </w:rPr>
        <w:t xml:space="preserve"> i fitopatogenih gljiva iz roda </w:t>
      </w:r>
      <w:r>
        <w:rPr>
          <w:rFonts w:ascii="Book Antiqua" w:hAnsi="Book Antiqua" w:cs="Times New Roman"/>
          <w:i/>
          <w:color w:val="000000" w:themeColor="text1"/>
          <w:sz w:val="24"/>
          <w:szCs w:val="24"/>
          <w:lang w:val="sr-Latn-RS"/>
        </w:rPr>
        <w:t xml:space="preserve">Botryosphaeria </w:t>
      </w:r>
      <w:r>
        <w:rPr>
          <w:rFonts w:ascii="Book Antiqua" w:hAnsi="Book Antiqua" w:cs="Times New Roman"/>
          <w:color w:val="000000" w:themeColor="text1"/>
          <w:sz w:val="24"/>
          <w:szCs w:val="24"/>
          <w:lang w:val="sr-Latn-RS"/>
        </w:rPr>
        <w:t xml:space="preserve">u čokotima bez vidljivih simptoma eska oboljenja u skladu su sa nalazima </w:t>
      </w:r>
      <w:r>
        <w:rPr>
          <w:rFonts w:ascii="Book Antiqua" w:hAnsi="Book Antiqua" w:cs="Times New Roman"/>
          <w:b/>
          <w:color w:val="000000" w:themeColor="text1"/>
          <w:sz w:val="24"/>
          <w:szCs w:val="24"/>
          <w:lang w:val="sr-Latn-RS"/>
        </w:rPr>
        <w:t>Graniti et al. (2000)</w:t>
      </w:r>
      <w:r>
        <w:rPr>
          <w:rFonts w:ascii="Book Antiqua" w:hAnsi="Book Antiqua" w:cs="Times New Roman"/>
          <w:color w:val="000000" w:themeColor="text1"/>
          <w:sz w:val="24"/>
          <w:szCs w:val="24"/>
          <w:lang w:val="sr-Latn-RS"/>
        </w:rPr>
        <w:t xml:space="preserve"> i </w:t>
      </w:r>
      <w:r>
        <w:rPr>
          <w:rFonts w:ascii="Book Antiqua" w:hAnsi="Book Antiqua" w:cs="Times New Roman"/>
          <w:b/>
          <w:color w:val="000000" w:themeColor="text1"/>
          <w:sz w:val="24"/>
          <w:szCs w:val="24"/>
          <w:lang w:val="sr-Latn-RS"/>
        </w:rPr>
        <w:t>Gainza-Cortés et al. (2020)</w:t>
      </w:r>
      <w:r>
        <w:rPr>
          <w:rFonts w:ascii="Book Antiqua" w:hAnsi="Book Antiqua" w:cs="Times New Roman"/>
          <w:color w:val="000000" w:themeColor="text1"/>
          <w:sz w:val="24"/>
          <w:szCs w:val="24"/>
          <w:lang w:val="sr-Latn-RS"/>
        </w:rPr>
        <w:t xml:space="preserve">. </w:t>
      </w:r>
    </w:p>
    <w:p w14:paraId="24B7EDA0"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 xml:space="preserve">Infekcija patogenima drveta vinove loze može se ostvariti u različitim fazama proizvodnje sadnog materijala, što potvrđuju </w:t>
      </w:r>
      <w:r>
        <w:rPr>
          <w:rFonts w:ascii="Book Antiqua" w:eastAsia="Times New Roman" w:hAnsi="Book Antiqua" w:cs="Times New Roman"/>
          <w:b/>
          <w:sz w:val="24"/>
          <w:szCs w:val="24"/>
          <w:lang w:val="en-US"/>
        </w:rPr>
        <w:t>Hallen et al. (2003)</w:t>
      </w:r>
      <w:r>
        <w:rPr>
          <w:rFonts w:ascii="Book Antiqua" w:eastAsia="Times New Roman" w:hAnsi="Book Antiqua" w:cs="Times New Roman"/>
          <w:sz w:val="24"/>
          <w:szCs w:val="24"/>
          <w:lang w:val="en-US"/>
        </w:rPr>
        <w:t xml:space="preserve">, </w:t>
      </w:r>
      <w:r>
        <w:rPr>
          <w:rFonts w:ascii="Book Antiqua" w:eastAsia="Times New Roman" w:hAnsi="Book Antiqua" w:cs="Times New Roman"/>
          <w:b/>
          <w:sz w:val="24"/>
          <w:szCs w:val="24"/>
          <w:lang w:val="en-US"/>
        </w:rPr>
        <w:t xml:space="preserve">Gramaje i Di Marco (2015) </w:t>
      </w:r>
      <w:r>
        <w:rPr>
          <w:rFonts w:ascii="Book Antiqua" w:eastAsia="Times New Roman" w:hAnsi="Book Antiqua" w:cs="Times New Roman"/>
          <w:sz w:val="24"/>
          <w:szCs w:val="24"/>
          <w:lang w:val="en-US"/>
        </w:rPr>
        <w:t xml:space="preserve">i </w:t>
      </w:r>
      <w:r>
        <w:rPr>
          <w:rFonts w:ascii="Book Antiqua" w:eastAsia="Times New Roman" w:hAnsi="Book Antiqua" w:cs="Times New Roman"/>
          <w:b/>
          <w:sz w:val="24"/>
          <w:szCs w:val="24"/>
          <w:lang w:val="en-US"/>
        </w:rPr>
        <w:t>Kenfaui et al. (2022)</w:t>
      </w:r>
      <w:r>
        <w:rPr>
          <w:rFonts w:ascii="Book Antiqua" w:eastAsia="Times New Roman" w:hAnsi="Book Antiqua" w:cs="Times New Roman"/>
          <w:sz w:val="24"/>
          <w:szCs w:val="24"/>
          <w:lang w:val="en-US"/>
        </w:rPr>
        <w:t>, pri čemu je proces proizvodnje sadnog materijala u crnogorskim rasadnicima u velikoj mjeri uporediv sa praksama u drugim zemljama. Kao prvi kritični momenti za nastanak infekcije izdvajaju se uzgoj matičnih biljaka uz neadekvatnu agrotehniku. Brojni autori ukazuju da se infekcija može proširiti i tokom procesa hidratacije reznica, kada se veći broj reznica potapa u zajedničke posude, čime se omogućava brzo širenje patogena putem vode (</w:t>
      </w:r>
      <w:r>
        <w:rPr>
          <w:rFonts w:ascii="Book Antiqua" w:eastAsia="Times New Roman" w:hAnsi="Book Antiqua" w:cs="Times New Roman"/>
          <w:b/>
          <w:sz w:val="24"/>
          <w:szCs w:val="24"/>
          <w:lang w:val="en-US"/>
        </w:rPr>
        <w:t>Damm et al., 2005</w:t>
      </w:r>
      <w:r>
        <w:rPr>
          <w:rFonts w:ascii="Book Antiqua" w:eastAsia="Times New Roman" w:hAnsi="Book Antiqua" w:cs="Times New Roman"/>
          <w:sz w:val="24"/>
          <w:szCs w:val="24"/>
          <w:lang w:val="en-US"/>
        </w:rPr>
        <w:t xml:space="preserve">; </w:t>
      </w:r>
      <w:r>
        <w:rPr>
          <w:rFonts w:ascii="Book Antiqua" w:eastAsia="Times New Roman" w:hAnsi="Book Antiqua" w:cs="Times New Roman"/>
          <w:b/>
          <w:sz w:val="24"/>
          <w:szCs w:val="24"/>
          <w:lang w:val="en-US"/>
        </w:rPr>
        <w:t>Pollastro et al., 2009</w:t>
      </w:r>
      <w:r>
        <w:rPr>
          <w:rFonts w:ascii="Book Antiqua" w:eastAsia="Times New Roman" w:hAnsi="Book Antiqua" w:cs="Times New Roman"/>
          <w:sz w:val="24"/>
          <w:szCs w:val="24"/>
          <w:lang w:val="en-US"/>
        </w:rPr>
        <w:t xml:space="preserve">; </w:t>
      </w:r>
      <w:r>
        <w:rPr>
          <w:rFonts w:ascii="Book Antiqua" w:eastAsia="Times New Roman" w:hAnsi="Book Antiqua" w:cs="Times New Roman"/>
          <w:b/>
          <w:sz w:val="24"/>
          <w:szCs w:val="24"/>
          <w:lang w:val="en-US"/>
        </w:rPr>
        <w:t>Aroca et al., 2010</w:t>
      </w:r>
      <w:r>
        <w:rPr>
          <w:rFonts w:ascii="Book Antiqua" w:eastAsia="Times New Roman" w:hAnsi="Book Antiqua" w:cs="Times New Roman"/>
          <w:sz w:val="24"/>
          <w:szCs w:val="24"/>
          <w:lang w:val="en-US"/>
        </w:rPr>
        <w:t xml:space="preserve">; </w:t>
      </w:r>
      <w:r>
        <w:rPr>
          <w:rFonts w:ascii="Book Antiqua" w:eastAsia="Times New Roman" w:hAnsi="Book Antiqua" w:cs="Times New Roman"/>
          <w:b/>
          <w:sz w:val="24"/>
          <w:szCs w:val="24"/>
          <w:lang w:val="en-US"/>
        </w:rPr>
        <w:t>Gramaje et al., 2018</w:t>
      </w:r>
      <w:r>
        <w:rPr>
          <w:rFonts w:ascii="Book Antiqua" w:eastAsia="Times New Roman" w:hAnsi="Book Antiqua" w:cs="Times New Roman"/>
          <w:sz w:val="24"/>
          <w:szCs w:val="24"/>
          <w:lang w:val="en-US"/>
        </w:rPr>
        <w:t>). Dodatni rizični faktori obuhvataju nedovoljnu higijenu alata i opreme, kao i nepravilno skladištenje reznica i kalemljenih biljaka (</w:t>
      </w:r>
      <w:r>
        <w:rPr>
          <w:rFonts w:ascii="Book Antiqua" w:eastAsia="Times New Roman" w:hAnsi="Book Antiqua" w:cs="Times New Roman"/>
          <w:b/>
          <w:sz w:val="24"/>
          <w:szCs w:val="24"/>
          <w:lang w:val="en-US"/>
        </w:rPr>
        <w:t>Di Marco et al., 2019</w:t>
      </w:r>
      <w:r>
        <w:rPr>
          <w:rFonts w:ascii="Book Antiqua" w:eastAsia="Times New Roman" w:hAnsi="Book Antiqua" w:cs="Times New Roman"/>
          <w:sz w:val="24"/>
          <w:szCs w:val="24"/>
          <w:lang w:val="en-US"/>
        </w:rPr>
        <w:t xml:space="preserve">). S obzirom na to da domaća proizvodnja sadnog materijala vinove loze u Crnoj Gori ne zadovoljava u potpunosti potrebe vinogradara, značajan dio sadnog materijala se uvozi, uključujući i kontejnerske biljke starosti dvije ili više godina. </w:t>
      </w:r>
    </w:p>
    <w:p w14:paraId="3F23DFED" w14:textId="77777777" w:rsidR="003801E8" w:rsidRDefault="003801E8">
      <w:pPr>
        <w:spacing w:before="100" w:beforeAutospacing="1" w:after="100" w:afterAutospacing="1" w:line="360" w:lineRule="auto"/>
        <w:jc w:val="both"/>
        <w:rPr>
          <w:rFonts w:ascii="Book Antiqua" w:eastAsia="Times New Roman" w:hAnsi="Book Antiqua" w:cs="Times New Roman"/>
          <w:sz w:val="24"/>
          <w:szCs w:val="24"/>
          <w:lang w:val="en-US"/>
        </w:rPr>
      </w:pPr>
    </w:p>
    <w:p w14:paraId="5E5267E7"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 xml:space="preserve">U tom kontekstu, ovo istraživanje predstavlja prvu studiju u Crnoj Gori koja razmatra potencijalnu ulogu domaćeg i uvoznog sadnog materijala u širenju eska oboljenja i drugih bolesti drveta vinove loze. Iako uzorkovani sadni material u ovom istraživanju nije pokazivao vidljive spoljašnje simptome, na poprečnim i </w:t>
      </w:r>
      <w:r>
        <w:rPr>
          <w:rFonts w:ascii="Book Antiqua" w:eastAsia="Times New Roman" w:hAnsi="Book Antiqua" w:cs="Times New Roman"/>
          <w:sz w:val="24"/>
          <w:szCs w:val="24"/>
          <w:lang w:val="en-US"/>
        </w:rPr>
        <w:lastRenderedPageBreak/>
        <w:t xml:space="preserve">uzdužnim presjecima uočene su crne tačke i nekrotične zone, u skladu sa nalazima </w:t>
      </w:r>
      <w:r>
        <w:rPr>
          <w:rFonts w:ascii="Book Antiqua" w:eastAsia="Times New Roman" w:hAnsi="Book Antiqua" w:cs="Times New Roman"/>
          <w:b/>
          <w:sz w:val="24"/>
          <w:szCs w:val="24"/>
          <w:lang w:val="en-US"/>
        </w:rPr>
        <w:t>Carbone et al. (2022)</w:t>
      </w:r>
      <w:r>
        <w:rPr>
          <w:rFonts w:ascii="Book Antiqua" w:eastAsia="Times New Roman" w:hAnsi="Book Antiqua" w:cs="Times New Roman"/>
          <w:sz w:val="24"/>
          <w:szCs w:val="24"/>
          <w:lang w:val="en-US"/>
        </w:rPr>
        <w:t>.</w:t>
      </w:r>
    </w:p>
    <w:p w14:paraId="1A68FCD6"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 xml:space="preserve">U asimptomatskom sadnom materijalu vinove loze, bez obzira na porijeklo, identifikovane su fitopatogene gljive iz roda </w:t>
      </w:r>
      <w:r>
        <w:rPr>
          <w:rFonts w:ascii="Book Antiqua" w:eastAsia="Times New Roman" w:hAnsi="Book Antiqua" w:cs="Times New Roman"/>
          <w:i/>
          <w:iCs/>
          <w:sz w:val="24"/>
          <w:szCs w:val="24"/>
          <w:lang w:val="en-US"/>
        </w:rPr>
        <w:t>Botryosphaeria</w:t>
      </w:r>
      <w:r>
        <w:rPr>
          <w:rFonts w:ascii="Book Antiqua" w:eastAsia="Times New Roman" w:hAnsi="Book Antiqua" w:cs="Times New Roman"/>
          <w:sz w:val="24"/>
          <w:szCs w:val="24"/>
          <w:lang w:val="en-US"/>
        </w:rPr>
        <w:t xml:space="preserve">, što je saglasno rezultatima </w:t>
      </w:r>
      <w:r>
        <w:rPr>
          <w:rFonts w:ascii="Book Antiqua" w:eastAsia="Times New Roman" w:hAnsi="Book Antiqua" w:cs="Times New Roman"/>
          <w:b/>
          <w:sz w:val="24"/>
          <w:szCs w:val="24"/>
          <w:lang w:val="en-US"/>
        </w:rPr>
        <w:t>Rego et al. (2009)</w:t>
      </w:r>
      <w:r>
        <w:rPr>
          <w:rFonts w:ascii="Book Antiqua" w:eastAsia="Times New Roman" w:hAnsi="Book Antiqua" w:cs="Times New Roman"/>
          <w:sz w:val="24"/>
          <w:szCs w:val="24"/>
          <w:lang w:val="en-US"/>
        </w:rPr>
        <w:t xml:space="preserve"> i </w:t>
      </w:r>
      <w:r>
        <w:rPr>
          <w:rFonts w:ascii="Book Antiqua" w:eastAsia="Times New Roman" w:hAnsi="Book Antiqua" w:cs="Times New Roman"/>
          <w:b/>
          <w:sz w:val="24"/>
          <w:szCs w:val="24"/>
          <w:lang w:val="en-US"/>
        </w:rPr>
        <w:t>Akgul et al. (2023)</w:t>
      </w:r>
      <w:r>
        <w:rPr>
          <w:rFonts w:ascii="Book Antiqua" w:eastAsia="Times New Roman" w:hAnsi="Book Antiqua" w:cs="Times New Roman"/>
          <w:sz w:val="24"/>
          <w:szCs w:val="24"/>
          <w:lang w:val="en-US"/>
        </w:rPr>
        <w:t xml:space="preserve">. Za razliku od istraživanja </w:t>
      </w:r>
      <w:r>
        <w:rPr>
          <w:rFonts w:ascii="Book Antiqua" w:eastAsia="Times New Roman" w:hAnsi="Book Antiqua" w:cs="Times New Roman"/>
          <w:b/>
          <w:sz w:val="24"/>
          <w:szCs w:val="24"/>
          <w:lang w:val="en-US"/>
        </w:rPr>
        <w:t>Akgul et al. (2023)</w:t>
      </w:r>
      <w:r>
        <w:rPr>
          <w:rFonts w:ascii="Book Antiqua" w:eastAsia="Times New Roman" w:hAnsi="Book Antiqua" w:cs="Times New Roman"/>
          <w:sz w:val="24"/>
          <w:szCs w:val="24"/>
          <w:lang w:val="en-US"/>
        </w:rPr>
        <w:t xml:space="preserve">, u ovom radu u sadnom materijalu nijesu detektovani </w:t>
      </w:r>
      <w:r>
        <w:rPr>
          <w:rFonts w:ascii="Book Antiqua" w:eastAsia="Times New Roman" w:hAnsi="Book Antiqua" w:cs="Times New Roman"/>
          <w:i/>
          <w:iCs/>
          <w:sz w:val="24"/>
          <w:szCs w:val="24"/>
          <w:lang w:val="en-US"/>
        </w:rPr>
        <w:t>P. minimum</w:t>
      </w:r>
      <w:r>
        <w:rPr>
          <w:rFonts w:ascii="Book Antiqua" w:eastAsia="Times New Roman" w:hAnsi="Book Antiqua" w:cs="Times New Roman"/>
          <w:sz w:val="24"/>
          <w:szCs w:val="24"/>
          <w:lang w:val="en-US"/>
        </w:rPr>
        <w:t xml:space="preserve"> i </w:t>
      </w:r>
      <w:r>
        <w:rPr>
          <w:rFonts w:ascii="Book Antiqua" w:eastAsia="Times New Roman" w:hAnsi="Book Antiqua" w:cs="Times New Roman"/>
          <w:i/>
          <w:iCs/>
          <w:sz w:val="24"/>
          <w:szCs w:val="24"/>
          <w:lang w:val="en-US"/>
        </w:rPr>
        <w:t>P. chlamydospora</w:t>
      </w:r>
      <w:r>
        <w:rPr>
          <w:rFonts w:ascii="Book Antiqua" w:eastAsia="Times New Roman" w:hAnsi="Book Antiqua" w:cs="Times New Roman"/>
          <w:sz w:val="24"/>
          <w:szCs w:val="24"/>
          <w:lang w:val="en-US"/>
        </w:rPr>
        <w:t xml:space="preserve">. Međutim, posebno zabrinjava identifikacija vrste </w:t>
      </w:r>
      <w:r>
        <w:rPr>
          <w:rFonts w:ascii="Book Antiqua" w:eastAsia="Times New Roman" w:hAnsi="Book Antiqua" w:cs="Times New Roman"/>
          <w:i/>
          <w:iCs/>
          <w:sz w:val="24"/>
          <w:szCs w:val="24"/>
          <w:lang w:val="en-US"/>
        </w:rPr>
        <w:t>N. parvum</w:t>
      </w:r>
      <w:r>
        <w:rPr>
          <w:rFonts w:ascii="Book Antiqua" w:eastAsia="Times New Roman" w:hAnsi="Book Antiqua" w:cs="Times New Roman"/>
          <w:sz w:val="24"/>
          <w:szCs w:val="24"/>
          <w:lang w:val="en-US"/>
        </w:rPr>
        <w:t>, koja se odlikuje visokim stepenom virulentnosti i izraženom prilagodljivošću različitim klimatskim uslovima (</w:t>
      </w:r>
      <w:r>
        <w:rPr>
          <w:rFonts w:ascii="Book Antiqua" w:eastAsia="Times New Roman" w:hAnsi="Book Antiqua" w:cs="Times New Roman"/>
          <w:b/>
          <w:sz w:val="24"/>
          <w:szCs w:val="24"/>
          <w:lang w:val="en-US"/>
        </w:rPr>
        <w:t>Urbez-Torres i Gubler, 2009</w:t>
      </w:r>
      <w:r>
        <w:rPr>
          <w:rFonts w:ascii="Book Antiqua" w:eastAsia="Times New Roman" w:hAnsi="Book Antiqua" w:cs="Times New Roman"/>
          <w:sz w:val="24"/>
          <w:szCs w:val="24"/>
          <w:lang w:val="en-US"/>
        </w:rPr>
        <w:t>), što ukazuje na potencijalno značajan fitosanitarni rizik za vinogradarsku proizvodnju u Crnoj Gori.</w:t>
      </w:r>
    </w:p>
    <w:p w14:paraId="48B85125"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Procjena osjetljivosti različitih sorti vinove loze na eska oboljenje u Crnoj Gori pokazala je značajne razlike među sortama. Visok stepen osjetljivosti uočen je kod svih autohtonih crnogorskih sorti (</w:t>
      </w:r>
      <w:r>
        <w:rPr>
          <w:rFonts w:ascii="Book Antiqua" w:eastAsia="Times New Roman" w:hAnsi="Book Antiqua" w:cs="Times New Roman"/>
          <w:iCs/>
          <w:sz w:val="24"/>
          <w:szCs w:val="24"/>
          <w:lang w:val="en-US"/>
        </w:rPr>
        <w:t>Vranac, Kratošija, Krstač, Čubrica</w:t>
      </w:r>
      <w:r>
        <w:rPr>
          <w:rFonts w:ascii="Book Antiqua" w:eastAsia="Times New Roman" w:hAnsi="Book Antiqua" w:cs="Times New Roman"/>
          <w:sz w:val="24"/>
          <w:szCs w:val="24"/>
          <w:lang w:val="en-US"/>
        </w:rPr>
        <w:t>), kao i kod pojedinih stonih sorti (</w:t>
      </w:r>
      <w:r>
        <w:rPr>
          <w:rFonts w:ascii="Book Antiqua" w:eastAsia="Times New Roman" w:hAnsi="Book Antiqua" w:cs="Times New Roman"/>
          <w:iCs/>
          <w:sz w:val="24"/>
          <w:szCs w:val="24"/>
          <w:lang w:val="en-US"/>
        </w:rPr>
        <w:t>Kardinal, Ribijer, Afus, Viktorija</w:t>
      </w:r>
      <w:r>
        <w:rPr>
          <w:rFonts w:ascii="Book Antiqua" w:eastAsia="Times New Roman" w:hAnsi="Book Antiqua" w:cs="Times New Roman"/>
          <w:sz w:val="24"/>
          <w:szCs w:val="24"/>
          <w:lang w:val="en-US"/>
        </w:rPr>
        <w:t xml:space="preserve">). Manji stepen osjetljivosti zabilježen je kod sorti </w:t>
      </w:r>
      <w:r>
        <w:rPr>
          <w:rFonts w:ascii="Book Antiqua" w:eastAsia="Times New Roman" w:hAnsi="Book Antiqua" w:cs="Times New Roman"/>
          <w:iCs/>
          <w:sz w:val="24"/>
          <w:szCs w:val="24"/>
          <w:lang w:val="en-US"/>
        </w:rPr>
        <w:t>Syrah, Merlot, Sauvignon blanc, Pinot noir</w:t>
      </w:r>
      <w:r>
        <w:rPr>
          <w:rFonts w:ascii="Book Antiqua" w:eastAsia="Times New Roman" w:hAnsi="Book Antiqua" w:cs="Times New Roman"/>
          <w:sz w:val="24"/>
          <w:szCs w:val="24"/>
          <w:lang w:val="en-US"/>
        </w:rPr>
        <w:t xml:space="preserve"> i </w:t>
      </w:r>
      <w:r>
        <w:rPr>
          <w:rFonts w:ascii="Book Antiqua" w:eastAsia="Times New Roman" w:hAnsi="Book Antiqua" w:cs="Times New Roman"/>
          <w:iCs/>
          <w:sz w:val="24"/>
          <w:szCs w:val="24"/>
          <w:lang w:val="en-US"/>
        </w:rPr>
        <w:t>Malvazija</w:t>
      </w:r>
      <w:r>
        <w:rPr>
          <w:rFonts w:ascii="Book Antiqua" w:eastAsia="Times New Roman" w:hAnsi="Book Antiqua" w:cs="Times New Roman"/>
          <w:sz w:val="24"/>
          <w:szCs w:val="24"/>
          <w:lang w:val="en-US"/>
        </w:rPr>
        <w:t xml:space="preserve">, što je u saglasnosti sa nalazima </w:t>
      </w:r>
      <w:r>
        <w:rPr>
          <w:rFonts w:ascii="Book Antiqua" w:eastAsia="Times New Roman" w:hAnsi="Book Antiqua" w:cs="Times New Roman"/>
          <w:b/>
          <w:sz w:val="24"/>
          <w:szCs w:val="24"/>
          <w:lang w:val="en-US"/>
        </w:rPr>
        <w:t>Feliciano et al. (2004)</w:t>
      </w:r>
      <w:r>
        <w:rPr>
          <w:rFonts w:ascii="Book Antiqua" w:eastAsia="Times New Roman" w:hAnsi="Book Antiqua" w:cs="Times New Roman"/>
          <w:sz w:val="24"/>
          <w:szCs w:val="24"/>
          <w:lang w:val="en-US"/>
        </w:rPr>
        <w:t xml:space="preserve">, </w:t>
      </w:r>
      <w:r>
        <w:rPr>
          <w:rFonts w:ascii="Book Antiqua" w:eastAsia="Times New Roman" w:hAnsi="Book Antiqua" w:cs="Times New Roman"/>
          <w:b/>
          <w:sz w:val="24"/>
          <w:szCs w:val="24"/>
          <w:lang w:val="en-US"/>
        </w:rPr>
        <w:t>Larignon et al. (2009)</w:t>
      </w:r>
      <w:r>
        <w:rPr>
          <w:rFonts w:ascii="Book Antiqua" w:eastAsia="Times New Roman" w:hAnsi="Book Antiqua" w:cs="Times New Roman"/>
          <w:sz w:val="24"/>
          <w:szCs w:val="24"/>
          <w:lang w:val="en-US"/>
        </w:rPr>
        <w:t xml:space="preserve"> i </w:t>
      </w:r>
      <w:r>
        <w:rPr>
          <w:rFonts w:ascii="Book Antiqua" w:eastAsia="Times New Roman" w:hAnsi="Book Antiqua" w:cs="Times New Roman"/>
          <w:b/>
          <w:sz w:val="24"/>
          <w:szCs w:val="24"/>
          <w:lang w:val="en-US"/>
        </w:rPr>
        <w:t>Kortekamp (2011)</w:t>
      </w:r>
      <w:r>
        <w:rPr>
          <w:rFonts w:ascii="Book Antiqua" w:eastAsia="Times New Roman" w:hAnsi="Book Antiqua" w:cs="Times New Roman"/>
          <w:sz w:val="24"/>
          <w:szCs w:val="24"/>
          <w:lang w:val="en-US"/>
        </w:rPr>
        <w:t>. Iako do sada nije prijavljena nijedna potpuno rezistentna sorta (</w:t>
      </w:r>
      <w:r>
        <w:rPr>
          <w:rFonts w:ascii="Book Antiqua" w:eastAsia="Times New Roman" w:hAnsi="Book Antiqua" w:cs="Times New Roman"/>
          <w:b/>
          <w:sz w:val="24"/>
          <w:szCs w:val="24"/>
          <w:lang w:val="en-US"/>
        </w:rPr>
        <w:t>Bertsch et al., 2013</w:t>
      </w:r>
      <w:r>
        <w:rPr>
          <w:rFonts w:ascii="Book Antiqua" w:eastAsia="Times New Roman" w:hAnsi="Book Antiqua" w:cs="Times New Roman"/>
          <w:sz w:val="24"/>
          <w:szCs w:val="24"/>
          <w:lang w:val="en-US"/>
        </w:rPr>
        <w:t xml:space="preserve">), razlike u otpornosti mogu biti povezane sa prečnikom sprovodnih sudova ksilema pojedinih sorti, kako sugerišu </w:t>
      </w:r>
      <w:r>
        <w:rPr>
          <w:rFonts w:ascii="Book Antiqua" w:eastAsia="Times New Roman" w:hAnsi="Book Antiqua" w:cs="Times New Roman"/>
          <w:b/>
          <w:sz w:val="24"/>
          <w:szCs w:val="24"/>
          <w:lang w:val="en-US"/>
        </w:rPr>
        <w:t>Pouzoulet et al. (2017)</w:t>
      </w:r>
      <w:r>
        <w:rPr>
          <w:rFonts w:ascii="Book Antiqua" w:eastAsia="Times New Roman" w:hAnsi="Book Antiqua" w:cs="Times New Roman"/>
          <w:sz w:val="24"/>
          <w:szCs w:val="24"/>
          <w:lang w:val="en-US"/>
        </w:rPr>
        <w:t>.</w:t>
      </w:r>
    </w:p>
    <w:p w14:paraId="620DC325" w14:textId="77777777" w:rsidR="003801E8" w:rsidRDefault="003801E8">
      <w:pPr>
        <w:spacing w:before="100" w:beforeAutospacing="1" w:after="100" w:afterAutospacing="1" w:line="360" w:lineRule="auto"/>
        <w:jc w:val="both"/>
        <w:rPr>
          <w:rFonts w:ascii="Book Antiqua" w:eastAsia="Times New Roman" w:hAnsi="Book Antiqua" w:cs="Times New Roman"/>
          <w:sz w:val="24"/>
          <w:szCs w:val="24"/>
          <w:lang w:val="en-US"/>
        </w:rPr>
      </w:pPr>
    </w:p>
    <w:p w14:paraId="45043FF4"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Pored genetskih faktora, značajan uticaj na ekspresiju folijarnih simptoma ima i podloga na koju je vinova loza kalemljena. Podloga značajno utiče na kontrolu vodnog statusa biljke, naročito u uslovima deficita vode (</w:t>
      </w:r>
      <w:r>
        <w:rPr>
          <w:rFonts w:ascii="Book Antiqua" w:eastAsia="Times New Roman" w:hAnsi="Book Antiqua" w:cs="Times New Roman"/>
          <w:b/>
          <w:sz w:val="24"/>
          <w:szCs w:val="24"/>
          <w:lang w:val="en-US"/>
        </w:rPr>
        <w:t>Tramontini et al., 2013</w:t>
      </w:r>
      <w:r>
        <w:rPr>
          <w:rFonts w:ascii="Book Antiqua" w:eastAsia="Times New Roman" w:hAnsi="Book Antiqua" w:cs="Times New Roman"/>
          <w:sz w:val="24"/>
          <w:szCs w:val="24"/>
          <w:lang w:val="en-US"/>
        </w:rPr>
        <w:t xml:space="preserve">; </w:t>
      </w:r>
      <w:r>
        <w:rPr>
          <w:rFonts w:ascii="Book Antiqua" w:eastAsia="Times New Roman" w:hAnsi="Book Antiqua" w:cs="Times New Roman"/>
          <w:b/>
          <w:sz w:val="24"/>
          <w:szCs w:val="24"/>
          <w:lang w:val="en-US"/>
        </w:rPr>
        <w:t>Murolo i Romanazzi, 2014</w:t>
      </w:r>
      <w:r>
        <w:rPr>
          <w:rFonts w:ascii="Book Antiqua" w:eastAsia="Times New Roman" w:hAnsi="Book Antiqua" w:cs="Times New Roman"/>
          <w:sz w:val="24"/>
          <w:szCs w:val="24"/>
          <w:lang w:val="en-US"/>
        </w:rPr>
        <w:t xml:space="preserve">). Ranija istraživanja u Crnoj Gori takođe su ukazala </w:t>
      </w:r>
      <w:r>
        <w:rPr>
          <w:rFonts w:ascii="Book Antiqua" w:eastAsia="Times New Roman" w:hAnsi="Book Antiqua" w:cs="Times New Roman"/>
          <w:sz w:val="24"/>
          <w:szCs w:val="24"/>
          <w:lang w:val="en-US"/>
        </w:rPr>
        <w:lastRenderedPageBreak/>
        <w:t>na veću otpornost nekalemljene vinove loze na eska oboljenje (</w:t>
      </w:r>
      <w:r>
        <w:rPr>
          <w:rFonts w:ascii="Book Antiqua" w:eastAsia="Times New Roman" w:hAnsi="Book Antiqua" w:cs="Times New Roman"/>
          <w:b/>
          <w:sz w:val="24"/>
          <w:szCs w:val="24"/>
          <w:lang w:val="en-US"/>
        </w:rPr>
        <w:t>Latinović, 2010</w:t>
      </w:r>
      <w:r>
        <w:rPr>
          <w:rFonts w:ascii="Book Antiqua" w:eastAsia="Times New Roman" w:hAnsi="Book Antiqua" w:cs="Times New Roman"/>
          <w:sz w:val="24"/>
          <w:szCs w:val="24"/>
          <w:lang w:val="en-US"/>
        </w:rPr>
        <w:t>), što je potvrđeno i tokom ovog istraživanja.</w:t>
      </w:r>
    </w:p>
    <w:p w14:paraId="4F16417E"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U Crnoj Gori, pojava prvih simptoma eska oboljenja obično se javlja sredinom juna, u skladu sa većinom ranijih izvještaja (</w:t>
      </w:r>
      <w:r>
        <w:rPr>
          <w:rFonts w:ascii="Book Antiqua" w:eastAsia="Times New Roman" w:hAnsi="Book Antiqua" w:cs="Times New Roman"/>
          <w:b/>
          <w:sz w:val="24"/>
          <w:szCs w:val="24"/>
          <w:lang w:val="en-US"/>
        </w:rPr>
        <w:t>Mugnai et al., 1999</w:t>
      </w:r>
      <w:r>
        <w:rPr>
          <w:rFonts w:ascii="Book Antiqua" w:eastAsia="Times New Roman" w:hAnsi="Book Antiqua" w:cs="Times New Roman"/>
          <w:sz w:val="24"/>
          <w:szCs w:val="24"/>
          <w:lang w:val="en-US"/>
        </w:rPr>
        <w:t xml:space="preserve">; </w:t>
      </w:r>
      <w:r>
        <w:rPr>
          <w:rFonts w:ascii="Book Antiqua" w:eastAsia="Times New Roman" w:hAnsi="Book Antiqua" w:cs="Times New Roman"/>
          <w:b/>
          <w:sz w:val="24"/>
          <w:szCs w:val="24"/>
          <w:lang w:val="en-US"/>
        </w:rPr>
        <w:t>Surico et al., 2006</w:t>
      </w:r>
      <w:r>
        <w:rPr>
          <w:rFonts w:ascii="Book Antiqua" w:eastAsia="Times New Roman" w:hAnsi="Book Antiqua" w:cs="Times New Roman"/>
          <w:sz w:val="24"/>
          <w:szCs w:val="24"/>
          <w:lang w:val="en-US"/>
        </w:rPr>
        <w:t xml:space="preserve">; </w:t>
      </w:r>
      <w:r>
        <w:rPr>
          <w:rFonts w:ascii="Book Antiqua" w:eastAsia="Times New Roman" w:hAnsi="Book Antiqua" w:cs="Times New Roman"/>
          <w:b/>
          <w:sz w:val="24"/>
          <w:szCs w:val="24"/>
          <w:lang w:val="en-US"/>
        </w:rPr>
        <w:t>Eskalen et al., 2007</w:t>
      </w:r>
      <w:r>
        <w:rPr>
          <w:rFonts w:ascii="Book Antiqua" w:eastAsia="Times New Roman" w:hAnsi="Book Antiqua" w:cs="Times New Roman"/>
          <w:sz w:val="24"/>
          <w:szCs w:val="24"/>
          <w:lang w:val="en-US"/>
        </w:rPr>
        <w:t xml:space="preserve">). </w:t>
      </w:r>
    </w:p>
    <w:p w14:paraId="23DB4E0D"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Ipak, u 2024. godini prvi simptomi zabilježeni su već 20. maja, što predstavlja najraniju pojavu u zemlji. Najveći intenzitet pojave simptoma u crnogorskim agroekološkim uslovima registrovan je krajem jula i početkom avgusta, slično kao u centralnoj Italiji (</w:t>
      </w:r>
      <w:r>
        <w:rPr>
          <w:rFonts w:ascii="Book Antiqua" w:eastAsia="Times New Roman" w:hAnsi="Book Antiqua" w:cs="Times New Roman"/>
          <w:b/>
          <w:sz w:val="24"/>
          <w:szCs w:val="24"/>
          <w:lang w:val="en-US"/>
        </w:rPr>
        <w:t>Calzarano et al., 2018</w:t>
      </w:r>
      <w:r>
        <w:rPr>
          <w:rFonts w:ascii="Book Antiqua" w:eastAsia="Times New Roman" w:hAnsi="Book Antiqua" w:cs="Times New Roman"/>
          <w:sz w:val="24"/>
          <w:szCs w:val="24"/>
          <w:lang w:val="en-US"/>
        </w:rPr>
        <w:t>).</w:t>
      </w:r>
    </w:p>
    <w:p w14:paraId="2F4E02F1" w14:textId="77777777" w:rsidR="003801E8" w:rsidRDefault="00E44AAE">
      <w:pPr>
        <w:spacing w:before="100" w:beforeAutospacing="1" w:after="100" w:afterAutospacing="1" w:line="360" w:lineRule="auto"/>
        <w:jc w:val="both"/>
        <w:rPr>
          <w:rFonts w:ascii="Book Antiqua" w:hAnsi="Book Antiqua"/>
        </w:rPr>
      </w:pPr>
      <w:r>
        <w:rPr>
          <w:rFonts w:ascii="Book Antiqua" w:eastAsia="Times New Roman" w:hAnsi="Book Antiqua" w:cs="Times New Roman"/>
          <w:sz w:val="24"/>
          <w:szCs w:val="24"/>
          <w:lang w:val="en-US"/>
        </w:rPr>
        <w:t xml:space="preserve">Analiza uticaja klimatskih faktora ukazuje da kišovito i prohladno proljeće doprinosi većoj incidenci folijarnih simptoma eska oboljenja, što odgovara rezultatima </w:t>
      </w:r>
      <w:r>
        <w:rPr>
          <w:rFonts w:ascii="Book Antiqua" w:eastAsia="Times New Roman" w:hAnsi="Book Antiqua" w:cs="Times New Roman"/>
          <w:b/>
          <w:sz w:val="24"/>
          <w:szCs w:val="24"/>
          <w:lang w:val="en-US"/>
        </w:rPr>
        <w:t>Claverie et al. (2025)</w:t>
      </w:r>
      <w:r>
        <w:rPr>
          <w:rFonts w:ascii="Book Antiqua" w:eastAsia="Times New Roman" w:hAnsi="Book Antiqua" w:cs="Times New Roman"/>
          <w:sz w:val="24"/>
          <w:szCs w:val="24"/>
          <w:lang w:val="en-US"/>
        </w:rPr>
        <w:t xml:space="preserve"> u Francuskoj. Takođe, utvrđena korelacija između kumulativne incidence i povećane količine padavina tokom juna potvrđuje nalaze </w:t>
      </w:r>
      <w:r>
        <w:rPr>
          <w:rFonts w:ascii="Book Antiqua" w:eastAsia="Times New Roman" w:hAnsi="Book Antiqua" w:cs="Times New Roman"/>
          <w:b/>
          <w:sz w:val="24"/>
          <w:szCs w:val="24"/>
          <w:lang w:val="en-US"/>
        </w:rPr>
        <w:t>Monod et al. (2025)</w:t>
      </w:r>
      <w:r>
        <w:rPr>
          <w:rFonts w:ascii="Book Antiqua" w:eastAsia="Times New Roman" w:hAnsi="Book Antiqua" w:cs="Times New Roman"/>
          <w:sz w:val="24"/>
          <w:szCs w:val="24"/>
          <w:lang w:val="en-US"/>
        </w:rPr>
        <w:t xml:space="preserve">, sugerišući važnu ulogu hidroloških faktora u epidemiologiji eska oboljenja. </w:t>
      </w:r>
      <w:r>
        <w:rPr>
          <w:rFonts w:ascii="Book Antiqua" w:hAnsi="Book Antiqua"/>
          <w:sz w:val="24"/>
          <w:szCs w:val="24"/>
        </w:rPr>
        <w:t xml:space="preserve">Eska oboljenje ima značajan ekonomski uticaj zbog potrebe za zamjenom oboljelih čokota u vinogradima, što ističu </w:t>
      </w:r>
      <w:r>
        <w:rPr>
          <w:rFonts w:ascii="Book Antiqua" w:hAnsi="Book Antiqua"/>
          <w:b/>
          <w:sz w:val="24"/>
          <w:szCs w:val="24"/>
        </w:rPr>
        <w:t>Kuntzman et al. (2010)</w:t>
      </w:r>
      <w:r>
        <w:rPr>
          <w:rFonts w:ascii="Book Antiqua" w:hAnsi="Book Antiqua"/>
          <w:sz w:val="24"/>
          <w:szCs w:val="24"/>
        </w:rPr>
        <w:t xml:space="preserve"> i </w:t>
      </w:r>
      <w:r>
        <w:rPr>
          <w:rFonts w:ascii="Book Antiqua" w:hAnsi="Book Antiqua"/>
          <w:b/>
          <w:sz w:val="24"/>
          <w:szCs w:val="24"/>
        </w:rPr>
        <w:t>Bruez et al. (2013)</w:t>
      </w:r>
      <w:r>
        <w:rPr>
          <w:rFonts w:ascii="Book Antiqua" w:hAnsi="Book Antiqua"/>
          <w:sz w:val="24"/>
          <w:szCs w:val="24"/>
        </w:rPr>
        <w:t xml:space="preserve">. Iako u Crnoj Gori ne postoje sistematizovani parametri za finansijsku procjenu gubitaka uzrokovanih ovom bolešću, njen uticaj je evidentan. Primjer vinograda Biotehničkog fakulteta, starog 21 godinu i bez revitalizacije nakon sušenja vinove loze, pokazuje 31,67% praznih mjesta u 2024. godini, što je slično nalazima </w:t>
      </w:r>
      <w:r>
        <w:rPr>
          <w:rFonts w:ascii="Book Antiqua" w:hAnsi="Book Antiqua"/>
          <w:b/>
          <w:sz w:val="24"/>
          <w:szCs w:val="24"/>
        </w:rPr>
        <w:t>Dewasme et al. (2022)</w:t>
      </w:r>
      <w:r>
        <w:rPr>
          <w:rFonts w:ascii="Book Antiqua" w:hAnsi="Book Antiqua"/>
          <w:sz w:val="24"/>
          <w:szCs w:val="24"/>
        </w:rPr>
        <w:t>, koji navode da eska može izazvati sušenje do 40% biljaka u vinogradu, uz napomenu da treba uzeti u obzir i druge faktore koji doprinose ovom procesu.</w:t>
      </w:r>
    </w:p>
    <w:p w14:paraId="5ED3B68F" w14:textId="77777777" w:rsidR="003801E8" w:rsidRDefault="00E44AAE">
      <w:pPr>
        <w:pStyle w:val="NormalWeb"/>
        <w:spacing w:line="360" w:lineRule="auto"/>
        <w:jc w:val="both"/>
        <w:rPr>
          <w:rFonts w:ascii="Book Antiqua" w:hAnsi="Book Antiqua"/>
        </w:rPr>
      </w:pPr>
      <w:r>
        <w:rPr>
          <w:rFonts w:ascii="Book Antiqua" w:hAnsi="Book Antiqua"/>
        </w:rPr>
        <w:t xml:space="preserve">Pored gubitka čokota, značajan je i pad prinosa jer u istraživanju je utvrđeno smanjenje prinosa od 43,47%, što je u skladu sa rezultatima </w:t>
      </w:r>
      <w:r>
        <w:rPr>
          <w:rFonts w:ascii="Book Antiqua" w:hAnsi="Book Antiqua"/>
          <w:b/>
        </w:rPr>
        <w:t>Calzarano et al. (2001), Calzarano et al. (2004)</w:t>
      </w:r>
      <w:r>
        <w:rPr>
          <w:rFonts w:ascii="Book Antiqua" w:hAnsi="Book Antiqua"/>
        </w:rPr>
        <w:t xml:space="preserve">, </w:t>
      </w:r>
      <w:r>
        <w:rPr>
          <w:rFonts w:ascii="Book Antiqua" w:hAnsi="Book Antiqua"/>
          <w:b/>
        </w:rPr>
        <w:t>Andreini et al. (2009)</w:t>
      </w:r>
      <w:r>
        <w:rPr>
          <w:rFonts w:ascii="Book Antiqua" w:hAnsi="Book Antiqua"/>
        </w:rPr>
        <w:t xml:space="preserve"> i </w:t>
      </w:r>
      <w:r>
        <w:rPr>
          <w:rFonts w:ascii="Book Antiqua" w:hAnsi="Book Antiqua"/>
          <w:b/>
        </w:rPr>
        <w:t>Dewasme et al. (2022)</w:t>
      </w:r>
      <w:r>
        <w:rPr>
          <w:rFonts w:ascii="Book Antiqua" w:hAnsi="Book Antiqua"/>
        </w:rPr>
        <w:t xml:space="preserve">, koji navode da eska može smanjiti prinos i do 50%. Pojava hroničnih simptoma eskе </w:t>
      </w:r>
      <w:r>
        <w:rPr>
          <w:rFonts w:ascii="Book Antiqua" w:hAnsi="Book Antiqua"/>
        </w:rPr>
        <w:lastRenderedPageBreak/>
        <w:t>oboljenja narušava fotosintetski proces u čokotima (</w:t>
      </w:r>
      <w:r>
        <w:rPr>
          <w:rFonts w:ascii="Book Antiqua" w:hAnsi="Book Antiqua"/>
          <w:b/>
        </w:rPr>
        <w:t>Petit et al., 2006</w:t>
      </w:r>
      <w:r>
        <w:rPr>
          <w:rFonts w:ascii="Book Antiqua" w:hAnsi="Book Antiqua"/>
        </w:rPr>
        <w:t>), što indirektno utiče i na kvalitet grožđa. U ovom istraživanju šira dobijena od grožđa sa oboljelih čokota pokazala je 32,59% niži sadržaj šećera i 27,85% viši sadržaj ukupnih kiselina u odnosu na grožđe sa zdravih čokota.</w:t>
      </w:r>
    </w:p>
    <w:p w14:paraId="7B0F7213" w14:textId="77777777" w:rsidR="003801E8" w:rsidRDefault="00E44AAE">
      <w:pPr>
        <w:pStyle w:val="NormalWeb"/>
        <w:spacing w:line="360" w:lineRule="auto"/>
        <w:jc w:val="both"/>
        <w:rPr>
          <w:rFonts w:ascii="Book Antiqua" w:hAnsi="Book Antiqua"/>
        </w:rPr>
      </w:pPr>
      <w:r>
        <w:rPr>
          <w:rFonts w:ascii="Book Antiqua" w:hAnsi="Book Antiqua"/>
        </w:rPr>
        <w:t xml:space="preserve">Rezultati o uticaju eska oboljenja na kvalitet grožđa, a posredno i vina, korespondiraju sa nalazima </w:t>
      </w:r>
      <w:r>
        <w:rPr>
          <w:rFonts w:ascii="Book Antiqua" w:hAnsi="Book Antiqua"/>
          <w:b/>
        </w:rPr>
        <w:t>Jourdes (2016)</w:t>
      </w:r>
      <w:r>
        <w:rPr>
          <w:rFonts w:ascii="Book Antiqua" w:hAnsi="Book Antiqua"/>
        </w:rPr>
        <w:t xml:space="preserve"> u Francuskoj i </w:t>
      </w:r>
      <w:r>
        <w:rPr>
          <w:rFonts w:ascii="Book Antiqua" w:hAnsi="Book Antiqua"/>
          <w:b/>
        </w:rPr>
        <w:t>Calzarano et al. (2001)</w:t>
      </w:r>
      <w:r>
        <w:rPr>
          <w:rFonts w:ascii="Book Antiqua" w:hAnsi="Book Antiqua"/>
        </w:rPr>
        <w:t xml:space="preserve"> u Italiji, potvrđujući značaj ovog patogena za ekonomsku održivost vinogradarskih proizvodnji.</w:t>
      </w:r>
    </w:p>
    <w:p w14:paraId="1A9832D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Trenutno ne postoje jednostavne preventivne ili kurativne mjere za efikasno suzbijanje bolesti stabla vinove loze (</w:t>
      </w:r>
      <w:r>
        <w:rPr>
          <w:rFonts w:ascii="Book Antiqua" w:hAnsi="Book Antiqua" w:cs="Times New Roman"/>
          <w:b/>
          <w:color w:val="000000" w:themeColor="text1"/>
          <w:sz w:val="24"/>
          <w:szCs w:val="24"/>
          <w:lang w:val="sr-Latn-RS"/>
        </w:rPr>
        <w:t>Mondello et al., 2018</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t>Beris et al., 2022</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t>Štuskova et al., 2023</w:t>
      </w:r>
      <w:r>
        <w:rPr>
          <w:rFonts w:ascii="Book Antiqua" w:hAnsi="Book Antiqua" w:cs="Times New Roman"/>
          <w:color w:val="000000" w:themeColor="text1"/>
          <w:sz w:val="24"/>
          <w:szCs w:val="24"/>
          <w:lang w:val="sr-Latn-RS"/>
        </w:rPr>
        <w:t xml:space="preserve">). U skladu sa evropskom direktivom 2009/128/EC, koja podstiče korišćenje bioloških agenasa, sve veća pažnja se posvećuje istraživanju fungicidnog potencijala različitih mikroorganizama. Rod </w:t>
      </w:r>
      <w:r>
        <w:rPr>
          <w:rFonts w:ascii="Book Antiqua" w:hAnsi="Book Antiqua" w:cs="Times New Roman"/>
          <w:i/>
          <w:color w:val="000000" w:themeColor="text1"/>
          <w:sz w:val="24"/>
          <w:szCs w:val="24"/>
          <w:lang w:val="sr-Latn-RS"/>
        </w:rPr>
        <w:t>Trichoderma</w:t>
      </w:r>
      <w:r>
        <w:rPr>
          <w:rFonts w:ascii="Book Antiqua" w:hAnsi="Book Antiqua" w:cs="Times New Roman"/>
          <w:color w:val="000000" w:themeColor="text1"/>
          <w:sz w:val="24"/>
          <w:szCs w:val="24"/>
          <w:lang w:val="sr-Latn-RS"/>
        </w:rPr>
        <w:t xml:space="preserve"> se izdvaja kao posebno perspektivan dio mikobioma vinove loze i predstavlja osnovu za razvoj novih bioloških sredstava za zaštitu bilja (</w:t>
      </w:r>
      <w:r>
        <w:rPr>
          <w:rFonts w:ascii="Book Antiqua" w:hAnsi="Book Antiqua" w:cs="Times New Roman"/>
          <w:b/>
          <w:color w:val="000000" w:themeColor="text1"/>
          <w:sz w:val="24"/>
          <w:szCs w:val="24"/>
          <w:lang w:val="sr-Latn-RS"/>
        </w:rPr>
        <w:t>Almeida et al., 2020</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t>Aguire et al., 2023</w:t>
      </w:r>
      <w:r>
        <w:rPr>
          <w:rFonts w:ascii="Book Antiqua" w:hAnsi="Book Antiqua" w:cs="Times New Roman"/>
          <w:color w:val="000000" w:themeColor="text1"/>
          <w:sz w:val="24"/>
          <w:szCs w:val="24"/>
          <w:lang w:val="sr-Latn-RS"/>
        </w:rPr>
        <w:t xml:space="preserve">). Upotreba mikroorganizama mogla bi u budućnosti zamijeniti tretmane zasnovane na sintetičkim pesticidima u kontroli bolesti stabla vinove loze. Zbog toga, izolacija i identifikacija </w:t>
      </w:r>
      <w:r>
        <w:rPr>
          <w:rFonts w:ascii="Book Antiqua" w:hAnsi="Book Antiqua" w:cs="Times New Roman"/>
          <w:i/>
          <w:color w:val="000000" w:themeColor="text1"/>
          <w:sz w:val="24"/>
          <w:szCs w:val="24"/>
          <w:lang w:val="sr-Latn-RS"/>
        </w:rPr>
        <w:t>Trichoderma citrinoviride</w:t>
      </w:r>
      <w:r>
        <w:rPr>
          <w:rFonts w:ascii="Book Antiqua" w:hAnsi="Book Antiqua" w:cs="Times New Roman"/>
          <w:color w:val="000000" w:themeColor="text1"/>
          <w:sz w:val="24"/>
          <w:szCs w:val="24"/>
          <w:lang w:val="sr-Latn-RS"/>
        </w:rPr>
        <w:t xml:space="preserve"> T-CG iz mikorbioma vinove loze u Crnoj Gori predstavlja značajan doprinos ovom istraživanju. Antagonistički potencijal različitih vrsta iz roda </w:t>
      </w:r>
      <w:r>
        <w:rPr>
          <w:rFonts w:ascii="Book Antiqua" w:hAnsi="Book Antiqua" w:cs="Times New Roman"/>
          <w:i/>
          <w:color w:val="000000" w:themeColor="text1"/>
          <w:sz w:val="24"/>
          <w:szCs w:val="24"/>
          <w:lang w:val="sr-Latn-RS"/>
        </w:rPr>
        <w:t>Trichoderma</w:t>
      </w:r>
      <w:r>
        <w:rPr>
          <w:rFonts w:ascii="Book Antiqua" w:hAnsi="Book Antiqua" w:cs="Times New Roman"/>
          <w:color w:val="000000" w:themeColor="text1"/>
          <w:sz w:val="24"/>
          <w:szCs w:val="24"/>
          <w:lang w:val="sr-Latn-RS"/>
        </w:rPr>
        <w:t xml:space="preserve"> varira u zavisnosti od vrste gljive, tipa ili soja patogena, kao i temperature testiranja u </w:t>
      </w:r>
      <w:r>
        <w:rPr>
          <w:rFonts w:ascii="Book Antiqua" w:hAnsi="Book Antiqua" w:cs="Times New Roman"/>
          <w:i/>
          <w:color w:val="000000" w:themeColor="text1"/>
          <w:sz w:val="24"/>
          <w:szCs w:val="24"/>
          <w:lang w:val="sr-Latn-RS"/>
        </w:rPr>
        <w:t>in vitro</w:t>
      </w:r>
      <w:r>
        <w:rPr>
          <w:rFonts w:ascii="Book Antiqua" w:hAnsi="Book Antiqua" w:cs="Times New Roman"/>
          <w:color w:val="000000" w:themeColor="text1"/>
          <w:sz w:val="24"/>
          <w:szCs w:val="24"/>
          <w:lang w:val="sr-Latn-RS"/>
        </w:rPr>
        <w:t xml:space="preserve"> uslovima. Ipak, dosadašnji rezultati ukazuju da većina vrsta iz roda </w:t>
      </w:r>
      <w:r>
        <w:rPr>
          <w:rFonts w:ascii="Book Antiqua" w:hAnsi="Book Antiqua" w:cs="Times New Roman"/>
          <w:i/>
          <w:color w:val="000000" w:themeColor="text1"/>
          <w:sz w:val="24"/>
          <w:szCs w:val="24"/>
          <w:lang w:val="sr-Latn-RS"/>
        </w:rPr>
        <w:t xml:space="preserve">Trichoderma </w:t>
      </w:r>
      <w:r>
        <w:rPr>
          <w:rFonts w:ascii="Book Antiqua" w:hAnsi="Book Antiqua" w:cs="Times New Roman"/>
          <w:color w:val="000000" w:themeColor="text1"/>
          <w:sz w:val="24"/>
          <w:szCs w:val="24"/>
          <w:lang w:val="sr-Latn-RS"/>
        </w:rPr>
        <w:t>pokazuje značajan antagonistički efekat protiv patogena bolesti stabla vinove loze (</w:t>
      </w:r>
      <w:r>
        <w:rPr>
          <w:rFonts w:ascii="Book Antiqua" w:hAnsi="Book Antiqua" w:cs="Times New Roman"/>
          <w:b/>
          <w:color w:val="000000" w:themeColor="text1"/>
          <w:sz w:val="24"/>
          <w:szCs w:val="24"/>
          <w:lang w:val="sr-Latn-RS"/>
        </w:rPr>
        <w:t>Pollard Flamand et al., 2022</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t>Wallis, 2021</w:t>
      </w:r>
      <w:r>
        <w:rPr>
          <w:rFonts w:ascii="Book Antiqua" w:hAnsi="Book Antiqua" w:cs="Times New Roman"/>
          <w:color w:val="000000" w:themeColor="text1"/>
          <w:sz w:val="24"/>
          <w:szCs w:val="24"/>
          <w:lang w:val="sr-Latn-RS"/>
        </w:rPr>
        <w:t xml:space="preserve">; </w:t>
      </w:r>
      <w:r>
        <w:rPr>
          <w:rFonts w:ascii="Book Antiqua" w:hAnsi="Book Antiqua" w:cs="Times New Roman"/>
          <w:b/>
          <w:color w:val="000000" w:themeColor="text1"/>
          <w:sz w:val="24"/>
          <w:szCs w:val="24"/>
          <w:lang w:val="sr-Latn-RS"/>
        </w:rPr>
        <w:t>Blundell et al., 2021</w:t>
      </w:r>
      <w:r>
        <w:rPr>
          <w:rFonts w:ascii="Book Antiqua" w:hAnsi="Book Antiqua" w:cs="Times New Roman"/>
          <w:color w:val="000000" w:themeColor="text1"/>
          <w:sz w:val="24"/>
          <w:szCs w:val="24"/>
          <w:lang w:val="sr-Latn-RS"/>
        </w:rPr>
        <w:t>).</w:t>
      </w:r>
    </w:p>
    <w:p w14:paraId="5BE370B1"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Tokom ovog istraživanja, direktni </w:t>
      </w:r>
      <w:r>
        <w:rPr>
          <w:rFonts w:ascii="Book Antiqua" w:hAnsi="Book Antiqua" w:cs="Times New Roman"/>
          <w:i/>
          <w:color w:val="000000" w:themeColor="text1"/>
          <w:sz w:val="24"/>
          <w:szCs w:val="24"/>
        </w:rPr>
        <w:t>in vitro</w:t>
      </w:r>
      <w:r>
        <w:rPr>
          <w:rFonts w:ascii="Book Antiqua" w:hAnsi="Book Antiqua" w:cs="Times New Roman"/>
          <w:color w:val="000000" w:themeColor="text1"/>
          <w:sz w:val="24"/>
          <w:szCs w:val="24"/>
        </w:rPr>
        <w:t xml:space="preserve"> testovi su pokazali da </w:t>
      </w:r>
      <w:r>
        <w:rPr>
          <w:rFonts w:ascii="Book Antiqua" w:hAnsi="Book Antiqua" w:cs="Times New Roman"/>
          <w:i/>
          <w:color w:val="000000" w:themeColor="text1"/>
          <w:sz w:val="24"/>
          <w:szCs w:val="24"/>
        </w:rPr>
        <w:t>T. citrinoviride</w:t>
      </w:r>
      <w:r>
        <w:rPr>
          <w:rFonts w:ascii="Book Antiqua" w:hAnsi="Book Antiqua" w:cs="Times New Roman"/>
          <w:color w:val="000000" w:themeColor="text1"/>
          <w:sz w:val="24"/>
          <w:szCs w:val="24"/>
        </w:rPr>
        <w:t xml:space="preserve"> T-CG i </w:t>
      </w:r>
      <w:r>
        <w:rPr>
          <w:rFonts w:ascii="Book Antiqua" w:hAnsi="Book Antiqua" w:cs="Times New Roman"/>
          <w:i/>
          <w:color w:val="000000" w:themeColor="text1"/>
          <w:sz w:val="24"/>
          <w:szCs w:val="24"/>
        </w:rPr>
        <w:t>T. atroviride</w:t>
      </w:r>
      <w:r>
        <w:rPr>
          <w:rFonts w:ascii="Book Antiqua" w:hAnsi="Book Antiqua" w:cs="Times New Roman"/>
          <w:color w:val="000000" w:themeColor="text1"/>
          <w:sz w:val="24"/>
          <w:szCs w:val="24"/>
        </w:rPr>
        <w:t xml:space="preserve"> SC1 nakon tri dana inhibiraju porast micelije svih ispitivanih patogena, dok su nakon sedam dana intenzivno sporulisale po površini kolonija, što je u skladu sa prethodnim rezultatima </w:t>
      </w:r>
      <w:r>
        <w:rPr>
          <w:rFonts w:ascii="Book Antiqua" w:hAnsi="Book Antiqua" w:cs="Times New Roman"/>
          <w:b/>
          <w:color w:val="000000" w:themeColor="text1"/>
          <w:sz w:val="24"/>
          <w:szCs w:val="24"/>
        </w:rPr>
        <w:t>Kotze et al. (2011)</w:t>
      </w:r>
      <w:r>
        <w:rPr>
          <w:rFonts w:ascii="Book Antiqua" w:hAnsi="Book Antiqua" w:cs="Times New Roman"/>
          <w:color w:val="000000" w:themeColor="text1"/>
          <w:sz w:val="24"/>
          <w:szCs w:val="24"/>
        </w:rPr>
        <w:t xml:space="preserve">. Procenti </w:t>
      </w:r>
      <w:r>
        <w:rPr>
          <w:rFonts w:ascii="Book Antiqua" w:hAnsi="Book Antiqua" w:cs="Times New Roman"/>
          <w:color w:val="000000" w:themeColor="text1"/>
          <w:sz w:val="24"/>
          <w:szCs w:val="24"/>
        </w:rPr>
        <w:lastRenderedPageBreak/>
        <w:t xml:space="preserve">antagonizma ispitivanih biokontrolnih mikroorganizama u redukciji rasta izolata </w:t>
      </w:r>
      <w:r>
        <w:rPr>
          <w:rFonts w:ascii="Book Antiqua" w:hAnsi="Book Antiqua" w:cs="Times New Roman"/>
          <w:i/>
          <w:color w:val="000000" w:themeColor="text1"/>
          <w:sz w:val="24"/>
          <w:szCs w:val="24"/>
        </w:rPr>
        <w:t xml:space="preserve">P. chlamydospora </w:t>
      </w:r>
      <w:r>
        <w:rPr>
          <w:rFonts w:ascii="Book Antiqua" w:hAnsi="Book Antiqua" w:cs="Times New Roman"/>
          <w:color w:val="000000" w:themeColor="text1"/>
          <w:sz w:val="24"/>
          <w:szCs w:val="24"/>
        </w:rPr>
        <w:t xml:space="preserve">MN011, su nešto niži od rezultata </w:t>
      </w:r>
      <w:r>
        <w:rPr>
          <w:rFonts w:ascii="Book Antiqua" w:hAnsi="Book Antiqua" w:cs="Times New Roman"/>
          <w:b/>
          <w:color w:val="000000" w:themeColor="text1"/>
          <w:sz w:val="24"/>
          <w:szCs w:val="24"/>
        </w:rPr>
        <w:t>Wallis (2021)</w:t>
      </w:r>
      <w:r>
        <w:rPr>
          <w:rFonts w:ascii="Book Antiqua" w:hAnsi="Book Antiqua" w:cs="Times New Roman"/>
          <w:color w:val="000000" w:themeColor="text1"/>
          <w:sz w:val="24"/>
          <w:szCs w:val="24"/>
        </w:rPr>
        <w:t xml:space="preserve"> i </w:t>
      </w:r>
      <w:r>
        <w:rPr>
          <w:rFonts w:ascii="Book Antiqua" w:hAnsi="Book Antiqua" w:cs="Times New Roman"/>
          <w:b/>
          <w:color w:val="000000" w:themeColor="text1"/>
          <w:sz w:val="24"/>
          <w:szCs w:val="24"/>
        </w:rPr>
        <w:t>Di Marco et al. (2022)</w:t>
      </w:r>
      <w:r>
        <w:rPr>
          <w:rFonts w:ascii="Book Antiqua" w:hAnsi="Book Antiqua" w:cs="Times New Roman"/>
          <w:color w:val="000000" w:themeColor="text1"/>
          <w:sz w:val="24"/>
          <w:szCs w:val="24"/>
        </w:rPr>
        <w:t xml:space="preserve">, koji navode efikasnost </w:t>
      </w:r>
      <w:r>
        <w:rPr>
          <w:rFonts w:ascii="Book Antiqua" w:hAnsi="Book Antiqua" w:cs="Times New Roman"/>
          <w:i/>
          <w:color w:val="000000" w:themeColor="text1"/>
          <w:sz w:val="24"/>
          <w:szCs w:val="24"/>
        </w:rPr>
        <w:t>T. atroviride</w:t>
      </w:r>
      <w:r>
        <w:rPr>
          <w:rFonts w:ascii="Book Antiqua" w:hAnsi="Book Antiqua" w:cs="Times New Roman"/>
          <w:color w:val="000000" w:themeColor="text1"/>
          <w:sz w:val="24"/>
          <w:szCs w:val="24"/>
        </w:rPr>
        <w:t xml:space="preserve"> preko 90%, odnosno </w:t>
      </w:r>
      <w:r>
        <w:rPr>
          <w:rFonts w:ascii="Book Antiqua" w:hAnsi="Book Antiqua" w:cs="Times New Roman"/>
          <w:i/>
          <w:color w:val="000000" w:themeColor="text1"/>
          <w:sz w:val="24"/>
          <w:szCs w:val="24"/>
        </w:rPr>
        <w:t xml:space="preserve">T. asperellum </w:t>
      </w:r>
      <w:r>
        <w:rPr>
          <w:rFonts w:ascii="Book Antiqua" w:hAnsi="Book Antiqua" w:cs="Times New Roman"/>
          <w:color w:val="000000" w:themeColor="text1"/>
          <w:sz w:val="24"/>
          <w:szCs w:val="24"/>
        </w:rPr>
        <w:t xml:space="preserve">100%. Ipak, dobijeni rezultati su u skladu sa nalazima </w:t>
      </w:r>
      <w:r>
        <w:rPr>
          <w:rFonts w:ascii="Book Antiqua" w:hAnsi="Book Antiqua" w:cs="Times New Roman"/>
          <w:b/>
          <w:color w:val="000000" w:themeColor="text1"/>
          <w:sz w:val="24"/>
          <w:szCs w:val="24"/>
        </w:rPr>
        <w:t>Silva Valderama et al. (2021)</w:t>
      </w:r>
      <w:r>
        <w:rPr>
          <w:rFonts w:ascii="Book Antiqua" w:hAnsi="Book Antiqua" w:cs="Times New Roman"/>
          <w:color w:val="000000" w:themeColor="text1"/>
          <w:sz w:val="24"/>
          <w:szCs w:val="24"/>
        </w:rPr>
        <w:t xml:space="preserve">, koji navode efikasnost od oko 60%. </w:t>
      </w:r>
    </w:p>
    <w:p w14:paraId="3F67298A"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Inhibicija prema izolatima </w:t>
      </w:r>
      <w:r>
        <w:rPr>
          <w:rFonts w:ascii="Book Antiqua" w:hAnsi="Book Antiqua" w:cs="Times New Roman"/>
          <w:i/>
          <w:color w:val="000000" w:themeColor="text1"/>
          <w:sz w:val="24"/>
          <w:szCs w:val="24"/>
        </w:rPr>
        <w:t>P. minimum</w:t>
      </w:r>
      <w:r>
        <w:rPr>
          <w:rFonts w:ascii="Book Antiqua" w:hAnsi="Book Antiqua" w:cs="Times New Roman"/>
          <w:color w:val="000000" w:themeColor="text1"/>
          <w:sz w:val="24"/>
          <w:szCs w:val="24"/>
        </w:rPr>
        <w:t xml:space="preserve"> MN002 i </w:t>
      </w:r>
      <w:r>
        <w:rPr>
          <w:rFonts w:ascii="Book Antiqua" w:hAnsi="Book Antiqua" w:cs="Times New Roman"/>
          <w:i/>
          <w:color w:val="000000" w:themeColor="text1"/>
          <w:sz w:val="24"/>
          <w:szCs w:val="24"/>
        </w:rPr>
        <w:t>F. mediterranea</w:t>
      </w:r>
      <w:r>
        <w:rPr>
          <w:rFonts w:ascii="Book Antiqua" w:hAnsi="Book Antiqua" w:cs="Times New Roman"/>
          <w:color w:val="000000" w:themeColor="text1"/>
          <w:sz w:val="24"/>
          <w:szCs w:val="24"/>
        </w:rPr>
        <w:t xml:space="preserve"> MN008 odgovara rezultatima niske do umjerene efikasnosti navedenim u literaturi (</w:t>
      </w:r>
      <w:r>
        <w:rPr>
          <w:rFonts w:ascii="Book Antiqua" w:hAnsi="Book Antiqua" w:cs="Times New Roman"/>
          <w:b/>
          <w:color w:val="000000" w:themeColor="text1"/>
          <w:sz w:val="24"/>
          <w:szCs w:val="24"/>
        </w:rPr>
        <w:t>Carro Huerga et al., 2021</w:t>
      </w:r>
      <w:r>
        <w:rPr>
          <w:rFonts w:ascii="Book Antiqua" w:hAnsi="Book Antiqua" w:cs="Times New Roman"/>
          <w:color w:val="000000" w:themeColor="text1"/>
          <w:sz w:val="24"/>
          <w:szCs w:val="24"/>
        </w:rPr>
        <w:t xml:space="preserve">; </w:t>
      </w:r>
      <w:r>
        <w:rPr>
          <w:rFonts w:ascii="Book Antiqua" w:hAnsi="Book Antiqua" w:cs="Times New Roman"/>
          <w:b/>
          <w:color w:val="000000" w:themeColor="text1"/>
          <w:sz w:val="24"/>
          <w:szCs w:val="24"/>
        </w:rPr>
        <w:t>Wallis, 2021, Di Marco et al., 2022</w:t>
      </w:r>
      <w:r>
        <w:rPr>
          <w:rFonts w:ascii="Book Antiqua" w:hAnsi="Book Antiqua" w:cs="Times New Roman"/>
          <w:color w:val="000000" w:themeColor="text1"/>
          <w:sz w:val="24"/>
          <w:szCs w:val="24"/>
        </w:rPr>
        <w:t xml:space="preserve">). Međutim, </w:t>
      </w:r>
      <w:r>
        <w:rPr>
          <w:rFonts w:ascii="Book Antiqua" w:hAnsi="Book Antiqua" w:cs="Times New Roman"/>
          <w:b/>
          <w:color w:val="000000" w:themeColor="text1"/>
          <w:sz w:val="24"/>
          <w:szCs w:val="24"/>
        </w:rPr>
        <w:t>Riedle Bauer et al. (2023)</w:t>
      </w:r>
      <w:r>
        <w:rPr>
          <w:rFonts w:ascii="Book Antiqua" w:hAnsi="Book Antiqua" w:cs="Times New Roman"/>
          <w:color w:val="000000" w:themeColor="text1"/>
          <w:sz w:val="24"/>
          <w:szCs w:val="24"/>
        </w:rPr>
        <w:t xml:space="preserve"> navode znatno viši antagonistički potencijal (91–94,9%) proučavanih gljiva iz roda </w:t>
      </w:r>
      <w:r>
        <w:rPr>
          <w:rFonts w:ascii="Book Antiqua" w:hAnsi="Book Antiqua" w:cs="Times New Roman"/>
          <w:i/>
          <w:color w:val="000000" w:themeColor="text1"/>
          <w:sz w:val="24"/>
          <w:szCs w:val="24"/>
        </w:rPr>
        <w:t>Trichoderma</w:t>
      </w:r>
      <w:r>
        <w:rPr>
          <w:rFonts w:ascii="Book Antiqua" w:hAnsi="Book Antiqua" w:cs="Times New Roman"/>
          <w:color w:val="000000" w:themeColor="text1"/>
          <w:sz w:val="24"/>
          <w:szCs w:val="24"/>
        </w:rPr>
        <w:t xml:space="preserve"> prema </w:t>
      </w:r>
      <w:r>
        <w:rPr>
          <w:rFonts w:ascii="Book Antiqua" w:hAnsi="Book Antiqua" w:cs="Times New Roman"/>
          <w:i/>
          <w:color w:val="000000" w:themeColor="text1"/>
          <w:sz w:val="24"/>
          <w:szCs w:val="24"/>
        </w:rPr>
        <w:t>F. mediterranea</w:t>
      </w:r>
      <w:r>
        <w:rPr>
          <w:rFonts w:ascii="Book Antiqua" w:hAnsi="Book Antiqua" w:cs="Times New Roman"/>
          <w:color w:val="000000" w:themeColor="text1"/>
          <w:sz w:val="24"/>
          <w:szCs w:val="24"/>
        </w:rPr>
        <w:t xml:space="preserve">. </w:t>
      </w:r>
    </w:p>
    <w:p w14:paraId="73B17AE8"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Efikasnost prema izolatu </w:t>
      </w:r>
      <w:r>
        <w:rPr>
          <w:rFonts w:ascii="Book Antiqua" w:hAnsi="Book Antiqua" w:cs="Times New Roman"/>
          <w:i/>
          <w:color w:val="000000" w:themeColor="text1"/>
          <w:sz w:val="24"/>
          <w:szCs w:val="24"/>
        </w:rPr>
        <w:t>D. seriata</w:t>
      </w:r>
      <w:r>
        <w:rPr>
          <w:rFonts w:ascii="Book Antiqua" w:hAnsi="Book Antiqua" w:cs="Times New Roman"/>
          <w:color w:val="000000" w:themeColor="text1"/>
          <w:sz w:val="24"/>
          <w:szCs w:val="24"/>
        </w:rPr>
        <w:t xml:space="preserve"> MN001 i </w:t>
      </w:r>
      <w:r>
        <w:rPr>
          <w:rFonts w:ascii="Book Antiqua" w:hAnsi="Book Antiqua" w:cs="Times New Roman"/>
          <w:i/>
          <w:color w:val="000000" w:themeColor="text1"/>
          <w:sz w:val="24"/>
          <w:szCs w:val="24"/>
        </w:rPr>
        <w:t>N. parvum</w:t>
      </w:r>
      <w:r>
        <w:rPr>
          <w:rFonts w:ascii="Book Antiqua" w:hAnsi="Book Antiqua" w:cs="Times New Roman"/>
          <w:color w:val="000000" w:themeColor="text1"/>
          <w:sz w:val="24"/>
          <w:szCs w:val="24"/>
        </w:rPr>
        <w:t xml:space="preserve"> MN001, kao najvirulentnijim patogenima roda </w:t>
      </w:r>
      <w:r>
        <w:rPr>
          <w:rFonts w:ascii="Book Antiqua" w:hAnsi="Book Antiqua" w:cs="Times New Roman"/>
          <w:i/>
          <w:color w:val="000000" w:themeColor="text1"/>
          <w:sz w:val="24"/>
          <w:szCs w:val="24"/>
        </w:rPr>
        <w:t>Botryosphaeria</w:t>
      </w:r>
      <w:r>
        <w:rPr>
          <w:rFonts w:ascii="Book Antiqua" w:hAnsi="Book Antiqua" w:cs="Times New Roman"/>
          <w:color w:val="000000" w:themeColor="text1"/>
          <w:sz w:val="24"/>
          <w:szCs w:val="24"/>
        </w:rPr>
        <w:t>, bila je nešto niža u odnosu na ranija istraživanja (</w:t>
      </w:r>
      <w:r>
        <w:rPr>
          <w:rFonts w:ascii="Book Antiqua" w:hAnsi="Book Antiqua" w:cs="Times New Roman"/>
          <w:b/>
          <w:color w:val="000000" w:themeColor="text1"/>
          <w:sz w:val="24"/>
          <w:szCs w:val="24"/>
        </w:rPr>
        <w:t>Pollard Flamand et al., 2022</w:t>
      </w:r>
      <w:r>
        <w:rPr>
          <w:rFonts w:ascii="Book Antiqua" w:hAnsi="Book Antiqua" w:cs="Times New Roman"/>
          <w:color w:val="000000" w:themeColor="text1"/>
          <w:sz w:val="24"/>
          <w:szCs w:val="24"/>
        </w:rPr>
        <w:t xml:space="preserve">; </w:t>
      </w:r>
      <w:r>
        <w:rPr>
          <w:rFonts w:ascii="Book Antiqua" w:hAnsi="Book Antiqua" w:cs="Times New Roman"/>
          <w:b/>
          <w:color w:val="000000" w:themeColor="text1"/>
          <w:sz w:val="24"/>
          <w:szCs w:val="24"/>
        </w:rPr>
        <w:t>Wallis, 2021</w:t>
      </w:r>
      <w:r>
        <w:rPr>
          <w:rFonts w:ascii="Book Antiqua" w:hAnsi="Book Antiqua" w:cs="Times New Roman"/>
          <w:color w:val="000000" w:themeColor="text1"/>
          <w:sz w:val="24"/>
          <w:szCs w:val="24"/>
        </w:rPr>
        <w:t xml:space="preserve">; </w:t>
      </w:r>
      <w:r>
        <w:rPr>
          <w:rFonts w:ascii="Book Antiqua" w:hAnsi="Book Antiqua" w:cs="Times New Roman"/>
          <w:b/>
          <w:color w:val="000000" w:themeColor="text1"/>
          <w:sz w:val="24"/>
          <w:szCs w:val="24"/>
        </w:rPr>
        <w:t>Blundell et al., 2021</w:t>
      </w:r>
      <w:r>
        <w:rPr>
          <w:rFonts w:ascii="Book Antiqua" w:hAnsi="Book Antiqua" w:cs="Times New Roman"/>
          <w:color w:val="000000" w:themeColor="text1"/>
          <w:sz w:val="24"/>
          <w:szCs w:val="24"/>
        </w:rPr>
        <w:t xml:space="preserve">), ali u saglasnosti sa nalazima </w:t>
      </w:r>
      <w:r>
        <w:rPr>
          <w:rFonts w:ascii="Book Antiqua" w:hAnsi="Book Antiqua" w:cs="Times New Roman"/>
          <w:b/>
          <w:color w:val="000000" w:themeColor="text1"/>
          <w:sz w:val="24"/>
          <w:szCs w:val="24"/>
        </w:rPr>
        <w:t>Di Marco et al. (2022)</w:t>
      </w:r>
      <w:r>
        <w:rPr>
          <w:rFonts w:ascii="Book Antiqua" w:hAnsi="Book Antiqua" w:cs="Times New Roman"/>
          <w:color w:val="000000" w:themeColor="text1"/>
          <w:sz w:val="24"/>
          <w:szCs w:val="24"/>
        </w:rPr>
        <w:t xml:space="preserve"> za </w:t>
      </w:r>
      <w:r>
        <w:rPr>
          <w:rFonts w:ascii="Book Antiqua" w:hAnsi="Book Antiqua" w:cs="Times New Roman"/>
          <w:i/>
          <w:color w:val="000000" w:themeColor="text1"/>
          <w:sz w:val="24"/>
          <w:szCs w:val="24"/>
        </w:rPr>
        <w:t>T. asperellum</w:t>
      </w:r>
      <w:r>
        <w:rPr>
          <w:rFonts w:ascii="Book Antiqua" w:hAnsi="Book Antiqua" w:cs="Times New Roman"/>
          <w:color w:val="000000" w:themeColor="text1"/>
          <w:sz w:val="24"/>
          <w:szCs w:val="24"/>
        </w:rPr>
        <w:t xml:space="preserve"> prema </w:t>
      </w:r>
      <w:r>
        <w:rPr>
          <w:rFonts w:ascii="Book Antiqua" w:hAnsi="Book Antiqua" w:cs="Times New Roman"/>
          <w:i/>
          <w:color w:val="000000" w:themeColor="text1"/>
          <w:sz w:val="24"/>
          <w:szCs w:val="24"/>
        </w:rPr>
        <w:t>N. parvum</w:t>
      </w:r>
      <w:r>
        <w:rPr>
          <w:rFonts w:ascii="Book Antiqua" w:hAnsi="Book Antiqua" w:cs="Times New Roman"/>
          <w:color w:val="000000" w:themeColor="text1"/>
          <w:sz w:val="24"/>
          <w:szCs w:val="24"/>
        </w:rPr>
        <w:t xml:space="preserve">. Najveći stepen efikasnosti (&gt;75%) postignut je prema </w:t>
      </w:r>
      <w:r>
        <w:rPr>
          <w:rFonts w:ascii="Book Antiqua" w:hAnsi="Book Antiqua" w:cs="Times New Roman"/>
          <w:i/>
          <w:color w:val="000000" w:themeColor="text1"/>
          <w:sz w:val="24"/>
          <w:szCs w:val="24"/>
        </w:rPr>
        <w:t>B. mediterranea</w:t>
      </w:r>
      <w:r>
        <w:rPr>
          <w:rFonts w:ascii="Book Antiqua" w:hAnsi="Book Antiqua" w:cs="Times New Roman"/>
          <w:color w:val="000000" w:themeColor="text1"/>
          <w:sz w:val="24"/>
          <w:szCs w:val="24"/>
        </w:rPr>
        <w:t xml:space="preserve"> MN001, što predstavlja prvi podatak o antagonističkom potencijalu </w:t>
      </w:r>
      <w:r>
        <w:rPr>
          <w:rFonts w:ascii="Book Antiqua" w:hAnsi="Book Antiqua" w:cs="Times New Roman"/>
          <w:i/>
          <w:color w:val="000000" w:themeColor="text1"/>
          <w:sz w:val="24"/>
          <w:szCs w:val="24"/>
        </w:rPr>
        <w:t>T. citrinoviride</w:t>
      </w:r>
      <w:r>
        <w:rPr>
          <w:rFonts w:ascii="Book Antiqua" w:hAnsi="Book Antiqua" w:cs="Times New Roman"/>
          <w:color w:val="000000" w:themeColor="text1"/>
          <w:sz w:val="24"/>
          <w:szCs w:val="24"/>
        </w:rPr>
        <w:t xml:space="preserve"> T-CG i </w:t>
      </w:r>
      <w:r>
        <w:rPr>
          <w:rFonts w:ascii="Book Antiqua" w:hAnsi="Book Antiqua" w:cs="Times New Roman"/>
          <w:i/>
          <w:color w:val="000000" w:themeColor="text1"/>
          <w:sz w:val="24"/>
          <w:szCs w:val="24"/>
        </w:rPr>
        <w:t>T. atroviride</w:t>
      </w:r>
      <w:r>
        <w:rPr>
          <w:rFonts w:ascii="Book Antiqua" w:hAnsi="Book Antiqua" w:cs="Times New Roman"/>
          <w:color w:val="000000" w:themeColor="text1"/>
          <w:sz w:val="24"/>
          <w:szCs w:val="24"/>
        </w:rPr>
        <w:t xml:space="preserve"> SC1 prema ovom patogenu. </w:t>
      </w:r>
    </w:p>
    <w:p w14:paraId="7AC50612"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Takođe rezultati ove studije predstavljaju prve rezultate o procjenu antagonističkog potencijala vrste </w:t>
      </w:r>
      <w:r>
        <w:rPr>
          <w:rFonts w:ascii="Book Antiqua" w:hAnsi="Book Antiqua" w:cs="Times New Roman"/>
          <w:i/>
          <w:color w:val="000000" w:themeColor="text1"/>
          <w:sz w:val="24"/>
          <w:szCs w:val="24"/>
        </w:rPr>
        <w:t>T. citrinoviride</w:t>
      </w:r>
      <w:r>
        <w:rPr>
          <w:rFonts w:ascii="Book Antiqua" w:hAnsi="Book Antiqua" w:cs="Times New Roman"/>
          <w:color w:val="000000" w:themeColor="text1"/>
          <w:sz w:val="24"/>
          <w:szCs w:val="24"/>
        </w:rPr>
        <w:t xml:space="preserve"> prema većini patogena prouzrokovača bolesti stabla vinove loze u Evropi. Rezultati direktnih </w:t>
      </w:r>
      <w:r>
        <w:rPr>
          <w:rFonts w:ascii="Book Antiqua" w:hAnsi="Book Antiqua" w:cs="Times New Roman"/>
          <w:i/>
          <w:color w:val="000000" w:themeColor="text1"/>
          <w:sz w:val="24"/>
          <w:szCs w:val="24"/>
        </w:rPr>
        <w:t>in vitro</w:t>
      </w:r>
      <w:r>
        <w:rPr>
          <w:rFonts w:ascii="Book Antiqua" w:hAnsi="Book Antiqua" w:cs="Times New Roman"/>
          <w:color w:val="000000" w:themeColor="text1"/>
          <w:sz w:val="24"/>
          <w:szCs w:val="24"/>
        </w:rPr>
        <w:t xml:space="preserve"> testova nisu pokazali statistički značajne razlike između antagonističkog efekta </w:t>
      </w:r>
      <w:r>
        <w:rPr>
          <w:rFonts w:ascii="Book Antiqua" w:hAnsi="Book Antiqua" w:cs="Times New Roman"/>
          <w:i/>
          <w:color w:val="000000" w:themeColor="text1"/>
          <w:sz w:val="24"/>
          <w:szCs w:val="24"/>
        </w:rPr>
        <w:t>T. citrinoviride</w:t>
      </w:r>
      <w:r>
        <w:rPr>
          <w:rFonts w:ascii="Book Antiqua" w:hAnsi="Book Antiqua" w:cs="Times New Roman"/>
          <w:color w:val="000000" w:themeColor="text1"/>
          <w:sz w:val="24"/>
          <w:szCs w:val="24"/>
        </w:rPr>
        <w:t xml:space="preserve"> T-CG izolovane u Crnoj Gori i komercijalnog biofungicida Vintec® (</w:t>
      </w:r>
      <w:r>
        <w:rPr>
          <w:rFonts w:ascii="Book Antiqua" w:hAnsi="Book Antiqua" w:cs="Times New Roman"/>
          <w:i/>
          <w:color w:val="000000" w:themeColor="text1"/>
          <w:sz w:val="24"/>
          <w:szCs w:val="24"/>
        </w:rPr>
        <w:t>T. atroviride</w:t>
      </w:r>
      <w:r>
        <w:rPr>
          <w:rFonts w:ascii="Book Antiqua" w:hAnsi="Book Antiqua" w:cs="Times New Roman"/>
          <w:color w:val="000000" w:themeColor="text1"/>
          <w:sz w:val="24"/>
          <w:szCs w:val="24"/>
        </w:rPr>
        <w:t xml:space="preserve"> SC1) prema različitim fitopatogenim gljivama, potvrđujući potencijal obje vrste kao efikasnih bioloških agenasa za kontrolu bolesti stabla vinove loze. </w:t>
      </w:r>
    </w:p>
    <w:p w14:paraId="7386E10A" w14:textId="77777777" w:rsidR="003801E8" w:rsidRDefault="00E44AAE">
      <w:pPr>
        <w:tabs>
          <w:tab w:val="left" w:pos="3315"/>
        </w:tabs>
        <w:spacing w:line="360" w:lineRule="auto"/>
        <w:jc w:val="both"/>
        <w:rPr>
          <w:rFonts w:ascii="Book Antiqua" w:hAnsi="Book Antiqua"/>
          <w:sz w:val="24"/>
          <w:szCs w:val="24"/>
        </w:rPr>
      </w:pPr>
      <w:r>
        <w:rPr>
          <w:rFonts w:ascii="Book Antiqua" w:hAnsi="Book Antiqua"/>
          <w:sz w:val="24"/>
          <w:szCs w:val="24"/>
        </w:rPr>
        <w:t xml:space="preserve">Rezultati indirektnih </w:t>
      </w:r>
      <w:r>
        <w:rPr>
          <w:rFonts w:ascii="Book Antiqua" w:hAnsi="Book Antiqua"/>
          <w:i/>
          <w:sz w:val="24"/>
          <w:szCs w:val="24"/>
        </w:rPr>
        <w:t>in vitro</w:t>
      </w:r>
      <w:r>
        <w:rPr>
          <w:rFonts w:ascii="Book Antiqua" w:hAnsi="Book Antiqua"/>
          <w:sz w:val="24"/>
          <w:szCs w:val="24"/>
        </w:rPr>
        <w:t xml:space="preserve"> testova su pokazali da lokalno izolovani soj </w:t>
      </w:r>
      <w:r>
        <w:rPr>
          <w:rFonts w:ascii="Book Antiqua" w:hAnsi="Book Antiqua"/>
          <w:i/>
          <w:iCs/>
          <w:sz w:val="24"/>
          <w:szCs w:val="24"/>
        </w:rPr>
        <w:t>T. citrinoviride</w:t>
      </w:r>
      <w:r>
        <w:rPr>
          <w:rFonts w:ascii="Book Antiqua" w:hAnsi="Book Antiqua"/>
          <w:sz w:val="24"/>
          <w:szCs w:val="24"/>
        </w:rPr>
        <w:t xml:space="preserve"> T-CG i komercijalni biofungicid Vintec® (</w:t>
      </w:r>
      <w:r>
        <w:rPr>
          <w:rFonts w:ascii="Book Antiqua" w:hAnsi="Book Antiqua"/>
          <w:i/>
          <w:iCs/>
          <w:sz w:val="24"/>
          <w:szCs w:val="24"/>
        </w:rPr>
        <w:t>T. atroviride</w:t>
      </w:r>
      <w:r>
        <w:rPr>
          <w:rFonts w:ascii="Book Antiqua" w:hAnsi="Book Antiqua"/>
          <w:sz w:val="24"/>
          <w:szCs w:val="24"/>
        </w:rPr>
        <w:t xml:space="preserve"> SC1) ostvaruju manji stepen inhibicije patogena prouzrokovača eska oboljenja u odnosu na </w:t>
      </w:r>
      <w:r>
        <w:rPr>
          <w:rFonts w:ascii="Book Antiqua" w:hAnsi="Book Antiqua"/>
          <w:sz w:val="24"/>
          <w:szCs w:val="24"/>
        </w:rPr>
        <w:lastRenderedPageBreak/>
        <w:t xml:space="preserve">direktne testove, što sugeriše da njihov biokontrolni mehanizam primarno zavisi od direktne konkurencije za prostor, a ne produkcije sekundarnih metabolita. Ipak, rezultati su pokazali da je lokalno izolovani soj </w:t>
      </w:r>
      <w:r>
        <w:rPr>
          <w:rFonts w:ascii="Book Antiqua" w:hAnsi="Book Antiqua"/>
          <w:i/>
          <w:sz w:val="24"/>
          <w:szCs w:val="24"/>
        </w:rPr>
        <w:t>T. citrinoviride</w:t>
      </w:r>
      <w:r>
        <w:rPr>
          <w:rFonts w:ascii="Book Antiqua" w:hAnsi="Book Antiqua"/>
          <w:sz w:val="24"/>
          <w:szCs w:val="24"/>
        </w:rPr>
        <w:t xml:space="preserve"> T-CG u indirektnom </w:t>
      </w:r>
      <w:r>
        <w:rPr>
          <w:rFonts w:ascii="Book Antiqua" w:hAnsi="Book Antiqua"/>
          <w:i/>
          <w:sz w:val="24"/>
          <w:szCs w:val="24"/>
        </w:rPr>
        <w:t>in vitro</w:t>
      </w:r>
      <w:r>
        <w:rPr>
          <w:rFonts w:ascii="Book Antiqua" w:hAnsi="Book Antiqua"/>
          <w:sz w:val="24"/>
          <w:szCs w:val="24"/>
        </w:rPr>
        <w:t xml:space="preserve"> testu imao statistički značajno jači antagonizam prema </w:t>
      </w:r>
      <w:r>
        <w:rPr>
          <w:rFonts w:ascii="Book Antiqua" w:hAnsi="Book Antiqua"/>
          <w:i/>
          <w:iCs/>
          <w:sz w:val="24"/>
          <w:szCs w:val="24"/>
        </w:rPr>
        <w:t>F. mediterranea</w:t>
      </w:r>
      <w:r>
        <w:rPr>
          <w:rFonts w:ascii="Book Antiqua" w:hAnsi="Book Antiqua"/>
          <w:sz w:val="24"/>
          <w:szCs w:val="24"/>
        </w:rPr>
        <w:t xml:space="preserve"> MN008 i </w:t>
      </w:r>
      <w:r>
        <w:rPr>
          <w:rFonts w:ascii="Book Antiqua" w:hAnsi="Book Antiqua"/>
          <w:i/>
          <w:iCs/>
          <w:sz w:val="24"/>
          <w:szCs w:val="24"/>
        </w:rPr>
        <w:t>P. minimum</w:t>
      </w:r>
      <w:r>
        <w:rPr>
          <w:rFonts w:ascii="Book Antiqua" w:hAnsi="Book Antiqua"/>
          <w:sz w:val="24"/>
          <w:szCs w:val="24"/>
        </w:rPr>
        <w:t xml:space="preserve"> 002 u odnosu na komercijalni soj </w:t>
      </w:r>
      <w:r>
        <w:rPr>
          <w:rFonts w:ascii="Book Antiqua" w:hAnsi="Book Antiqua"/>
          <w:i/>
          <w:sz w:val="24"/>
          <w:szCs w:val="24"/>
        </w:rPr>
        <w:t>T. atroviride</w:t>
      </w:r>
      <w:r>
        <w:rPr>
          <w:rFonts w:ascii="Book Antiqua" w:hAnsi="Book Antiqua"/>
          <w:sz w:val="24"/>
          <w:szCs w:val="24"/>
        </w:rPr>
        <w:t xml:space="preserve"> SC1. </w:t>
      </w:r>
    </w:p>
    <w:p w14:paraId="18742A41" w14:textId="77777777" w:rsidR="003801E8" w:rsidRDefault="00E44AAE">
      <w:pPr>
        <w:tabs>
          <w:tab w:val="left" w:pos="3315"/>
        </w:tabs>
        <w:spacing w:line="360" w:lineRule="auto"/>
        <w:jc w:val="both"/>
        <w:rPr>
          <w:rFonts w:ascii="Book Antiqua" w:hAnsi="Book Antiqua"/>
          <w:sz w:val="24"/>
          <w:szCs w:val="24"/>
        </w:rPr>
      </w:pPr>
      <w:r>
        <w:rPr>
          <w:rFonts w:ascii="Book Antiqua" w:hAnsi="Book Antiqua"/>
          <w:sz w:val="24"/>
          <w:szCs w:val="24"/>
        </w:rPr>
        <w:t xml:space="preserve">Takođe, efikasnost </w:t>
      </w:r>
      <w:r>
        <w:rPr>
          <w:rFonts w:ascii="Book Antiqua" w:hAnsi="Book Antiqua"/>
          <w:i/>
          <w:sz w:val="24"/>
          <w:szCs w:val="24"/>
        </w:rPr>
        <w:t>T. citrinoviride</w:t>
      </w:r>
      <w:r>
        <w:rPr>
          <w:rFonts w:ascii="Book Antiqua" w:hAnsi="Book Antiqua"/>
          <w:sz w:val="24"/>
          <w:szCs w:val="24"/>
        </w:rPr>
        <w:t xml:space="preserve"> T-CG se nije statistički razlikovala od bakarnog preparata Nordox® (0,05%), dodatno ukazujući na potencijal lokalnog soja kao biološkog sredstva u zaštiti vinove loze.</w:t>
      </w:r>
    </w:p>
    <w:p w14:paraId="3B85CF90" w14:textId="77777777" w:rsidR="003801E8" w:rsidRDefault="00E44AAE">
      <w:pPr>
        <w:spacing w:before="100" w:beforeAutospacing="1" w:after="100" w:afterAutospacing="1" w:line="360" w:lineRule="auto"/>
        <w:jc w:val="both"/>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 xml:space="preserve">Rezultati </w:t>
      </w:r>
      <w:r>
        <w:rPr>
          <w:rFonts w:ascii="Book Antiqua" w:eastAsia="Times New Roman" w:hAnsi="Book Antiqua" w:cs="Times New Roman"/>
          <w:i/>
          <w:sz w:val="24"/>
          <w:szCs w:val="24"/>
          <w:lang w:val="en-US"/>
        </w:rPr>
        <w:t>in vivo</w:t>
      </w:r>
      <w:r>
        <w:rPr>
          <w:rFonts w:ascii="Book Antiqua" w:eastAsia="Times New Roman" w:hAnsi="Book Antiqua" w:cs="Times New Roman"/>
          <w:sz w:val="24"/>
          <w:szCs w:val="24"/>
          <w:lang w:val="en-US"/>
        </w:rPr>
        <w:t xml:space="preserve"> testa tretmana rana pokazuju da, iako testirane gljive iz roda </w:t>
      </w:r>
      <w:r>
        <w:rPr>
          <w:rFonts w:ascii="Book Antiqua" w:eastAsia="Times New Roman" w:hAnsi="Book Antiqua" w:cs="Times New Roman"/>
          <w:i/>
          <w:iCs/>
          <w:sz w:val="24"/>
          <w:szCs w:val="24"/>
          <w:lang w:val="en-US"/>
        </w:rPr>
        <w:t>Trichoderma</w:t>
      </w:r>
      <w:r>
        <w:rPr>
          <w:rFonts w:ascii="Book Antiqua" w:eastAsia="Times New Roman" w:hAnsi="Book Antiqua" w:cs="Times New Roman"/>
          <w:sz w:val="24"/>
          <w:szCs w:val="24"/>
          <w:lang w:val="en-US"/>
        </w:rPr>
        <w:t xml:space="preserve"> nisu u potpunosti spriječile razvoj nekroze, one su značajno smanjile njen intenzitet u tretiranim lastarima. Ovi nalazi su u skladu sa prethodnim istraživanjima (</w:t>
      </w:r>
      <w:r>
        <w:rPr>
          <w:rFonts w:ascii="Book Antiqua" w:eastAsia="Times New Roman" w:hAnsi="Book Antiqua" w:cs="Times New Roman"/>
          <w:b/>
          <w:sz w:val="24"/>
          <w:szCs w:val="24"/>
          <w:lang w:val="en-US"/>
        </w:rPr>
        <w:t>Leal et al., 2021</w:t>
      </w:r>
      <w:r>
        <w:rPr>
          <w:rFonts w:ascii="Book Antiqua" w:eastAsia="Times New Roman" w:hAnsi="Book Antiqua" w:cs="Times New Roman"/>
          <w:sz w:val="24"/>
          <w:szCs w:val="24"/>
          <w:lang w:val="en-US"/>
        </w:rPr>
        <w:t xml:space="preserve">; </w:t>
      </w:r>
      <w:r>
        <w:rPr>
          <w:rFonts w:ascii="Book Antiqua" w:eastAsia="Times New Roman" w:hAnsi="Book Antiqua" w:cs="Times New Roman"/>
          <w:b/>
          <w:sz w:val="24"/>
          <w:szCs w:val="24"/>
          <w:lang w:val="en-US"/>
        </w:rPr>
        <w:t>Langa Lomba et al., 2023</w:t>
      </w:r>
      <w:r>
        <w:rPr>
          <w:rFonts w:ascii="Book Antiqua" w:eastAsia="Times New Roman" w:hAnsi="Book Antiqua" w:cs="Times New Roman"/>
          <w:sz w:val="24"/>
          <w:szCs w:val="24"/>
          <w:lang w:val="en-US"/>
        </w:rPr>
        <w:t xml:space="preserve">). Za razliku od </w:t>
      </w:r>
      <w:r>
        <w:rPr>
          <w:rFonts w:ascii="Book Antiqua" w:eastAsia="Times New Roman" w:hAnsi="Book Antiqua" w:cs="Times New Roman"/>
          <w:b/>
          <w:sz w:val="24"/>
          <w:szCs w:val="24"/>
          <w:lang w:val="en-US"/>
        </w:rPr>
        <w:t>Leal et al. (2021)</w:t>
      </w:r>
      <w:r>
        <w:rPr>
          <w:rFonts w:ascii="Book Antiqua" w:eastAsia="Times New Roman" w:hAnsi="Book Antiqua" w:cs="Times New Roman"/>
          <w:sz w:val="24"/>
          <w:szCs w:val="24"/>
          <w:lang w:val="en-US"/>
        </w:rPr>
        <w:t xml:space="preserve">, kod kojih je procenat reizolacije </w:t>
      </w:r>
      <w:r>
        <w:rPr>
          <w:rFonts w:ascii="Book Antiqua" w:eastAsia="Times New Roman" w:hAnsi="Book Antiqua" w:cs="Times New Roman"/>
          <w:i/>
          <w:iCs/>
          <w:sz w:val="24"/>
          <w:szCs w:val="24"/>
          <w:lang w:val="en-US"/>
        </w:rPr>
        <w:t>N. parvum</w:t>
      </w:r>
      <w:r>
        <w:rPr>
          <w:rFonts w:ascii="Book Antiqua" w:eastAsia="Times New Roman" w:hAnsi="Book Antiqua" w:cs="Times New Roman"/>
          <w:sz w:val="24"/>
          <w:szCs w:val="24"/>
          <w:lang w:val="en-US"/>
        </w:rPr>
        <w:t xml:space="preserve"> bio preko 90%, u ovom istraživanju je zabilježeno znatno smanjenje reizolacije patogena: 33,33% za </w:t>
      </w:r>
      <w:r>
        <w:rPr>
          <w:rFonts w:ascii="Book Antiqua" w:eastAsia="Times New Roman" w:hAnsi="Book Antiqua" w:cs="Times New Roman"/>
          <w:i/>
          <w:iCs/>
          <w:sz w:val="24"/>
          <w:szCs w:val="24"/>
          <w:lang w:val="en-US"/>
        </w:rPr>
        <w:t>T. atroviride</w:t>
      </w:r>
      <w:r>
        <w:rPr>
          <w:rFonts w:ascii="Book Antiqua" w:eastAsia="Times New Roman" w:hAnsi="Book Antiqua" w:cs="Times New Roman"/>
          <w:sz w:val="24"/>
          <w:szCs w:val="24"/>
          <w:lang w:val="en-US"/>
        </w:rPr>
        <w:t xml:space="preserve"> SC1 i 44,44% za </w:t>
      </w:r>
      <w:r>
        <w:rPr>
          <w:rFonts w:ascii="Book Antiqua" w:eastAsia="Times New Roman" w:hAnsi="Book Antiqua" w:cs="Times New Roman"/>
          <w:i/>
          <w:iCs/>
          <w:sz w:val="24"/>
          <w:szCs w:val="24"/>
          <w:lang w:val="en-US"/>
        </w:rPr>
        <w:t>T. citrinoviride</w:t>
      </w:r>
      <w:r>
        <w:rPr>
          <w:rFonts w:ascii="Book Antiqua" w:eastAsia="Times New Roman" w:hAnsi="Book Antiqua" w:cs="Times New Roman"/>
          <w:sz w:val="24"/>
          <w:szCs w:val="24"/>
          <w:lang w:val="en-US"/>
        </w:rPr>
        <w:t xml:space="preserve"> T-CG. Efikasnost ovih sojeva prema </w:t>
      </w:r>
      <w:r>
        <w:rPr>
          <w:rFonts w:ascii="Book Antiqua" w:eastAsia="Times New Roman" w:hAnsi="Book Antiqua" w:cs="Times New Roman"/>
          <w:i/>
          <w:iCs/>
          <w:sz w:val="24"/>
          <w:szCs w:val="24"/>
          <w:lang w:val="en-US"/>
        </w:rPr>
        <w:t>P. chlamydospora</w:t>
      </w:r>
      <w:r>
        <w:rPr>
          <w:rFonts w:ascii="Book Antiqua" w:eastAsia="Times New Roman" w:hAnsi="Book Antiqua" w:cs="Times New Roman"/>
          <w:sz w:val="24"/>
          <w:szCs w:val="24"/>
          <w:lang w:val="en-US"/>
        </w:rPr>
        <w:t xml:space="preserve"> u </w:t>
      </w:r>
      <w:r>
        <w:rPr>
          <w:rFonts w:ascii="Book Antiqua" w:eastAsia="Times New Roman" w:hAnsi="Book Antiqua" w:cs="Times New Roman"/>
          <w:i/>
          <w:sz w:val="24"/>
          <w:szCs w:val="24"/>
          <w:lang w:val="en-US"/>
        </w:rPr>
        <w:t>in vivo</w:t>
      </w:r>
      <w:r>
        <w:rPr>
          <w:rFonts w:ascii="Book Antiqua" w:eastAsia="Times New Roman" w:hAnsi="Book Antiqua" w:cs="Times New Roman"/>
          <w:sz w:val="24"/>
          <w:szCs w:val="24"/>
          <w:lang w:val="en-US"/>
        </w:rPr>
        <w:t xml:space="preserve"> testu odgovara rezultatima </w:t>
      </w:r>
      <w:r>
        <w:rPr>
          <w:rFonts w:ascii="Book Antiqua" w:eastAsia="Times New Roman" w:hAnsi="Book Antiqua" w:cs="Times New Roman"/>
          <w:b/>
          <w:sz w:val="24"/>
          <w:szCs w:val="24"/>
          <w:lang w:val="en-US"/>
        </w:rPr>
        <w:t>Di Marco et al. (2022)</w:t>
      </w:r>
      <w:r>
        <w:rPr>
          <w:rFonts w:ascii="Book Antiqua" w:eastAsia="Times New Roman" w:hAnsi="Book Antiqua" w:cs="Times New Roman"/>
          <w:sz w:val="24"/>
          <w:szCs w:val="24"/>
          <w:lang w:val="en-US"/>
        </w:rPr>
        <w:t xml:space="preserve"> i </w:t>
      </w:r>
      <w:r>
        <w:rPr>
          <w:rFonts w:ascii="Book Antiqua" w:eastAsia="Times New Roman" w:hAnsi="Book Antiqua" w:cs="Times New Roman"/>
          <w:b/>
          <w:sz w:val="24"/>
          <w:szCs w:val="24"/>
          <w:lang w:val="en-US"/>
        </w:rPr>
        <w:t>Kotze et al. (2011)</w:t>
      </w:r>
      <w:r>
        <w:rPr>
          <w:rFonts w:ascii="Book Antiqua" w:eastAsia="Times New Roman" w:hAnsi="Book Antiqua" w:cs="Times New Roman"/>
          <w:sz w:val="24"/>
          <w:szCs w:val="24"/>
          <w:lang w:val="en-US"/>
        </w:rPr>
        <w:t xml:space="preserve">. Soj </w:t>
      </w:r>
      <w:r>
        <w:rPr>
          <w:rFonts w:ascii="Book Antiqua" w:eastAsia="Times New Roman" w:hAnsi="Book Antiqua" w:cs="Times New Roman"/>
          <w:i/>
          <w:iCs/>
          <w:sz w:val="24"/>
          <w:szCs w:val="24"/>
          <w:lang w:val="en-US"/>
        </w:rPr>
        <w:t>T. citrinoviride</w:t>
      </w:r>
      <w:r>
        <w:rPr>
          <w:rFonts w:ascii="Book Antiqua" w:eastAsia="Times New Roman" w:hAnsi="Book Antiqua" w:cs="Times New Roman"/>
          <w:sz w:val="24"/>
          <w:szCs w:val="24"/>
          <w:lang w:val="en-US"/>
        </w:rPr>
        <w:t xml:space="preserve"> T-CG je pokazao visok intenzitet kolonizacije, budući da je izolovan u najdaljoj zoni reizolacije (4–5 cm) i u novom lastaru formiranom nakon tretmana. </w:t>
      </w:r>
      <w:r>
        <w:rPr>
          <w:rFonts w:ascii="Book Antiqua" w:hAnsi="Book Antiqua"/>
          <w:i/>
          <w:sz w:val="24"/>
          <w:szCs w:val="24"/>
        </w:rPr>
        <w:t>In vivo</w:t>
      </w:r>
      <w:r>
        <w:rPr>
          <w:rFonts w:ascii="Book Antiqua" w:hAnsi="Book Antiqua"/>
          <w:sz w:val="24"/>
          <w:szCs w:val="24"/>
        </w:rPr>
        <w:t xml:space="preserve"> test ispitivanja efikasnosti biokontrolnih mikroorganizama </w:t>
      </w:r>
      <w:r>
        <w:rPr>
          <w:rFonts w:ascii="Book Antiqua" w:hAnsi="Book Antiqua"/>
          <w:i/>
          <w:sz w:val="24"/>
          <w:szCs w:val="24"/>
        </w:rPr>
        <w:t>T. citrinoviride</w:t>
      </w:r>
      <w:r>
        <w:rPr>
          <w:rFonts w:ascii="Book Antiqua" w:hAnsi="Book Antiqua"/>
          <w:sz w:val="24"/>
          <w:szCs w:val="24"/>
        </w:rPr>
        <w:t xml:space="preserve"> T-CG, biofungicida Vintec® (</w:t>
      </w:r>
      <w:r>
        <w:rPr>
          <w:rFonts w:ascii="Book Antiqua" w:hAnsi="Book Antiqua"/>
          <w:i/>
          <w:sz w:val="24"/>
          <w:szCs w:val="24"/>
        </w:rPr>
        <w:t>T. atroviride</w:t>
      </w:r>
      <w:r>
        <w:rPr>
          <w:rFonts w:ascii="Book Antiqua" w:hAnsi="Book Antiqua"/>
          <w:sz w:val="24"/>
          <w:szCs w:val="24"/>
        </w:rPr>
        <w:t xml:space="preserve"> SC1) i bakarnog preparata Nordox® na odsječenim fragmentima drveta vinove loze pokazao je da su oba ispitivana mikroorganizma ostvarila statistički značajniju inhibiciju u odnosu na tretman bakrom.</w:t>
      </w:r>
    </w:p>
    <w:p w14:paraId="177899E3" w14:textId="77777777" w:rsidR="003801E8" w:rsidRDefault="00E44AAE">
      <w:pPr>
        <w:tabs>
          <w:tab w:val="left" w:pos="3315"/>
        </w:tabs>
        <w:spacing w:line="360" w:lineRule="auto"/>
        <w:jc w:val="both"/>
        <w:rPr>
          <w:rFonts w:ascii="Book Antiqua" w:hAnsi="Book Antiqua"/>
          <w:sz w:val="24"/>
          <w:szCs w:val="24"/>
        </w:rPr>
      </w:pPr>
      <w:r>
        <w:rPr>
          <w:rFonts w:ascii="Book Antiqua" w:hAnsi="Book Antiqua"/>
          <w:sz w:val="24"/>
          <w:szCs w:val="24"/>
        </w:rPr>
        <w:t xml:space="preserve">Ovo istraživanje ističe značaj ranog praćenja prisustva patogena drveta vinove loze u proizvodnji sadnog materijala kao ključnog elementa efikasne strategije suzbijanja bolesti u Crnoj Gori. Posebna pažnja treba da se posveti fitopatogenim gljivama iz roda Botryosphaeria, koje su prema </w:t>
      </w:r>
      <w:r>
        <w:rPr>
          <w:rFonts w:ascii="Book Antiqua" w:hAnsi="Book Antiqua"/>
          <w:b/>
          <w:sz w:val="24"/>
          <w:szCs w:val="24"/>
        </w:rPr>
        <w:t>Gramaje i Armengol (2011)</w:t>
      </w:r>
      <w:r>
        <w:rPr>
          <w:rFonts w:ascii="Book Antiqua" w:hAnsi="Book Antiqua"/>
          <w:sz w:val="24"/>
          <w:szCs w:val="24"/>
        </w:rPr>
        <w:t xml:space="preserve">, </w:t>
      </w:r>
      <w:r>
        <w:rPr>
          <w:rFonts w:ascii="Book Antiqua" w:hAnsi="Book Antiqua"/>
          <w:b/>
          <w:sz w:val="24"/>
          <w:szCs w:val="24"/>
        </w:rPr>
        <w:lastRenderedPageBreak/>
        <w:t>Gramaje et al. (2018)</w:t>
      </w:r>
      <w:r>
        <w:rPr>
          <w:rFonts w:ascii="Book Antiqua" w:hAnsi="Book Antiqua"/>
          <w:sz w:val="24"/>
          <w:szCs w:val="24"/>
        </w:rPr>
        <w:t xml:space="preserve">, </w:t>
      </w:r>
      <w:r>
        <w:rPr>
          <w:rFonts w:ascii="Book Antiqua" w:hAnsi="Book Antiqua"/>
          <w:b/>
          <w:sz w:val="24"/>
          <w:szCs w:val="24"/>
        </w:rPr>
        <w:t>Pintos et al. (2018)</w:t>
      </w:r>
      <w:r>
        <w:rPr>
          <w:rFonts w:ascii="Book Antiqua" w:hAnsi="Book Antiqua"/>
          <w:sz w:val="24"/>
          <w:szCs w:val="24"/>
        </w:rPr>
        <w:t xml:space="preserve"> i </w:t>
      </w:r>
      <w:r>
        <w:rPr>
          <w:rFonts w:ascii="Book Antiqua" w:hAnsi="Book Antiqua"/>
          <w:b/>
          <w:sz w:val="24"/>
          <w:szCs w:val="24"/>
        </w:rPr>
        <w:t>Carlucci et al. (2017)</w:t>
      </w:r>
      <w:r>
        <w:rPr>
          <w:rFonts w:ascii="Book Antiqua" w:hAnsi="Book Antiqua"/>
          <w:sz w:val="24"/>
          <w:szCs w:val="24"/>
        </w:rPr>
        <w:t xml:space="preserve"> najznačajniji patogeni vinove loze u sadnom materijalu. Stoga je neophodna stroža kontrola zdravstvenog stanja sadnog materijala kroz administrativne mjere kako bi se smanjila upotreba zaraženih biljaka iz domaće proizvodnje ili uvoza, što bi značajno doprinijelo očuvanju dugovječnosti vinograda.</w:t>
      </w:r>
    </w:p>
    <w:p w14:paraId="08B45363" w14:textId="77777777" w:rsidR="003801E8" w:rsidRDefault="00E44AAE">
      <w:pPr>
        <w:tabs>
          <w:tab w:val="left" w:pos="3315"/>
        </w:tabs>
        <w:spacing w:line="360" w:lineRule="auto"/>
        <w:jc w:val="both"/>
        <w:rPr>
          <w:rFonts w:ascii="Book Antiqua" w:hAnsi="Book Antiqua"/>
          <w:sz w:val="24"/>
          <w:szCs w:val="24"/>
        </w:rPr>
      </w:pPr>
      <w:r>
        <w:rPr>
          <w:rFonts w:ascii="Book Antiqua" w:hAnsi="Book Antiqua"/>
          <w:sz w:val="24"/>
          <w:szCs w:val="24"/>
        </w:rPr>
        <w:t>Takođe, istraživanje potvrđuje manju osjetljivost introdukovanih sorti prema eska oboljenju, što vinogradari treba da uzmu u obzir pri podizanju novih vinograda. Dobijeni rezultati o efikasnosti biofungicida potvrđuju potencijal šire upotrebe komercijalnog proizvoda Vintec® u održivim strategijama zaštite vinove loze od bolesti drveta vinove loze. Takođe, ovo istraživanje ukazuje na neophodnost daljeg proučavanja mikrobioma vinove loze radi identifikacije lokalno prisutnih sojeva korisnih mikroorganizama, koji bi mogli biti integrisani u strategije zaštite vinove loze od eska oboljenja u Crnoj Gori.</w:t>
      </w:r>
    </w:p>
    <w:p w14:paraId="08EFC01B" w14:textId="77777777" w:rsidR="003801E8" w:rsidRDefault="003801E8">
      <w:pPr>
        <w:tabs>
          <w:tab w:val="left" w:pos="3315"/>
        </w:tabs>
        <w:spacing w:line="360" w:lineRule="auto"/>
        <w:jc w:val="both"/>
        <w:rPr>
          <w:rFonts w:ascii="Book Antiqua" w:hAnsi="Book Antiqua" w:cs="Times New Roman"/>
          <w:color w:val="000000" w:themeColor="text1"/>
          <w:sz w:val="24"/>
          <w:szCs w:val="24"/>
        </w:rPr>
      </w:pPr>
    </w:p>
    <w:p w14:paraId="70A975B1" w14:textId="77777777" w:rsidR="003801E8" w:rsidRDefault="003801E8">
      <w:pPr>
        <w:tabs>
          <w:tab w:val="left" w:pos="3315"/>
        </w:tabs>
        <w:spacing w:line="360" w:lineRule="auto"/>
        <w:jc w:val="both"/>
        <w:rPr>
          <w:rFonts w:ascii="Book Antiqua" w:hAnsi="Book Antiqua" w:cs="Times New Roman"/>
          <w:color w:val="000000" w:themeColor="text1"/>
          <w:sz w:val="24"/>
          <w:szCs w:val="24"/>
        </w:rPr>
      </w:pPr>
    </w:p>
    <w:p w14:paraId="3014F5BF" w14:textId="77777777" w:rsidR="003801E8" w:rsidRDefault="003801E8">
      <w:pPr>
        <w:tabs>
          <w:tab w:val="left" w:pos="3315"/>
        </w:tabs>
        <w:spacing w:line="360" w:lineRule="auto"/>
        <w:jc w:val="both"/>
        <w:rPr>
          <w:rFonts w:ascii="Book Antiqua" w:hAnsi="Book Antiqua" w:cs="Times New Roman"/>
          <w:color w:val="000000" w:themeColor="text1"/>
          <w:sz w:val="24"/>
          <w:szCs w:val="24"/>
        </w:rPr>
      </w:pPr>
    </w:p>
    <w:p w14:paraId="2F247056" w14:textId="77777777" w:rsidR="003801E8" w:rsidRDefault="003801E8">
      <w:pPr>
        <w:tabs>
          <w:tab w:val="left" w:pos="3315"/>
        </w:tabs>
        <w:spacing w:line="360" w:lineRule="auto"/>
        <w:jc w:val="both"/>
        <w:rPr>
          <w:rFonts w:ascii="Book Antiqua" w:hAnsi="Book Antiqua" w:cs="Times New Roman"/>
          <w:color w:val="000000" w:themeColor="text1"/>
          <w:sz w:val="24"/>
          <w:szCs w:val="24"/>
        </w:rPr>
      </w:pPr>
    </w:p>
    <w:p w14:paraId="23F665D1" w14:textId="77777777" w:rsidR="003801E8" w:rsidRDefault="003801E8">
      <w:pPr>
        <w:tabs>
          <w:tab w:val="left" w:pos="3315"/>
        </w:tabs>
        <w:spacing w:line="360" w:lineRule="auto"/>
        <w:jc w:val="both"/>
        <w:rPr>
          <w:rFonts w:ascii="Book Antiqua" w:hAnsi="Book Antiqua" w:cs="Times New Roman"/>
          <w:color w:val="000000" w:themeColor="text1"/>
          <w:sz w:val="24"/>
          <w:szCs w:val="24"/>
        </w:rPr>
      </w:pPr>
    </w:p>
    <w:p w14:paraId="3EACBCD9" w14:textId="77777777" w:rsidR="003801E8" w:rsidRDefault="003801E8">
      <w:pPr>
        <w:tabs>
          <w:tab w:val="left" w:pos="3315"/>
        </w:tabs>
        <w:spacing w:line="360" w:lineRule="auto"/>
        <w:jc w:val="both"/>
        <w:rPr>
          <w:rFonts w:ascii="Book Antiqua" w:hAnsi="Book Antiqua" w:cs="Times New Roman"/>
          <w:color w:val="000000" w:themeColor="text1"/>
          <w:sz w:val="24"/>
          <w:szCs w:val="24"/>
        </w:rPr>
      </w:pPr>
    </w:p>
    <w:p w14:paraId="03D593F9" w14:textId="77777777" w:rsidR="006913EB" w:rsidRDefault="006913EB">
      <w:pPr>
        <w:tabs>
          <w:tab w:val="left" w:pos="3315"/>
        </w:tabs>
        <w:spacing w:line="360" w:lineRule="auto"/>
        <w:jc w:val="both"/>
        <w:rPr>
          <w:rFonts w:ascii="Book Antiqua" w:hAnsi="Book Antiqua" w:cs="Times New Roman"/>
          <w:color w:val="000000" w:themeColor="text1"/>
          <w:sz w:val="24"/>
          <w:szCs w:val="24"/>
        </w:rPr>
      </w:pPr>
    </w:p>
    <w:p w14:paraId="339A6158" w14:textId="77777777" w:rsidR="006913EB" w:rsidRDefault="006913EB">
      <w:pPr>
        <w:tabs>
          <w:tab w:val="left" w:pos="3315"/>
        </w:tabs>
        <w:spacing w:line="360" w:lineRule="auto"/>
        <w:jc w:val="both"/>
        <w:rPr>
          <w:rFonts w:ascii="Book Antiqua" w:hAnsi="Book Antiqua" w:cs="Times New Roman"/>
          <w:color w:val="000000" w:themeColor="text1"/>
          <w:sz w:val="24"/>
          <w:szCs w:val="24"/>
        </w:rPr>
      </w:pPr>
    </w:p>
    <w:p w14:paraId="4495350D" w14:textId="77777777" w:rsidR="006913EB" w:rsidRDefault="006913EB">
      <w:pPr>
        <w:tabs>
          <w:tab w:val="left" w:pos="3315"/>
        </w:tabs>
        <w:spacing w:line="360" w:lineRule="auto"/>
        <w:jc w:val="both"/>
        <w:rPr>
          <w:rFonts w:ascii="Book Antiqua" w:hAnsi="Book Antiqua" w:cs="Times New Roman"/>
          <w:color w:val="000000" w:themeColor="text1"/>
          <w:sz w:val="24"/>
          <w:szCs w:val="24"/>
        </w:rPr>
      </w:pPr>
    </w:p>
    <w:p w14:paraId="2B210386" w14:textId="77777777" w:rsidR="003801E8" w:rsidRDefault="003801E8">
      <w:pPr>
        <w:tabs>
          <w:tab w:val="left" w:pos="3315"/>
        </w:tabs>
        <w:spacing w:line="360" w:lineRule="auto"/>
        <w:jc w:val="both"/>
        <w:rPr>
          <w:rFonts w:ascii="Book Antiqua" w:hAnsi="Book Antiqua" w:cs="Times New Roman"/>
          <w:color w:val="000000" w:themeColor="text1"/>
          <w:sz w:val="24"/>
          <w:szCs w:val="24"/>
        </w:rPr>
      </w:pPr>
    </w:p>
    <w:p w14:paraId="2C90F051" w14:textId="77777777" w:rsidR="003801E8" w:rsidRDefault="003801E8">
      <w:pPr>
        <w:tabs>
          <w:tab w:val="left" w:pos="3315"/>
        </w:tabs>
        <w:spacing w:line="360" w:lineRule="auto"/>
        <w:jc w:val="both"/>
        <w:rPr>
          <w:rFonts w:ascii="Book Antiqua" w:hAnsi="Book Antiqua" w:cs="Times New Roman"/>
          <w:color w:val="000000" w:themeColor="text1"/>
          <w:sz w:val="24"/>
          <w:szCs w:val="24"/>
        </w:rPr>
      </w:pPr>
    </w:p>
    <w:p w14:paraId="4F601596" w14:textId="77777777" w:rsidR="003801E8" w:rsidRDefault="00E44AAE">
      <w:pPr>
        <w:pStyle w:val="teza1"/>
        <w:spacing w:before="0" w:after="200"/>
        <w:jc w:val="both"/>
        <w:rPr>
          <w:rFonts w:ascii="Book Antiqua" w:hAnsi="Book Antiqua" w:cs="Times New Roman"/>
          <w:color w:val="auto"/>
          <w:sz w:val="24"/>
        </w:rPr>
      </w:pPr>
      <w:r>
        <w:rPr>
          <w:rFonts w:ascii="Book Antiqua" w:hAnsi="Book Antiqua" w:cs="Times New Roman"/>
          <w:color w:val="auto"/>
          <w:sz w:val="24"/>
        </w:rPr>
        <w:lastRenderedPageBreak/>
        <w:t>VII ZAKLJUČCI</w:t>
      </w:r>
    </w:p>
    <w:p w14:paraId="3429043E" w14:textId="77777777" w:rsidR="003801E8" w:rsidRDefault="00E44AAE">
      <w:pPr>
        <w:pStyle w:val="teza1"/>
        <w:numPr>
          <w:ilvl w:val="0"/>
          <w:numId w:val="2"/>
        </w:numPr>
        <w:spacing w:before="0" w:after="200"/>
        <w:jc w:val="both"/>
        <w:rPr>
          <w:rFonts w:ascii="Book Antiqua" w:hAnsi="Book Antiqua" w:cs="Times New Roman"/>
          <w:b w:val="0"/>
          <w:color w:val="auto"/>
          <w:sz w:val="24"/>
        </w:rPr>
      </w:pPr>
      <w:r>
        <w:rPr>
          <w:rFonts w:ascii="Book Antiqua" w:hAnsi="Book Antiqua" w:cs="Times New Roman"/>
          <w:b w:val="0"/>
          <w:color w:val="auto"/>
          <w:sz w:val="24"/>
        </w:rPr>
        <w:t>Eska oboljenje je prisutno u svim crnogorskim vinogradarskim regionima, pri čemu autohtone sorte Vranac i Kratošija pokazuju visok stepen osjetljivosti, dok su introdukovane sorte (Cabernet Sauvignon, Chardonnay, Syrah, Merlot) relativno manje osjetljive.</w:t>
      </w:r>
    </w:p>
    <w:p w14:paraId="249495D1" w14:textId="77777777" w:rsidR="003801E8" w:rsidRDefault="00E44AAE">
      <w:pPr>
        <w:pStyle w:val="ListParagraph"/>
        <w:numPr>
          <w:ilvl w:val="0"/>
          <w:numId w:val="2"/>
        </w:numPr>
        <w:spacing w:line="360" w:lineRule="auto"/>
        <w:jc w:val="both"/>
        <w:rPr>
          <w:rFonts w:ascii="Book Antiqua" w:eastAsia="Calibri" w:hAnsi="Book Antiqua" w:cs="Times New Roman"/>
          <w:bCs/>
          <w:sz w:val="24"/>
          <w:szCs w:val="24"/>
        </w:rPr>
      </w:pPr>
      <w:r>
        <w:rPr>
          <w:rFonts w:ascii="Book Antiqua" w:eastAsia="Calibri" w:hAnsi="Book Antiqua" w:cs="Times New Roman"/>
          <w:bCs/>
          <w:sz w:val="24"/>
          <w:szCs w:val="24"/>
        </w:rPr>
        <w:t>Uprkos osjetljivosti sortimenta stariji vinogradi autohtonih sorti Vranca i Kratošije podignuti na sopstvenom korijenu ne pokazuju simptome eska oboljenja. Odsustvo simptoma na nekalemljenim čokotima, pokazuje uticaj podloge na ekspresiju folijarnih simptoma eska oboljenja.</w:t>
      </w:r>
    </w:p>
    <w:p w14:paraId="73443DDA" w14:textId="77777777" w:rsidR="003801E8" w:rsidRDefault="00E44AAE">
      <w:pPr>
        <w:pStyle w:val="teza1"/>
        <w:numPr>
          <w:ilvl w:val="0"/>
          <w:numId w:val="2"/>
        </w:numPr>
        <w:spacing w:before="0" w:after="200"/>
        <w:jc w:val="both"/>
        <w:rPr>
          <w:rFonts w:ascii="Book Antiqua" w:hAnsi="Book Antiqua" w:cs="Times New Roman"/>
          <w:b w:val="0"/>
          <w:color w:val="auto"/>
          <w:sz w:val="24"/>
        </w:rPr>
      </w:pPr>
      <w:r>
        <w:rPr>
          <w:rFonts w:ascii="Book Antiqua" w:hAnsi="Book Antiqua" w:cs="Times New Roman"/>
          <w:b w:val="0"/>
          <w:color w:val="auto"/>
          <w:sz w:val="24"/>
        </w:rPr>
        <w:t>Simptomi eska oboljenja u crnogorskim vinogradima se manifestuju na listovima, grozdovima i lastarima kroz hronično i apoplektično sušenje čokota. Pristuni su i unutrašnji simptomi u vidu crnih tačkastih nekroza, većih tamnosmeđih nekrotičnih zona i „bijele truleži“ u centralnom dijelu čokota.</w:t>
      </w:r>
    </w:p>
    <w:p w14:paraId="1C05C69D" w14:textId="77777777" w:rsidR="003801E8" w:rsidRDefault="00E44AAE">
      <w:pPr>
        <w:pStyle w:val="teza1"/>
        <w:numPr>
          <w:ilvl w:val="0"/>
          <w:numId w:val="2"/>
        </w:numPr>
        <w:spacing w:before="0" w:after="200"/>
        <w:jc w:val="both"/>
        <w:rPr>
          <w:rFonts w:ascii="Book Antiqua" w:hAnsi="Book Antiqua" w:cs="Times New Roman"/>
          <w:b w:val="0"/>
          <w:color w:val="auto"/>
          <w:sz w:val="24"/>
        </w:rPr>
      </w:pPr>
      <w:r>
        <w:rPr>
          <w:rFonts w:ascii="Book Antiqua" w:hAnsi="Book Antiqua" w:cs="Times New Roman"/>
          <w:b w:val="0"/>
          <w:color w:val="auto"/>
          <w:sz w:val="24"/>
        </w:rPr>
        <w:t>Prvi folijarni simptomi obično se javljaju nakon pete godine starosti vinograda, a intenzitet simptoma i prisustvo „praznih mjesta“ značajno se povećavaju sa starošću zasada, što negativno utiče na rentabilnost proizvodnje.</w:t>
      </w:r>
    </w:p>
    <w:p w14:paraId="24A13699" w14:textId="77777777" w:rsidR="003801E8" w:rsidRDefault="00E44AAE">
      <w:pPr>
        <w:pStyle w:val="teza1"/>
        <w:numPr>
          <w:ilvl w:val="0"/>
          <w:numId w:val="2"/>
        </w:numPr>
        <w:spacing w:before="0" w:after="200"/>
        <w:jc w:val="both"/>
        <w:rPr>
          <w:rFonts w:ascii="Book Antiqua" w:hAnsi="Book Antiqua" w:cs="Times New Roman"/>
          <w:b w:val="0"/>
          <w:color w:val="auto"/>
          <w:sz w:val="24"/>
        </w:rPr>
      </w:pPr>
      <w:r>
        <w:rPr>
          <w:rFonts w:ascii="Book Antiqua" w:hAnsi="Book Antiqua" w:cs="Times New Roman"/>
          <w:b w:val="0"/>
          <w:color w:val="auto"/>
          <w:sz w:val="24"/>
        </w:rPr>
        <w:t xml:space="preserve">U svim analiziranim vinogradima identifikovani su gljivični patogeni </w:t>
      </w:r>
      <w:r>
        <w:rPr>
          <w:rFonts w:ascii="Book Antiqua" w:hAnsi="Book Antiqua" w:cs="Times New Roman"/>
          <w:b w:val="0"/>
          <w:i/>
          <w:color w:val="auto"/>
          <w:sz w:val="24"/>
        </w:rPr>
        <w:t>F. mediterranea</w:t>
      </w:r>
      <w:r>
        <w:rPr>
          <w:rFonts w:ascii="Book Antiqua" w:hAnsi="Book Antiqua" w:cs="Times New Roman"/>
          <w:b w:val="0"/>
          <w:color w:val="auto"/>
          <w:sz w:val="24"/>
        </w:rPr>
        <w:t xml:space="preserve">, </w:t>
      </w:r>
      <w:r>
        <w:rPr>
          <w:rFonts w:ascii="Book Antiqua" w:hAnsi="Book Antiqua" w:cs="Times New Roman"/>
          <w:b w:val="0"/>
          <w:i/>
          <w:color w:val="auto"/>
          <w:sz w:val="24"/>
        </w:rPr>
        <w:t>P. minimum</w:t>
      </w:r>
      <w:r>
        <w:rPr>
          <w:rFonts w:ascii="Book Antiqua" w:hAnsi="Book Antiqua" w:cs="Times New Roman"/>
          <w:b w:val="0"/>
          <w:color w:val="auto"/>
          <w:sz w:val="24"/>
        </w:rPr>
        <w:t xml:space="preserve"> i </w:t>
      </w:r>
      <w:r>
        <w:rPr>
          <w:rFonts w:ascii="Book Antiqua" w:hAnsi="Book Antiqua" w:cs="Times New Roman"/>
          <w:b w:val="0"/>
          <w:i/>
          <w:color w:val="auto"/>
          <w:sz w:val="24"/>
        </w:rPr>
        <w:t>P. chlamydospora</w:t>
      </w:r>
      <w:r>
        <w:rPr>
          <w:rFonts w:ascii="Book Antiqua" w:hAnsi="Book Antiqua" w:cs="Times New Roman"/>
          <w:b w:val="0"/>
          <w:color w:val="auto"/>
          <w:sz w:val="24"/>
        </w:rPr>
        <w:t xml:space="preserve"> kao glavni prouzrokovači eska oboljenja. Važno je istaći da je za razliku od </w:t>
      </w:r>
      <w:r>
        <w:rPr>
          <w:rFonts w:ascii="Book Antiqua" w:hAnsi="Book Antiqua" w:cs="Times New Roman"/>
          <w:b w:val="0"/>
          <w:i/>
          <w:color w:val="auto"/>
          <w:sz w:val="24"/>
        </w:rPr>
        <w:t>P. minimum</w:t>
      </w:r>
      <w:r>
        <w:rPr>
          <w:rFonts w:ascii="Book Antiqua" w:hAnsi="Book Antiqua" w:cs="Times New Roman"/>
          <w:b w:val="0"/>
          <w:color w:val="auto"/>
          <w:sz w:val="24"/>
        </w:rPr>
        <w:t xml:space="preserve"> i </w:t>
      </w:r>
      <w:r>
        <w:rPr>
          <w:rFonts w:ascii="Book Antiqua" w:hAnsi="Book Antiqua" w:cs="Times New Roman"/>
          <w:b w:val="0"/>
          <w:i/>
          <w:color w:val="auto"/>
          <w:sz w:val="24"/>
        </w:rPr>
        <w:t>P. chlamydospora</w:t>
      </w:r>
      <w:r>
        <w:rPr>
          <w:rFonts w:ascii="Book Antiqua" w:hAnsi="Book Antiqua" w:cs="Times New Roman"/>
          <w:b w:val="0"/>
          <w:color w:val="auto"/>
          <w:sz w:val="24"/>
        </w:rPr>
        <w:t xml:space="preserve">, gljiva </w:t>
      </w:r>
      <w:r>
        <w:rPr>
          <w:rFonts w:ascii="Book Antiqua" w:hAnsi="Book Antiqua" w:cs="Times New Roman"/>
          <w:b w:val="0"/>
          <w:i/>
          <w:color w:val="auto"/>
          <w:sz w:val="24"/>
        </w:rPr>
        <w:t>F. mediterranea</w:t>
      </w:r>
      <w:r>
        <w:rPr>
          <w:rFonts w:ascii="Book Antiqua" w:hAnsi="Book Antiqua" w:cs="Times New Roman"/>
          <w:b w:val="0"/>
          <w:color w:val="auto"/>
          <w:sz w:val="24"/>
        </w:rPr>
        <w:t xml:space="preserve"> je izolovana samo iz čokota koji su pokazivali spoljašnje simptome eska oboljenja, a koji su stariji od 15 godina.</w:t>
      </w:r>
    </w:p>
    <w:p w14:paraId="57B862F3" w14:textId="77777777" w:rsidR="003801E8" w:rsidRDefault="00E44AAE">
      <w:pPr>
        <w:pStyle w:val="ListParagraph"/>
        <w:numPr>
          <w:ilvl w:val="0"/>
          <w:numId w:val="2"/>
        </w:numPr>
        <w:spacing w:line="360" w:lineRule="auto"/>
        <w:jc w:val="both"/>
        <w:rPr>
          <w:rFonts w:ascii="Book Antiqua" w:eastAsia="Calibri" w:hAnsi="Book Antiqua" w:cs="Times New Roman"/>
          <w:bCs/>
          <w:sz w:val="24"/>
          <w:szCs w:val="24"/>
        </w:rPr>
      </w:pPr>
      <w:r>
        <w:rPr>
          <w:rFonts w:ascii="Book Antiqua" w:eastAsia="Calibri" w:hAnsi="Book Antiqua" w:cs="Times New Roman"/>
          <w:bCs/>
          <w:sz w:val="24"/>
          <w:szCs w:val="24"/>
        </w:rPr>
        <w:t xml:space="preserve">U uzorkovanom drvetu vinove loze, osim patogena prouzrokovača eska oboljenja, identifikovani su i patogeni iz rodova </w:t>
      </w:r>
      <w:r>
        <w:rPr>
          <w:rFonts w:ascii="Book Antiqua" w:eastAsia="Calibri" w:hAnsi="Book Antiqua" w:cs="Times New Roman"/>
          <w:bCs/>
          <w:i/>
          <w:sz w:val="24"/>
          <w:szCs w:val="24"/>
        </w:rPr>
        <w:t>Botryosphaeria</w:t>
      </w:r>
      <w:r>
        <w:rPr>
          <w:rFonts w:ascii="Book Antiqua" w:eastAsia="Calibri" w:hAnsi="Book Antiqua" w:cs="Times New Roman"/>
          <w:bCs/>
          <w:sz w:val="24"/>
          <w:szCs w:val="24"/>
        </w:rPr>
        <w:t xml:space="preserve">, </w:t>
      </w:r>
      <w:r>
        <w:rPr>
          <w:rFonts w:ascii="Book Antiqua" w:eastAsia="Calibri" w:hAnsi="Book Antiqua" w:cs="Times New Roman"/>
          <w:bCs/>
          <w:i/>
          <w:sz w:val="24"/>
          <w:szCs w:val="24"/>
        </w:rPr>
        <w:t>Neofusicoccum</w:t>
      </w:r>
      <w:r>
        <w:rPr>
          <w:rFonts w:ascii="Book Antiqua" w:eastAsia="Calibri" w:hAnsi="Book Antiqua" w:cs="Times New Roman"/>
          <w:bCs/>
          <w:sz w:val="24"/>
          <w:szCs w:val="24"/>
        </w:rPr>
        <w:t xml:space="preserve">, </w:t>
      </w:r>
      <w:r>
        <w:rPr>
          <w:rFonts w:ascii="Book Antiqua" w:eastAsia="Calibri" w:hAnsi="Book Antiqua" w:cs="Times New Roman"/>
          <w:bCs/>
          <w:i/>
          <w:sz w:val="24"/>
          <w:szCs w:val="24"/>
        </w:rPr>
        <w:t>Diplodia</w:t>
      </w:r>
      <w:r>
        <w:rPr>
          <w:rFonts w:ascii="Book Antiqua" w:eastAsia="Calibri" w:hAnsi="Book Antiqua" w:cs="Times New Roman"/>
          <w:bCs/>
          <w:sz w:val="24"/>
          <w:szCs w:val="24"/>
        </w:rPr>
        <w:t xml:space="preserve">, </w:t>
      </w:r>
      <w:r>
        <w:rPr>
          <w:rFonts w:ascii="Book Antiqua" w:eastAsia="Calibri" w:hAnsi="Book Antiqua" w:cs="Times New Roman"/>
          <w:bCs/>
          <w:i/>
          <w:sz w:val="24"/>
          <w:szCs w:val="24"/>
        </w:rPr>
        <w:t>Diaporthe</w:t>
      </w:r>
      <w:r>
        <w:rPr>
          <w:rFonts w:ascii="Book Antiqua" w:eastAsia="Calibri" w:hAnsi="Book Antiqua" w:cs="Times New Roman"/>
          <w:bCs/>
          <w:sz w:val="24"/>
          <w:szCs w:val="24"/>
        </w:rPr>
        <w:t xml:space="preserve">, </w:t>
      </w:r>
      <w:r>
        <w:rPr>
          <w:rFonts w:ascii="Book Antiqua" w:eastAsia="Calibri" w:hAnsi="Book Antiqua" w:cs="Times New Roman"/>
          <w:bCs/>
          <w:i/>
          <w:sz w:val="24"/>
          <w:szCs w:val="24"/>
        </w:rPr>
        <w:t>Biscogniauxia</w:t>
      </w:r>
      <w:r>
        <w:rPr>
          <w:rFonts w:ascii="Book Antiqua" w:eastAsia="Calibri" w:hAnsi="Book Antiqua" w:cs="Times New Roman"/>
          <w:bCs/>
          <w:sz w:val="24"/>
          <w:szCs w:val="24"/>
        </w:rPr>
        <w:t xml:space="preserve">, </w:t>
      </w:r>
      <w:r>
        <w:rPr>
          <w:rFonts w:ascii="Book Antiqua" w:eastAsia="Calibri" w:hAnsi="Book Antiqua" w:cs="Times New Roman"/>
          <w:bCs/>
          <w:i/>
          <w:sz w:val="24"/>
          <w:szCs w:val="24"/>
        </w:rPr>
        <w:t>Cadophora</w:t>
      </w:r>
      <w:r>
        <w:rPr>
          <w:rFonts w:ascii="Book Antiqua" w:eastAsia="Calibri" w:hAnsi="Book Antiqua" w:cs="Times New Roman"/>
          <w:bCs/>
          <w:sz w:val="24"/>
          <w:szCs w:val="24"/>
        </w:rPr>
        <w:t xml:space="preserve"> i </w:t>
      </w:r>
      <w:r>
        <w:rPr>
          <w:rFonts w:ascii="Book Antiqua" w:eastAsia="Calibri" w:hAnsi="Book Antiqua" w:cs="Times New Roman"/>
          <w:bCs/>
          <w:i/>
          <w:sz w:val="24"/>
          <w:szCs w:val="24"/>
        </w:rPr>
        <w:lastRenderedPageBreak/>
        <w:t>Seimatosporium</w:t>
      </w:r>
      <w:r>
        <w:rPr>
          <w:rFonts w:ascii="Book Antiqua" w:eastAsia="Calibri" w:hAnsi="Book Antiqua" w:cs="Times New Roman"/>
          <w:bCs/>
          <w:sz w:val="24"/>
          <w:szCs w:val="24"/>
        </w:rPr>
        <w:t xml:space="preserve">. Mješovite infekcije različitim patogenima u jednom čokotu ukazuju na težak oblik oboljenja koji ubrzava sušenje biljke. </w:t>
      </w:r>
    </w:p>
    <w:p w14:paraId="57B8D62C" w14:textId="77777777" w:rsidR="003801E8" w:rsidRDefault="00E44AAE">
      <w:pPr>
        <w:pStyle w:val="teza1"/>
        <w:numPr>
          <w:ilvl w:val="0"/>
          <w:numId w:val="2"/>
        </w:numPr>
        <w:spacing w:before="0" w:after="200"/>
        <w:jc w:val="both"/>
        <w:rPr>
          <w:rFonts w:ascii="Book Antiqua" w:hAnsi="Book Antiqua" w:cs="Times New Roman"/>
          <w:b w:val="0"/>
          <w:color w:val="auto"/>
          <w:sz w:val="24"/>
        </w:rPr>
      </w:pPr>
      <w:r>
        <w:rPr>
          <w:rFonts w:ascii="Book Antiqua" w:hAnsi="Book Antiqua" w:cs="Times New Roman"/>
          <w:b w:val="0"/>
          <w:color w:val="auto"/>
          <w:sz w:val="24"/>
        </w:rPr>
        <w:t>Klimatski faktori, posebno hladno i kišovito proljeće praćeno toplim i sušnim periodima, značajno povećavaju intenzitet pojave simptoma; bolest uzrokuje pad prinosa preko 40% i negativno utiče na kvalitet grožđa (smanjen sadržaj šećera i povećana kiselost u širi).</w:t>
      </w:r>
    </w:p>
    <w:p w14:paraId="68FD4447" w14:textId="77777777" w:rsidR="003801E8" w:rsidRDefault="00E44AAE">
      <w:pPr>
        <w:pStyle w:val="teza1"/>
        <w:numPr>
          <w:ilvl w:val="0"/>
          <w:numId w:val="2"/>
        </w:numPr>
        <w:spacing w:before="0" w:after="200"/>
        <w:jc w:val="both"/>
        <w:rPr>
          <w:rFonts w:ascii="Book Antiqua" w:hAnsi="Book Antiqua" w:cs="Times New Roman"/>
          <w:b w:val="0"/>
          <w:color w:val="auto"/>
          <w:sz w:val="24"/>
        </w:rPr>
      </w:pPr>
      <w:r>
        <w:rPr>
          <w:rFonts w:ascii="Book Antiqua" w:hAnsi="Book Antiqua" w:cs="Times New Roman"/>
          <w:b w:val="0"/>
          <w:color w:val="auto"/>
          <w:sz w:val="24"/>
        </w:rPr>
        <w:t xml:space="preserve">U </w:t>
      </w:r>
      <w:r>
        <w:rPr>
          <w:rFonts w:ascii="Book Antiqua" w:hAnsi="Book Antiqua" w:cs="Times New Roman"/>
          <w:b w:val="0"/>
          <w:i/>
          <w:color w:val="auto"/>
          <w:sz w:val="24"/>
        </w:rPr>
        <w:t>in vitro</w:t>
      </w:r>
      <w:r>
        <w:rPr>
          <w:rFonts w:ascii="Book Antiqua" w:hAnsi="Book Antiqua" w:cs="Times New Roman"/>
          <w:b w:val="0"/>
          <w:color w:val="auto"/>
          <w:sz w:val="24"/>
        </w:rPr>
        <w:t xml:space="preserve"> i </w:t>
      </w:r>
      <w:r>
        <w:rPr>
          <w:rFonts w:ascii="Book Antiqua" w:hAnsi="Book Antiqua" w:cs="Times New Roman"/>
          <w:b w:val="0"/>
          <w:i/>
          <w:color w:val="auto"/>
          <w:sz w:val="24"/>
        </w:rPr>
        <w:t>in vivo</w:t>
      </w:r>
      <w:r>
        <w:rPr>
          <w:rFonts w:ascii="Book Antiqua" w:hAnsi="Book Antiqua" w:cs="Times New Roman"/>
          <w:b w:val="0"/>
          <w:color w:val="auto"/>
          <w:sz w:val="24"/>
        </w:rPr>
        <w:t xml:space="preserve"> testovima komercijalni biofungicid Vintec® (</w:t>
      </w:r>
      <w:r>
        <w:rPr>
          <w:rFonts w:ascii="Book Antiqua" w:hAnsi="Book Antiqua" w:cs="Times New Roman"/>
          <w:b w:val="0"/>
          <w:i/>
          <w:color w:val="auto"/>
          <w:sz w:val="24"/>
        </w:rPr>
        <w:t>T. atroviride</w:t>
      </w:r>
      <w:r>
        <w:rPr>
          <w:rFonts w:ascii="Book Antiqua" w:hAnsi="Book Antiqua" w:cs="Times New Roman"/>
          <w:b w:val="0"/>
          <w:color w:val="auto"/>
          <w:sz w:val="24"/>
        </w:rPr>
        <w:t xml:space="preserve"> SC1) i lokalno izolovani soj </w:t>
      </w:r>
      <w:r>
        <w:rPr>
          <w:rFonts w:ascii="Book Antiqua" w:hAnsi="Book Antiqua" w:cs="Times New Roman"/>
          <w:b w:val="0"/>
          <w:i/>
          <w:color w:val="auto"/>
          <w:sz w:val="24"/>
        </w:rPr>
        <w:t>T. citrinoviride</w:t>
      </w:r>
      <w:r>
        <w:rPr>
          <w:rFonts w:ascii="Book Antiqua" w:hAnsi="Book Antiqua" w:cs="Times New Roman"/>
          <w:b w:val="0"/>
          <w:color w:val="auto"/>
          <w:sz w:val="24"/>
        </w:rPr>
        <w:t xml:space="preserve"> T</w:t>
      </w:r>
      <w:r>
        <w:rPr>
          <w:rFonts w:ascii="Times New Roman" w:hAnsi="Times New Roman" w:cs="Times New Roman"/>
          <w:b w:val="0"/>
          <w:color w:val="auto"/>
          <w:sz w:val="24"/>
        </w:rPr>
        <w:t>‑</w:t>
      </w:r>
      <w:r>
        <w:rPr>
          <w:rFonts w:ascii="Book Antiqua" w:hAnsi="Book Antiqua" w:cs="Times New Roman"/>
          <w:b w:val="0"/>
          <w:color w:val="auto"/>
          <w:sz w:val="24"/>
        </w:rPr>
        <w:t>CG pokazali su sposobnost inhibicije rasta patogena, smanjenje nekroze u tretiranim lastarima i zna</w:t>
      </w:r>
      <w:r>
        <w:rPr>
          <w:rFonts w:ascii="Book Antiqua" w:hAnsi="Book Antiqua" w:cs="Book Antiqua"/>
          <w:b w:val="0"/>
          <w:color w:val="auto"/>
          <w:sz w:val="24"/>
        </w:rPr>
        <w:t>č</w:t>
      </w:r>
      <w:r>
        <w:rPr>
          <w:rFonts w:ascii="Book Antiqua" w:hAnsi="Book Antiqua" w:cs="Times New Roman"/>
          <w:b w:val="0"/>
          <w:color w:val="auto"/>
          <w:sz w:val="24"/>
        </w:rPr>
        <w:t xml:space="preserve">ajno smanjenje reizolacije patogena. </w:t>
      </w:r>
    </w:p>
    <w:p w14:paraId="57314004" w14:textId="77777777" w:rsidR="003801E8" w:rsidRDefault="00E44AAE">
      <w:pPr>
        <w:pStyle w:val="teza1"/>
        <w:numPr>
          <w:ilvl w:val="0"/>
          <w:numId w:val="2"/>
        </w:numPr>
        <w:jc w:val="both"/>
        <w:rPr>
          <w:rFonts w:ascii="Book Antiqua" w:hAnsi="Book Antiqua" w:cs="Times New Roman"/>
          <w:b w:val="0"/>
          <w:color w:val="auto"/>
          <w:sz w:val="24"/>
        </w:rPr>
      </w:pPr>
      <w:r>
        <w:rPr>
          <w:rFonts w:ascii="Book Antiqua" w:hAnsi="Book Antiqua" w:cs="Times New Roman"/>
          <w:b w:val="0"/>
          <w:color w:val="auto"/>
          <w:sz w:val="24"/>
        </w:rPr>
        <w:t>U Crnoj Gori zaštita vinove loze od eska oboljenja mora biti zasnovana na kompleksnoj strategiji. U starijim vinogradima, posebno osjetljivih autohtonih sorti, neophodno je uklanjati čokote sa simptomima bolesti. Prilikom zasnivanja novih zasada potrebno je birati sorte koje pokazuju veću tolerantnost prema patogenima prouzrokovačima eska oboljenja.</w:t>
      </w:r>
    </w:p>
    <w:p w14:paraId="1771CCB2" w14:textId="77777777" w:rsidR="003801E8" w:rsidRDefault="00E44AAE">
      <w:pPr>
        <w:pStyle w:val="teza1"/>
        <w:numPr>
          <w:ilvl w:val="0"/>
          <w:numId w:val="2"/>
        </w:numPr>
        <w:jc w:val="both"/>
        <w:rPr>
          <w:rFonts w:ascii="Book Antiqua" w:hAnsi="Book Antiqua" w:cs="Times New Roman"/>
          <w:b w:val="0"/>
          <w:color w:val="auto"/>
          <w:sz w:val="24"/>
        </w:rPr>
      </w:pPr>
      <w:r>
        <w:rPr>
          <w:rFonts w:ascii="Book Antiqua" w:hAnsi="Book Antiqua" w:cs="Times New Roman"/>
          <w:b w:val="0"/>
          <w:color w:val="auto"/>
          <w:sz w:val="24"/>
        </w:rPr>
        <w:t xml:space="preserve">Redovna primjena biofungicida na bazi gljiva roda </w:t>
      </w:r>
      <w:r>
        <w:rPr>
          <w:rFonts w:ascii="Book Antiqua" w:hAnsi="Book Antiqua" w:cs="Times New Roman"/>
          <w:b w:val="0"/>
          <w:i/>
          <w:color w:val="auto"/>
          <w:sz w:val="24"/>
        </w:rPr>
        <w:t>Trichoderma</w:t>
      </w:r>
      <w:r>
        <w:rPr>
          <w:rFonts w:ascii="Book Antiqua" w:hAnsi="Book Antiqua" w:cs="Times New Roman"/>
          <w:b w:val="0"/>
          <w:color w:val="auto"/>
          <w:sz w:val="24"/>
        </w:rPr>
        <w:t>, posebno neposredno nakon rezidbe, omogućava kolonizaciju sprovodnih sudova od strane primijenjenih mikroorganizama i smanjuje razvoj infekcije patogenima.</w:t>
      </w:r>
    </w:p>
    <w:p w14:paraId="03C68A15" w14:textId="77777777" w:rsidR="003801E8" w:rsidRDefault="00E44AAE">
      <w:pPr>
        <w:pStyle w:val="teza1"/>
        <w:numPr>
          <w:ilvl w:val="0"/>
          <w:numId w:val="2"/>
        </w:numPr>
        <w:jc w:val="both"/>
        <w:rPr>
          <w:rFonts w:ascii="Book Antiqua" w:hAnsi="Book Antiqua" w:cs="Times New Roman"/>
          <w:b w:val="0"/>
          <w:color w:val="auto"/>
          <w:sz w:val="24"/>
        </w:rPr>
      </w:pPr>
      <w:r>
        <w:rPr>
          <w:rFonts w:ascii="Book Antiqua" w:hAnsi="Book Antiqua" w:cs="Times New Roman"/>
          <w:b w:val="0"/>
          <w:color w:val="auto"/>
          <w:sz w:val="24"/>
        </w:rPr>
        <w:t xml:space="preserve"> Kvalitetan i zdravstveno ispravan sadni materijal, strožija kontrola uvoza i unapređenje higijene u rasadnicima su ključni za sprječavanje unošenja i širenja patogena. Takođe, edukacija vinogradara o epidemiologiji, suzbijanju i ekonomskom značaju eska oboljenja je od suštinskog značaja za efikasnu strategiju zaštite.</w:t>
      </w:r>
    </w:p>
    <w:p w14:paraId="72ABEAB1" w14:textId="77777777" w:rsidR="003801E8" w:rsidRDefault="003801E8">
      <w:pPr>
        <w:pStyle w:val="teza1"/>
        <w:ind w:left="720"/>
        <w:jc w:val="both"/>
        <w:rPr>
          <w:rFonts w:ascii="Book Antiqua" w:hAnsi="Book Antiqua" w:cs="Times New Roman"/>
          <w:b w:val="0"/>
          <w:color w:val="auto"/>
          <w:sz w:val="24"/>
        </w:rPr>
      </w:pPr>
    </w:p>
    <w:p w14:paraId="485788CD" w14:textId="77777777" w:rsidR="003801E8" w:rsidRDefault="00E44AAE">
      <w:pPr>
        <w:tabs>
          <w:tab w:val="left" w:pos="3315"/>
        </w:tabs>
        <w:spacing w:line="360" w:lineRule="auto"/>
        <w:jc w:val="both"/>
        <w:rPr>
          <w:rFonts w:ascii="Book Antiqua" w:hAnsi="Book Antiqua" w:cs="Times New Roman"/>
          <w:b/>
          <w:bCs/>
          <w:color w:val="000000" w:themeColor="text1"/>
          <w:sz w:val="24"/>
          <w:szCs w:val="24"/>
          <w:lang w:val="sr-Latn-RS"/>
        </w:rPr>
      </w:pPr>
      <w:r>
        <w:rPr>
          <w:rFonts w:ascii="Book Antiqua" w:hAnsi="Book Antiqua" w:cs="Times New Roman"/>
          <w:b/>
          <w:bCs/>
          <w:color w:val="000000" w:themeColor="text1"/>
          <w:sz w:val="24"/>
        </w:rPr>
        <w:lastRenderedPageBreak/>
        <w:t>VIII LITERATURA</w:t>
      </w:r>
      <w:r>
        <w:rPr>
          <w:rFonts w:ascii="Book Antiqua" w:hAnsi="Book Antiqua" w:cs="Times New Roman"/>
          <w:b/>
          <w:bCs/>
          <w:color w:val="000000" w:themeColor="text1"/>
          <w:sz w:val="24"/>
          <w:szCs w:val="24"/>
          <w:lang w:val="sr-Latn-RS"/>
        </w:rPr>
        <w:t xml:space="preserve"> </w:t>
      </w:r>
    </w:p>
    <w:p w14:paraId="61280E1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Aćimović, S., Delibašić, G., Schilder, A., Tanović, B. (2008): Eutypa dieback and ESCA: Trunk necrosis and dieback diseases of grapevines in Serbia. Pesticidi i Fitomedicina. 36 (2): 94-103</w:t>
      </w:r>
    </w:p>
    <w:p w14:paraId="58B17E9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Aguirre, K., Perez, L. M., Montealegre, J. L. (2023): In vitro evaluation on drying supports and adhesive polymers as adjuvents for biocontrol od </w:t>
      </w:r>
      <w:r>
        <w:rPr>
          <w:rFonts w:ascii="Book Antiqua" w:hAnsi="Book Antiqua" w:cs="Times New Roman"/>
          <w:i/>
          <w:iCs/>
          <w:color w:val="000000" w:themeColor="text1"/>
          <w:sz w:val="24"/>
          <w:szCs w:val="24"/>
          <w:lang w:val="sr-Latn-RS"/>
        </w:rPr>
        <w:t>Diplodia seriata</w:t>
      </w:r>
      <w:r>
        <w:rPr>
          <w:rFonts w:ascii="Book Antiqua" w:hAnsi="Book Antiqua" w:cs="Times New Roman"/>
          <w:color w:val="000000" w:themeColor="text1"/>
          <w:sz w:val="24"/>
          <w:szCs w:val="24"/>
          <w:lang w:val="sr-Latn-RS"/>
        </w:rPr>
        <w:t xml:space="preserve"> by </w:t>
      </w:r>
      <w:r>
        <w:rPr>
          <w:rFonts w:ascii="Book Antiqua" w:hAnsi="Book Antiqua" w:cs="Times New Roman"/>
          <w:i/>
          <w:iCs/>
          <w:color w:val="000000" w:themeColor="text1"/>
          <w:sz w:val="24"/>
          <w:szCs w:val="24"/>
          <w:lang w:val="sr-Latn-RS"/>
        </w:rPr>
        <w:t>Trichoderma harzianum</w:t>
      </w:r>
      <w:r>
        <w:rPr>
          <w:rFonts w:ascii="Book Antiqua" w:hAnsi="Book Antiqua" w:cs="Times New Roman"/>
          <w:color w:val="000000" w:themeColor="text1"/>
          <w:sz w:val="24"/>
          <w:szCs w:val="24"/>
          <w:lang w:val="sr-Latn-RS"/>
        </w:rPr>
        <w:t xml:space="preserve"> and </w:t>
      </w:r>
      <w:r>
        <w:rPr>
          <w:rFonts w:ascii="Book Antiqua" w:hAnsi="Book Antiqua" w:cs="Times New Roman"/>
          <w:i/>
          <w:iCs/>
          <w:color w:val="000000" w:themeColor="text1"/>
          <w:sz w:val="24"/>
          <w:szCs w:val="24"/>
          <w:lang w:val="sr-Latn-RS"/>
        </w:rPr>
        <w:t>Clonostachys rosea</w:t>
      </w:r>
      <w:r>
        <w:rPr>
          <w:rFonts w:ascii="Book Antiqua" w:hAnsi="Book Antiqua" w:cs="Times New Roman"/>
          <w:color w:val="000000" w:themeColor="text1"/>
          <w:sz w:val="24"/>
          <w:szCs w:val="24"/>
          <w:lang w:val="sr-Latn-RS"/>
        </w:rPr>
        <w:t>. Phytopatologia Meditterranea. 62 (2): 227-237. DOI: 10.36253/phyto-14096</w:t>
      </w:r>
    </w:p>
    <w:p w14:paraId="2C5258D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Agustí-Brisach, C., León, M., García-Jiménez, J., Armengol, J. (2015): Detection of grapevine fungal trunk pathogens on pruning shears and evaluation of their potential for spread of infection. Plant Disease. 99 (7): 976-981. DOI: 10.1094/PDIS-12-14-1283-RE Link</w:t>
      </w:r>
    </w:p>
    <w:p w14:paraId="6E2654B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Akgul, D. S., Gungor Savas, N., Yildiz, M., Bulbul, I., Ozarslandan, M. (2023): Current status of grapevine trunk diseases pathogens of asimptomatic nursery product grapevines in Turkiye. Phytopathologia Meditterranea. 62 (2): 151-163. DOI:10.36253/phyto-14148</w:t>
      </w:r>
    </w:p>
    <w:p w14:paraId="4F8BF36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Alfonzo, A., Conigliaro, G., Torta, L., Burruano, S., Moschetti, G. (2009): Antagonism of </w:t>
      </w:r>
      <w:r>
        <w:rPr>
          <w:rFonts w:ascii="Book Antiqua" w:hAnsi="Book Antiqua" w:cs="Times New Roman"/>
          <w:i/>
          <w:iCs/>
          <w:color w:val="000000" w:themeColor="text1"/>
          <w:sz w:val="24"/>
          <w:szCs w:val="24"/>
          <w:lang w:val="sr-Latn-RS"/>
        </w:rPr>
        <w:t>Bacillus subtilis</w:t>
      </w:r>
      <w:r>
        <w:rPr>
          <w:rFonts w:ascii="Book Antiqua" w:hAnsi="Book Antiqua" w:cs="Times New Roman"/>
          <w:color w:val="000000" w:themeColor="text1"/>
          <w:sz w:val="24"/>
          <w:szCs w:val="24"/>
          <w:lang w:val="sr-Latn-RS"/>
        </w:rPr>
        <w:t xml:space="preserve"> strain AG1 against vine wood fungal pathogens. Phytopathologia Mediterranea. 48 (1): 155-158. DOI:  10.14601/Phytopathol_Mediterr-2886</w:t>
      </w:r>
    </w:p>
    <w:p w14:paraId="4706707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Alfonzo A., Lo Piccolo S., Conigliaro G., Ventorino V., Burruano S., Moschetti G. (2012): Antifungal peptides produced by </w:t>
      </w:r>
      <w:r>
        <w:rPr>
          <w:rFonts w:ascii="Book Antiqua" w:hAnsi="Book Antiqua" w:cs="Times New Roman"/>
          <w:i/>
          <w:color w:val="000000" w:themeColor="text1"/>
          <w:sz w:val="24"/>
          <w:szCs w:val="24"/>
          <w:lang w:val="sr-Latn-RS"/>
        </w:rPr>
        <w:t>Bacillus amyloliquefaciens</w:t>
      </w:r>
      <w:r>
        <w:rPr>
          <w:rFonts w:ascii="Book Antiqua" w:hAnsi="Book Antiqua" w:cs="Times New Roman"/>
          <w:color w:val="000000" w:themeColor="text1"/>
          <w:sz w:val="24"/>
          <w:szCs w:val="24"/>
          <w:lang w:val="sr-Latn-RS"/>
        </w:rPr>
        <w:t xml:space="preserve"> AG1 active against grapevine fungal pathogens. Annals of Microbiology. 62 (4): 1593–1599. DOI: 10.1007/s13213-011-0415-2</w:t>
      </w:r>
    </w:p>
    <w:p w14:paraId="5D1482B4"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76E7238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Almeida, A.B., Concas, J., Campos, M.D., Materatski, P., Varanda, C., Patanita, M., Murolo, S., Romanazzi, G., Rosario-Felix, M. (2020): Endophytic fungi as potential biological control agents against grapevine trunk diseases in alentejo region. Biology. 9 (12): 420. DOI:10.3390/biology9120420</w:t>
      </w:r>
    </w:p>
    <w:p w14:paraId="1C4BFB9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Álvarez-Pérez, J. M., González-García, S., Cobos, R., Olego, M. A., Ibañez, A., Díez-Galán, A., Jimeno, E. G., Coque, J. J. (2017): Use of endophytic and rhizospheric actinobacteria from grapevine plants to reduce nursery fungal infections that lead to young grapevine decline. Applied Environmental Microbiology. 83 (24): e01564–17. DOI: 10.1128/AEM.01564-17</w:t>
      </w:r>
    </w:p>
    <w:p w14:paraId="29FEC29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Amponsah, N. T., Jones, E. E., Ridgway, H. J., Jaspers, M. V. (2014): Factors affecting Neofusicoccum luteum infection and disease progression in grapevines. Australasian Plant Pathology. 43 (5): 547–556. DOI: 10.1007/s13313-014-0294-7</w:t>
      </w:r>
    </w:p>
    <w:p w14:paraId="2D7CF22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Andreini, L., Caruso, G., Bertolla, C., Scalabrelli, G., Viti, R., Gucci, R. (2009): Gas excange, stem water potential and xylem flux on some grapevine cultivars affected by Esca disease. South African Journal of Enology and Viticulture. 30 (2): 142-147. DOI:10.21548/30-2-1434</w:t>
      </w:r>
    </w:p>
    <w:p w14:paraId="2D638CD4"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Andolfi, A., Mugnai, L., Luque, J., Surico, G., Cimmino, A., Evidente, A. (2011): Phytotoxins produced by fungi associated with grapevine trunk diseases. Toxins. 3 (12): 1569– 1605. DOI:10.3390/toxins3121569.</w:t>
      </w:r>
    </w:p>
    <w:p w14:paraId="5F1E6AB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Aroca, A., Gramaje, D., Armengol, J., Garcia-Jimenez, J., Raposo, R. (2010): Evaluation of the grapevine nursery propagation process as a source of </w:t>
      </w:r>
      <w:r>
        <w:rPr>
          <w:rFonts w:ascii="Book Antiqua" w:hAnsi="Book Antiqua" w:cs="Times New Roman"/>
          <w:i/>
          <w:color w:val="000000" w:themeColor="text1"/>
          <w:sz w:val="24"/>
          <w:szCs w:val="24"/>
          <w:lang w:val="sr-Latn-RS"/>
        </w:rPr>
        <w:t>Phaeoacremonium</w:t>
      </w:r>
      <w:r>
        <w:rPr>
          <w:rFonts w:ascii="Book Antiqua" w:hAnsi="Book Antiqua" w:cs="Times New Roman"/>
          <w:color w:val="000000" w:themeColor="text1"/>
          <w:sz w:val="24"/>
          <w:szCs w:val="24"/>
          <w:lang w:val="sr-Latn-RS"/>
        </w:rPr>
        <w:t xml:space="preserve"> spp. and </w:t>
      </w:r>
      <w:r>
        <w:rPr>
          <w:rFonts w:ascii="Book Antiqua" w:hAnsi="Book Antiqua" w:cs="Times New Roman"/>
          <w:i/>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and occurrence of trunk disease pathogens in rootstock mother vines in Spain. European Journal of Plant Pathology. 126: 165-174. DOI: 10.1007/s10658-009-9530-3</w:t>
      </w:r>
    </w:p>
    <w:p w14:paraId="2CF1F109"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58B8C354"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432A5E4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Armengol, J., Vicent, A., Torne, L., Garcia-Figueres, F., Garcia-Jimenez, J. (2001): Fungi associated with esca and grapevine declines in Spain: a three-year survey. Phytopathologia Mediterranea. 40 (3): 325–329. DOI: 10.14601/Phytopathol_Mediterr-1621</w:t>
      </w:r>
    </w:p>
    <w:p w14:paraId="4B6FD828" w14:textId="77777777" w:rsidR="003801E8" w:rsidRDefault="00E44AAE">
      <w:pPr>
        <w:tabs>
          <w:tab w:val="left" w:pos="3315"/>
        </w:tabs>
        <w:spacing w:line="360" w:lineRule="auto"/>
        <w:jc w:val="both"/>
        <w:rPr>
          <w:rStyle w:val="Hyperlink"/>
          <w:rFonts w:ascii="Book Antiqua" w:hAnsi="Book Antiqua" w:cs="Times New Roman"/>
          <w:color w:val="000000" w:themeColor="text1"/>
          <w:sz w:val="24"/>
          <w:szCs w:val="24"/>
          <w:u w:val="none"/>
          <w:lang w:val="sr-Latn-RS"/>
        </w:rPr>
      </w:pPr>
      <w:r>
        <w:rPr>
          <w:rStyle w:val="Hyperlink"/>
          <w:rFonts w:ascii="Book Antiqua" w:hAnsi="Book Antiqua" w:cs="Times New Roman"/>
          <w:color w:val="000000" w:themeColor="text1"/>
          <w:sz w:val="24"/>
          <w:szCs w:val="24"/>
          <w:u w:val="none"/>
          <w:lang w:val="sr-Latn-RS"/>
        </w:rPr>
        <w:t>Armijo, G., Schlechter, R., Agurto, M., Munoz, D., Nunez, C., Arce-Johnson, P. (2016): Grapevine Pathogenic Microorganisms: Understanding Infection Strategies and Host Response Scenarios. Frontiers in Plant Science. 7:382. DOI: 10.3389/fpls.2016.00382</w:t>
      </w:r>
    </w:p>
    <w:p w14:paraId="1CC454D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Aziz, A., Trotel-Aziz, P., Dhuicq, L., Jeandet, P., Couderchet, M., Vernet, G. (2006): Chitosan oligomers and copper sulfate induce grapevinedefense reactions and resistance to gray mold and downy mildew. Phytopathology. 96 (11): 1188–1194. DOI: 10.1094/PHYTO-96-1188</w:t>
      </w:r>
    </w:p>
    <w:p w14:paraId="32F8966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Ayres, M., Billones-Baaijens, R., Savocchia, S., Scott, E., Sosnowski, M. (2016): Susceptibility of pruning wounds to grapevine trunk disease pathogens. Wine and Viticulture Journal. 31 (6): 48–50.</w:t>
      </w:r>
    </w:p>
    <w:p w14:paraId="05AF9BE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Ayres, M. R., Wicks, T. J., Scott, E. S., Sosnowski, M. R. (2017): Developing pruning wound protection strategies for managing Eutypa dieback. Australian Journal of Grape and Wine Research. 23 (1): 103-111. </w:t>
      </w:r>
      <w:hyperlink r:id="rId59" w:history="1">
        <w:r>
          <w:rPr>
            <w:rStyle w:val="Hyperlink"/>
            <w:rFonts w:ascii="Book Antiqua" w:hAnsi="Book Antiqua" w:cs="Times New Roman"/>
            <w:color w:val="000000" w:themeColor="text1"/>
            <w:sz w:val="24"/>
            <w:szCs w:val="24"/>
            <w:u w:val="none"/>
            <w:lang w:val="sr-Latn-RS"/>
          </w:rPr>
          <w:t>DOI: 10.1111/ajgw.12254</w:t>
        </w:r>
      </w:hyperlink>
    </w:p>
    <w:p w14:paraId="3CFCD19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Baskarathevan, J., Jaspers, M. V., Jones, E. E., Ridgway, H. J. (2012): Incidence and distribution of botryosphaeriaceous species in New Zealand vineyards. European Journal of Plant Pathology. 132 (4): 549–560. DOI: 10.1007/s10658- 011-9900-5.</w:t>
      </w:r>
    </w:p>
    <w:p w14:paraId="4A029F6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Bahmani, Z., Abdollahzadeh, J., Amini, J., Evidente, A. (2021): Biscogniauxia rosacearum the charcoal canker agent as a pathogen associated with grapevine trunk diseases in Zagros region of Iran.  Scietific reports. 11:14098. DOI: 10.1038/s41598-021-93630-w</w:t>
      </w:r>
    </w:p>
    <w:p w14:paraId="61A9CF5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Barbour, J. E., Ridgway, H. J., Jones, E. E. (2014): Influence of mustard biofumigation on growth, conidial germination and propagule recovery of </w:t>
      </w:r>
      <w:r>
        <w:rPr>
          <w:rFonts w:ascii="Book Antiqua" w:hAnsi="Book Antiqua" w:cs="Times New Roman"/>
          <w:i/>
          <w:iCs/>
          <w:color w:val="000000" w:themeColor="text1"/>
          <w:sz w:val="24"/>
          <w:szCs w:val="24"/>
          <w:lang w:val="sr-Latn-RS"/>
        </w:rPr>
        <w:t>Ilyonectria macrodidymacomplex</w:t>
      </w:r>
      <w:r>
        <w:rPr>
          <w:rFonts w:ascii="Book Antiqua" w:hAnsi="Book Antiqua" w:cs="Times New Roman"/>
          <w:color w:val="000000" w:themeColor="text1"/>
          <w:sz w:val="24"/>
          <w:szCs w:val="24"/>
          <w:lang w:val="sr-Latn-RS"/>
        </w:rPr>
        <w:t xml:space="preserve"> species. Phytopathologia Mediterranea. 53: 582. DOI: 10.14601/Phytopathol_Mediterr-15167</w:t>
      </w:r>
    </w:p>
    <w:p w14:paraId="4A841AC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Basso, M. F., Fajardo, T. V. M., Saldarelli, P. (2017): Grapevine virus diseases: Economic impact and current advances in viral prospection and management. Revista Brasileira de Fruticultura. 39 (1): 389 – 411. DOI. 10.1590/0100-29452017 411</w:t>
      </w:r>
    </w:p>
    <w:p w14:paraId="49049D9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Becker, A. (2018): Alte Reben - neues Leben. Weinbau. 188 (4): 21-26.</w:t>
      </w:r>
    </w:p>
    <w:p w14:paraId="511E540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Berlanas, C., Andrés</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Sodupe, M., L</w:t>
      </w:r>
      <w:r>
        <w:rPr>
          <w:rFonts w:ascii="Book Antiqua" w:hAnsi="Book Antiqua" w:cs="Book Antiqua"/>
          <w:color w:val="000000" w:themeColor="text1"/>
          <w:sz w:val="24"/>
          <w:szCs w:val="24"/>
          <w:lang w:val="sr-Latn-RS"/>
        </w:rPr>
        <w:t>ó</w:t>
      </w:r>
      <w:r>
        <w:rPr>
          <w:rFonts w:ascii="Book Antiqua" w:hAnsi="Book Antiqua" w:cs="Times New Roman"/>
          <w:color w:val="000000" w:themeColor="text1"/>
          <w:sz w:val="24"/>
          <w:szCs w:val="24"/>
          <w:lang w:val="sr-Latn-RS"/>
        </w:rPr>
        <w:t>pez</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Manzanares, B., Maldonado</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Gonz</w:t>
      </w:r>
      <w:r>
        <w:rPr>
          <w:rFonts w:ascii="Book Antiqua" w:hAnsi="Book Antiqua" w:cs="Book Antiqua"/>
          <w:color w:val="000000" w:themeColor="text1"/>
          <w:sz w:val="24"/>
          <w:szCs w:val="24"/>
          <w:lang w:val="sr-Latn-RS"/>
        </w:rPr>
        <w:t>á</w:t>
      </w:r>
      <w:r>
        <w:rPr>
          <w:rFonts w:ascii="Book Antiqua" w:hAnsi="Book Antiqua" w:cs="Times New Roman"/>
          <w:color w:val="000000" w:themeColor="text1"/>
          <w:sz w:val="24"/>
          <w:szCs w:val="24"/>
          <w:lang w:val="sr-Latn-RS"/>
        </w:rPr>
        <w:t xml:space="preserve">lez, M. M., Gramaje, D. (2018): Effect of white mustard cover crop residue, soil chemical fumigation and </w:t>
      </w:r>
      <w:r>
        <w:rPr>
          <w:rFonts w:ascii="Book Antiqua" w:hAnsi="Book Antiqua" w:cs="Times New Roman"/>
          <w:i/>
          <w:iCs/>
          <w:color w:val="000000" w:themeColor="text1"/>
          <w:sz w:val="24"/>
          <w:szCs w:val="24"/>
          <w:lang w:val="sr-Latn-RS"/>
        </w:rPr>
        <w:t>Trichoderma</w:t>
      </w:r>
      <w:r>
        <w:rPr>
          <w:rFonts w:ascii="Book Antiqua" w:hAnsi="Book Antiqua" w:cs="Times New Roman"/>
          <w:color w:val="000000" w:themeColor="text1"/>
          <w:sz w:val="24"/>
          <w:szCs w:val="24"/>
          <w:lang w:val="sr-Latn-RS"/>
        </w:rPr>
        <w:t xml:space="preserve"> spp. root treatment on black</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foot disease control in grapevine. Pest Management Science. 74 (12): 2864–2873. DOI: 10.1002/ps.5078</w:t>
      </w:r>
    </w:p>
    <w:p w14:paraId="138AE797" w14:textId="77777777" w:rsidR="003801E8" w:rsidRDefault="00E44AAE">
      <w:pPr>
        <w:tabs>
          <w:tab w:val="left" w:pos="3315"/>
        </w:tabs>
        <w:spacing w:line="360" w:lineRule="auto"/>
        <w:jc w:val="both"/>
        <w:rPr>
          <w:rStyle w:val="Hyperlink"/>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Bertsch, C., Ramírez-Suero, M., Magnin-Robert, M., Larignon, P., Chong, J., Abou-Mansour, E., Spagnolo, A., Clément, C., Fontaine, F. (2013):  Grapevine  trunk  diseases:  Complex and  still  poorly  understood.  Plant  Pathology.  62 (2): 243-265. </w:t>
      </w:r>
      <w:hyperlink r:id="rId60" w:history="1">
        <w:r>
          <w:rPr>
            <w:rStyle w:val="Hyperlink"/>
            <w:rFonts w:ascii="Book Antiqua" w:hAnsi="Book Antiqua" w:cs="Times New Roman"/>
            <w:color w:val="000000" w:themeColor="text1"/>
            <w:sz w:val="24"/>
            <w:szCs w:val="24"/>
            <w:u w:val="none"/>
            <w:lang w:val="sr-Latn-RS"/>
          </w:rPr>
          <w:t>DOI: 10.1111/j.1365-3059.2012.02674.x</w:t>
        </w:r>
      </w:hyperlink>
    </w:p>
    <w:p w14:paraId="52E34B2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Berbegal, M., Ramón</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Albalat, A., Le</w:t>
      </w:r>
      <w:r>
        <w:rPr>
          <w:rFonts w:ascii="Book Antiqua" w:hAnsi="Book Antiqua" w:cs="Book Antiqua"/>
          <w:color w:val="000000" w:themeColor="text1"/>
          <w:sz w:val="24"/>
          <w:szCs w:val="24"/>
          <w:lang w:val="sr-Latn-RS"/>
        </w:rPr>
        <w:t>ó</w:t>
      </w:r>
      <w:r>
        <w:rPr>
          <w:rFonts w:ascii="Book Antiqua" w:hAnsi="Book Antiqua" w:cs="Times New Roman"/>
          <w:color w:val="000000" w:themeColor="text1"/>
          <w:sz w:val="24"/>
          <w:szCs w:val="24"/>
          <w:lang w:val="sr-Latn-RS"/>
        </w:rPr>
        <w:t>n, M., Armengol, J. (2020): Evaluation of long</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 xml:space="preserve">term protection from nursery to vineyard provided by </w:t>
      </w:r>
      <w:r>
        <w:rPr>
          <w:rFonts w:ascii="Book Antiqua" w:hAnsi="Book Antiqua" w:cs="Times New Roman"/>
          <w:i/>
          <w:iCs/>
          <w:color w:val="000000" w:themeColor="text1"/>
          <w:sz w:val="24"/>
          <w:szCs w:val="24"/>
          <w:lang w:val="sr-Latn-RS"/>
        </w:rPr>
        <w:t>Trichoderma atroviride</w:t>
      </w:r>
      <w:r>
        <w:rPr>
          <w:rFonts w:ascii="Book Antiqua" w:hAnsi="Book Antiqua" w:cs="Times New Roman"/>
          <w:color w:val="000000" w:themeColor="text1"/>
          <w:sz w:val="24"/>
          <w:szCs w:val="24"/>
          <w:lang w:val="sr-Latn-RS"/>
        </w:rPr>
        <w:t xml:space="preserve"> SC1 against fungal grapevine trunk pathogens. Pest Management Science. 76 (3): 967–977. DOI: 10.1002/ps.5605</w:t>
      </w:r>
    </w:p>
    <w:p w14:paraId="74C79D1D"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lang w:val="sr-Latn-RS"/>
        </w:rPr>
        <w:t xml:space="preserve">Berbegal., M., Blasco, A., Gaume, G., Amoros, P., Fernandes, A., Ros-Lis, J. V., Armengol, J. (2024): </w:t>
      </w:r>
      <w:r>
        <w:rPr>
          <w:rFonts w:ascii="Book Antiqua" w:hAnsi="Book Antiqua" w:cs="Times New Roman"/>
          <w:color w:val="000000" w:themeColor="text1"/>
          <w:sz w:val="24"/>
          <w:szCs w:val="24"/>
        </w:rPr>
        <w:t>Evaluation of electrolyzed water to controlfungal trunk pathogens in grapevine nurseries. Pest Management Science. 81 (4): 1740-1751. DOI:10.1002/ps.8568</w:t>
      </w:r>
    </w:p>
    <w:p w14:paraId="28E36257"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lang w:val="sr-Latn-RS"/>
        </w:rPr>
        <w:lastRenderedPageBreak/>
        <w:t>Beris, E., Selim, M., Kechagia, D., Evangelou, A. (2022): Overview of the Esca Complex as an Increasing Threat in Vineyards Worldwide: Climate Change, Control Approaches and Impact on Grape and Wine Quality. Recent Advances in Grapes and Wine Production – New Perspectives for Quality Improvement. DOI: 10.5772/intechopen.105897</w:t>
      </w:r>
    </w:p>
    <w:p w14:paraId="3640606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Bester, W. (2006): Characterisation and management of trunk disease – causing pathogens on table grapevines. Master's thesis. University of Stellenbosch. 65</w:t>
      </w:r>
    </w:p>
    <w:p w14:paraId="5EBE0243" w14:textId="77777777" w:rsidR="003801E8" w:rsidRDefault="00E44AAE">
      <w:pPr>
        <w:spacing w:line="360" w:lineRule="auto"/>
        <w:jc w:val="both"/>
        <w:rPr>
          <w:rFonts w:ascii="Book Antiqua" w:hAnsi="Book Antiqua"/>
          <w:sz w:val="24"/>
          <w:szCs w:val="24"/>
        </w:rPr>
      </w:pPr>
      <w:r>
        <w:rPr>
          <w:rFonts w:ascii="Book Antiqua" w:hAnsi="Book Antiqua" w:cs="Times New Roman"/>
          <w:sz w:val="24"/>
          <w:szCs w:val="24"/>
        </w:rPr>
        <w:t xml:space="preserve">Berris, E.,  Selim, M., Kechagia, D., Evangelou, A. (2022): Overview of the Esca Complex as an Increasing Threat in Vineyards Worldwide: Climate Change, Control Approaches and Impact on Grape and Wine Quality. Intech Open. DOI: </w:t>
      </w:r>
      <w:hyperlink r:id="rId61" w:history="1">
        <w:r>
          <w:rPr>
            <w:rStyle w:val="Hyperlink"/>
            <w:rFonts w:ascii="Book Antiqua" w:hAnsi="Book Antiqua" w:cs="Times New Roman"/>
            <w:color w:val="auto"/>
            <w:sz w:val="24"/>
            <w:szCs w:val="24"/>
          </w:rPr>
          <w:t>10.5772/intechopen.105897</w:t>
        </w:r>
      </w:hyperlink>
    </w:p>
    <w:p w14:paraId="3A69B7CE"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Bortolami, G., Gambetta, G.A.,  Delzon, S., Lamarque, L.J., Pouzoulet, J., Badel, E., Burlett, R., Charrier, G., Cochard, H., Dayer, S., Jansen, S., King, A., Lecomte, P., Lens, F., Torres Ruis, J.M., Delmas, C.E.L. (2019): Exploring the hydraulic failure hypothesis of esca leaf symptom formation. Plant Physiology. 181(3): 1163-1174. https://doi.org//10.1104/pp.19.00591. Epub 2019 Aug 27.</w:t>
      </w:r>
    </w:p>
    <w:p w14:paraId="04BD302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Billones-Baaijens, B. R., Ayres, M., Savocchia, S., Sosnowski, M. (2017): Monitoring inoculum dispersal by grapevine trunk disease pathogens using spore traps. Wine Viticulture. 32 (4): 46-50</w:t>
      </w:r>
    </w:p>
    <w:p w14:paraId="68ED2B9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Bleach, C. M., Jones, E. E., Ridgway, H., Jaspers, M. V. (2013): Hot water treatment to reduce incidence of black foot pathogens in young grapevines grown in cool climates. Phytopathologia Mediterranea. 52 (2): 347–348. DOI: 10.14601/Phytopathol_Mediterr-11815</w:t>
      </w:r>
    </w:p>
    <w:p w14:paraId="6DAE67D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Blundell, R., Arreguin, M., Eskalen, A. (2021): </w:t>
      </w:r>
      <w:r>
        <w:rPr>
          <w:rFonts w:ascii="Book Antiqua" w:hAnsi="Book Antiqua" w:cs="Times New Roman"/>
          <w:i/>
          <w:iCs/>
          <w:color w:val="000000" w:themeColor="text1"/>
          <w:sz w:val="24"/>
          <w:szCs w:val="24"/>
          <w:lang w:val="sr-Latn-RS"/>
        </w:rPr>
        <w:t>In vitro</w:t>
      </w:r>
      <w:r>
        <w:rPr>
          <w:rFonts w:ascii="Book Antiqua" w:hAnsi="Book Antiqua" w:cs="Times New Roman"/>
          <w:color w:val="000000" w:themeColor="text1"/>
          <w:sz w:val="24"/>
          <w:szCs w:val="24"/>
          <w:lang w:val="sr-Latn-RS"/>
        </w:rPr>
        <w:t xml:space="preserve"> evaluation of grapevine endophytes, epiphytes and sap microorganisms for potential use to control grapevine trunk disease pathogens. Phytopathologia Mediterranea. 60 (3): 535-548. DOI: 10.36253/ phyto-12500</w:t>
      </w:r>
    </w:p>
    <w:p w14:paraId="56D2AC7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Braccini, P., Calzarano, F., Dalla Marta, A., Di Marco, S., Marchi, G., Mugnai, L., Peduto, F., Orlandini, S., Osti, F., Surico, G. (2005): Relation of Esca foliar symptoms to rainfall and rainfall-related parameters. Phytopathologia Mediterranea. 44 (1): 107</w:t>
      </w:r>
    </w:p>
    <w:p w14:paraId="6B2E8FA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Bruez E., Lecomte P., Grosman J., Doublet B., Bertsch C., Rey P. (2013): Overview of grapevine trunk diseases in France in the 2000s. Phytopathologia Mediterranea. 52 (2): 262–275. DOI:</w:t>
      </w:r>
      <w:r>
        <w:t xml:space="preserve"> </w:t>
      </w:r>
      <w:hyperlink r:id="rId62" w:tgtFrame="_blank" w:history="1">
        <w:r>
          <w:rPr>
            <w:rStyle w:val="Hyperlink"/>
            <w:rFonts w:ascii="Book Antiqua" w:hAnsi="Book Antiqua" w:cs="Times New Roman"/>
            <w:color w:val="auto"/>
            <w:sz w:val="24"/>
            <w:szCs w:val="24"/>
            <w:u w:val="none"/>
          </w:rPr>
          <w:t>10.14601/Phytopathol_Mediterr-11578</w:t>
        </w:r>
      </w:hyperlink>
    </w:p>
    <w:p w14:paraId="744A6F6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Bruez, E., Larignon, P., Bertsch, C., Robert-Siegwald, G., Lebrun, M.H., Rey, P., Fontaine, F. (2021): Impacts of sodium arsenite on wood microbiota of esca-diseased grapevines. Journal of Fungi. 7 (7): 498. DOI: 10.3390/jof7070498</w:t>
      </w:r>
    </w:p>
    <w:p w14:paraId="66A1C6C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Brown, A. A. A., Lawrence, D. P. P., Baumgartner, K. (2020): Role of basidiomycete fungi in the grapevine trunk disease esca. Plant Pathology. 69 (2): 205–220. DOI: 10.1111/ppa.13116</w:t>
      </w:r>
    </w:p>
    <w:p w14:paraId="67535E7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Bruno, G., Sparapano, L., Graniti, A. (2007): Effects of three esca-associated fungi on </w:t>
      </w:r>
      <w:r>
        <w:rPr>
          <w:rFonts w:ascii="Book Antiqua" w:hAnsi="Book Antiqua" w:cs="Times New Roman"/>
          <w:i/>
          <w:iCs/>
          <w:color w:val="000000" w:themeColor="text1"/>
          <w:sz w:val="24"/>
          <w:szCs w:val="24"/>
          <w:lang w:val="sr-Latn-RS"/>
        </w:rPr>
        <w:t>Vitis vinifera</w:t>
      </w:r>
      <w:r>
        <w:rPr>
          <w:rFonts w:ascii="Book Antiqua" w:hAnsi="Book Antiqua" w:cs="Times New Roman"/>
          <w:color w:val="000000" w:themeColor="text1"/>
          <w:sz w:val="24"/>
          <w:szCs w:val="24"/>
          <w:lang w:val="sr-Latn-RS"/>
        </w:rPr>
        <w:t xml:space="preserve"> L.: IV. Diffusion  through the xylem of metabolites produced by two tracheiphilous fungi in the woody tissue of grapevine leads to esca-like symptoms on leaves and berries. Physiological and Molecular Plant Pathology. 71 (1-3): 106–124. DOI: 10.1016/j.pmpp.2007.12.004</w:t>
      </w:r>
    </w:p>
    <w:p w14:paraId="045CC2F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Brasier, C. M., Webber, J. F. (1987): Positive correlation between in vitro growth rate and pathogenesis in </w:t>
      </w:r>
      <w:r>
        <w:rPr>
          <w:rFonts w:ascii="Book Antiqua" w:hAnsi="Book Antiqua" w:cs="Times New Roman"/>
          <w:i/>
          <w:iCs/>
          <w:color w:val="000000" w:themeColor="text1"/>
          <w:sz w:val="24"/>
          <w:szCs w:val="24"/>
          <w:lang w:val="sr-Latn-RS"/>
        </w:rPr>
        <w:t>Ophiostoma ulmi</w:t>
      </w:r>
      <w:r>
        <w:rPr>
          <w:rFonts w:ascii="Book Antiqua" w:hAnsi="Book Antiqua" w:cs="Times New Roman"/>
          <w:color w:val="000000" w:themeColor="text1"/>
          <w:sz w:val="24"/>
          <w:szCs w:val="24"/>
          <w:lang w:val="sr-Latn-RS"/>
        </w:rPr>
        <w:t xml:space="preserve">. Plant Pathology. 36 (4): 462-466          </w:t>
      </w:r>
    </w:p>
    <w:p w14:paraId="75B06A9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Bonaterra, A., Badosa, E., Daranas, N., Francés, J., Roselló, G., Montesinos, E. (2022): Bacteria as biological control agents of plant diseases. Microorganisms. 10 (9): 1759. DOI: 10.3390/microorganisms10091759</w:t>
      </w:r>
    </w:p>
    <w:p w14:paraId="0BF66CD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Bojkov, G., Mitrev, S., Arsov, E. (2024): Foliar symptoms of Esca as a sign of vine mortality: A binary logistic regression approach. XIII International Symposium on Agricultural Sciences , AgroRes 2024. Trebinje</w:t>
      </w:r>
    </w:p>
    <w:p w14:paraId="07BB28B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Bukovec, M., Celar, F., Valic, N. (2005): Kap vinske trte in Nejni Možni povzročitelji v vinorodni deželi primorska. Zbornik Predavanja Slovenačkog Posvetovanja O Varstvu Rastl. Zreče. 7: 362–366.</w:t>
      </w:r>
    </w:p>
    <w:p w14:paraId="321694F5" w14:textId="77777777" w:rsidR="003801E8" w:rsidRDefault="00E44AAE">
      <w:pPr>
        <w:tabs>
          <w:tab w:val="left" w:pos="3315"/>
        </w:tabs>
        <w:spacing w:line="360" w:lineRule="auto"/>
        <w:jc w:val="both"/>
        <w:rPr>
          <w:rFonts w:ascii="Book Antiqua" w:hAnsi="Book Antiqua" w:cs="Times New Roman"/>
          <w:b/>
          <w:bCs/>
          <w:color w:val="000000" w:themeColor="text1"/>
          <w:sz w:val="24"/>
          <w:szCs w:val="24"/>
          <w:lang w:val="en-US"/>
        </w:rPr>
      </w:pPr>
      <w:r>
        <w:rPr>
          <w:rFonts w:ascii="Book Antiqua" w:hAnsi="Book Antiqua" w:cs="Times New Roman"/>
          <w:color w:val="000000" w:themeColor="text1"/>
          <w:sz w:val="24"/>
          <w:szCs w:val="24"/>
          <w:lang w:val="sr-Latn-RS"/>
        </w:rPr>
        <w:t xml:space="preserve">Camele, I., Mang, S. M. (2019): </w:t>
      </w:r>
      <w:r>
        <w:rPr>
          <w:rFonts w:ascii="Book Antiqua" w:hAnsi="Book Antiqua" w:cs="Times New Roman"/>
          <w:color w:val="000000" w:themeColor="text1"/>
          <w:sz w:val="24"/>
          <w:szCs w:val="24"/>
          <w:lang w:val="en-US"/>
        </w:rPr>
        <w:t>First Report of </w:t>
      </w:r>
      <w:r>
        <w:rPr>
          <w:rFonts w:ascii="Book Antiqua" w:hAnsi="Book Antiqua" w:cs="Times New Roman"/>
          <w:i/>
          <w:iCs/>
          <w:color w:val="000000" w:themeColor="text1"/>
          <w:sz w:val="24"/>
          <w:szCs w:val="24"/>
          <w:lang w:val="en-US"/>
        </w:rPr>
        <w:t>Seimatosporium vitis</w:t>
      </w:r>
      <w:r>
        <w:rPr>
          <w:rFonts w:ascii="Book Antiqua" w:hAnsi="Book Antiqua" w:cs="Times New Roman"/>
          <w:color w:val="000000" w:themeColor="text1"/>
          <w:sz w:val="24"/>
          <w:szCs w:val="24"/>
          <w:lang w:val="en-US"/>
        </w:rPr>
        <w:t> Associated with Grapevine Trunk Diseases on </w:t>
      </w:r>
      <w:r>
        <w:rPr>
          <w:rFonts w:ascii="Book Antiqua" w:hAnsi="Book Antiqua" w:cs="Times New Roman"/>
          <w:i/>
          <w:iCs/>
          <w:color w:val="000000" w:themeColor="text1"/>
          <w:sz w:val="24"/>
          <w:szCs w:val="24"/>
          <w:lang w:val="en-US"/>
        </w:rPr>
        <w:t>Vitis vinifera</w:t>
      </w:r>
      <w:r>
        <w:rPr>
          <w:rFonts w:ascii="Book Antiqua" w:hAnsi="Book Antiqua" w:cs="Times New Roman"/>
          <w:color w:val="000000" w:themeColor="text1"/>
          <w:sz w:val="24"/>
          <w:szCs w:val="24"/>
          <w:lang w:val="en-US"/>
        </w:rPr>
        <w:t xml:space="preserve"> in Italy. Plant Disease. 103 (7): 1773. </w:t>
      </w:r>
      <w:hyperlink r:id="rId63" w:history="1">
        <w:r>
          <w:rPr>
            <w:rStyle w:val="Hyperlink"/>
            <w:rFonts w:ascii="Book Antiqua" w:hAnsi="Book Antiqua" w:cs="Times New Roman"/>
            <w:sz w:val="24"/>
            <w:szCs w:val="24"/>
          </w:rPr>
          <w:t>DOI: 10.1094/PDIS-09-18-1686-PDN</w:t>
        </w:r>
      </w:hyperlink>
    </w:p>
    <w:p w14:paraId="275D3A9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Calzarano, F., Cichelli, A., Odoardi, M. (2001): Preliminary evaluation of variations in composition induced by esca on cv. Trebbiano d’Abruzzo grapes and wines. Phytopathologia Mediterranea. 40 (3): 443–448. DOI: 10.14601/Phytopathol_Mediterr-1633</w:t>
      </w:r>
    </w:p>
    <w:p w14:paraId="3E9EA16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Calzarano, F., Seghetti, L., Del Carlo, M., Cichelli, A. (2004):  Effect of esca on the quality of berries, musts and wines. Phytopathologia Mediterranea. 43 (1): 125–135. DOI: 10.14601/Phytopathol_Mediterr-1729</w:t>
      </w:r>
    </w:p>
    <w:p w14:paraId="66A2DCB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Calzarano, F., Di  Marco, S. (2007): Wood  discoloration  and  decay  in  grapevines  with  esca  proper  and  their  relation-ship with foliar symptoms. Phytopathologia Mediterranea. 46 (1): 96–101. DOI:</w:t>
      </w:r>
      <w:r>
        <w:t xml:space="preserve"> </w:t>
      </w:r>
      <w:hyperlink r:id="rId64" w:tgtFrame="_blank" w:history="1">
        <w:r>
          <w:rPr>
            <w:rStyle w:val="Hyperlink"/>
            <w:rFonts w:ascii="Book Antiqua" w:hAnsi="Book Antiqua" w:cs="Times New Roman"/>
            <w:color w:val="auto"/>
            <w:sz w:val="24"/>
            <w:szCs w:val="24"/>
            <w:u w:val="none"/>
          </w:rPr>
          <w:t>10.36253/phyto-5208</w:t>
        </w:r>
      </w:hyperlink>
    </w:p>
    <w:p w14:paraId="10FAFCD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Calzarano, F., Amalfitano, C., Seghetti, L., Cozzolino, V. (2009): Nutritional status of vines affected with esca proper. Phytopathologia Mediterranea. 48 (1): 20–31. DOI: 10.14601/Phytopathol_Mediterr-2872 </w:t>
      </w:r>
    </w:p>
    <w:p w14:paraId="07C307E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Calzarano, F., Osti, F., Baránek, M., Di Marco, S. (2018): Rainfall and temperature influence expression of foliar symptoms of grapevine leaf stripe disease (esca complex) in vineyards. Phytopathologia Mediterranea. 57, 488–505. DOI:</w:t>
      </w:r>
      <w:r>
        <w:t xml:space="preserve"> </w:t>
      </w:r>
      <w:hyperlink r:id="rId65" w:tgtFrame="_blank" w:history="1">
        <w:r>
          <w:rPr>
            <w:rStyle w:val="Hyperlink"/>
            <w:rFonts w:ascii="Book Antiqua" w:hAnsi="Book Antiqua" w:cs="Times New Roman"/>
            <w:color w:val="auto"/>
            <w:sz w:val="24"/>
            <w:szCs w:val="24"/>
            <w:u w:val="none"/>
          </w:rPr>
          <w:t>10.14601/Phytopathol_Mediterr-23787</w:t>
        </w:r>
      </w:hyperlink>
    </w:p>
    <w:p w14:paraId="6012A7B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Calzarano F., Di Marco, S. (2018): Further evidence that calcium, magnesium and seaweed mixtures reduce grapevine leaf stripe symptoms and increase grape yields. Phytopathologia Mediterranea. 57 (3): 459-471. DOI: 10.14601/Phytopathol_Mediterr-23636</w:t>
      </w:r>
    </w:p>
    <w:p w14:paraId="46B91B4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Calzarano, F., Pagnani, G., Pisante, M., Bellocci, M., Cillo, G., Di Marco, S. (2021): Factors involved on tiger stripe foliar symptom expression of esca of grapevine. Plants. 10 (6): 1041. DOI: 10.3390/plants10061041.</w:t>
      </w:r>
    </w:p>
    <w:p w14:paraId="4658600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Calvo, H., Gracia, A. P., Venturini Crespo, M. E., Roudet, J., Fermaud, M. (2021): Comparison of efficacy and modes of action of two high-potential biocontrol </w:t>
      </w:r>
      <w:r>
        <w:rPr>
          <w:rFonts w:ascii="Book Antiqua" w:hAnsi="Book Antiqua" w:cs="Times New Roman"/>
          <w:i/>
          <w:iCs/>
          <w:color w:val="000000" w:themeColor="text1"/>
          <w:sz w:val="24"/>
          <w:szCs w:val="24"/>
          <w:lang w:val="sr-Latn-RS"/>
        </w:rPr>
        <w:t xml:space="preserve">Bacillus </w:t>
      </w:r>
      <w:r>
        <w:rPr>
          <w:rFonts w:ascii="Book Antiqua" w:hAnsi="Book Antiqua" w:cs="Times New Roman"/>
          <w:color w:val="000000" w:themeColor="text1"/>
          <w:sz w:val="24"/>
          <w:szCs w:val="24"/>
          <w:lang w:val="sr-Latn-RS"/>
        </w:rPr>
        <w:t xml:space="preserve">strains and commercial biocontrol products against </w:t>
      </w:r>
      <w:r>
        <w:rPr>
          <w:rFonts w:ascii="Book Antiqua" w:hAnsi="Book Antiqua" w:cs="Times New Roman"/>
          <w:i/>
          <w:iCs/>
          <w:color w:val="000000" w:themeColor="text1"/>
          <w:sz w:val="24"/>
          <w:szCs w:val="24"/>
          <w:lang w:val="sr-Latn-RS"/>
        </w:rPr>
        <w:t>Botrytis cinerea</w:t>
      </w:r>
      <w:r>
        <w:rPr>
          <w:rFonts w:ascii="Book Antiqua" w:hAnsi="Book Antiqua" w:cs="Times New Roman"/>
          <w:color w:val="000000" w:themeColor="text1"/>
          <w:sz w:val="24"/>
          <w:szCs w:val="24"/>
          <w:lang w:val="sr-Latn-RS"/>
        </w:rPr>
        <w:t xml:space="preserve"> in table grapes. OENO One. 55 (3): 229-243. DOI: 10.20870/oeno-one.2021.55.3.4688</w:t>
      </w:r>
    </w:p>
    <w:p w14:paraId="4769330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Calvo-Garrido, C., Songy, A., Marmol, A., Roda, R., Clement, C., Fontaine, F. (2021): Description of the relationship between trunk disease expression and meteorological conditions, irrigation and physiological response in Chardonnay grapevines. OENO One. 2 (2): 97-113. DOI:10.20870/oeno-one.2021.55.2.4548</w:t>
      </w:r>
    </w:p>
    <w:p w14:paraId="29D773C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Carbone, I., Kohn L.M. (1999): A method for design-ing primer sets for speciation studies in filamen-tous ascomycetes. Mycologia. 91: 553–556.  DOI: 10.1080/00275514.1999.12061051</w:t>
      </w:r>
    </w:p>
    <w:p w14:paraId="49806F4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Carbone, M. J., Gelabert, M., Moreira, V., Mondino, P., Alaniz, S. (2022): Grapevine nursery propagation material as source of fungal trunk disease pathogens in Uruguay. Frontiers in Fungal Biology. 3: 958466. DOI: 10.3389/ffunb.2022.958466</w:t>
      </w:r>
    </w:p>
    <w:p w14:paraId="5F39F186"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Carro-Huerga, G., Mayo-Prieto, S., Rodríguez-González, Á, González-López, Ó, Gutiérrez, S., Casquero, P. A. (2021): Influence of fungicide application and vine age on </w:t>
      </w:r>
      <w:r>
        <w:rPr>
          <w:rFonts w:ascii="Book Antiqua" w:hAnsi="Book Antiqua" w:cs="Times New Roman"/>
          <w:i/>
          <w:iCs/>
          <w:color w:val="000000" w:themeColor="text1"/>
          <w:sz w:val="24"/>
          <w:szCs w:val="24"/>
        </w:rPr>
        <w:t>Trichoderma</w:t>
      </w:r>
      <w:r>
        <w:rPr>
          <w:rFonts w:ascii="Book Antiqua" w:hAnsi="Book Antiqua" w:cs="Times New Roman"/>
          <w:color w:val="000000" w:themeColor="text1"/>
          <w:sz w:val="24"/>
          <w:szCs w:val="24"/>
        </w:rPr>
        <w:t> diversity as source of biological control agents. Agronomy. 11:446. DOI:10.3390/agronomy11030446</w:t>
      </w:r>
    </w:p>
    <w:p w14:paraId="4CF38FC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rPr>
        <w:t>Carlucci, A., Mostert, F., Halleen, L., Raimondo, F., Luisa, M.  (2017): Occurrence fungi causing black foot on young grapevines and nursery rootstock plants in Italy. Phytopathologia Mediterranea, 56 (1): 10-39. DOI:10.14601/Phytopathol_Mediterr-18769.</w:t>
      </w:r>
    </w:p>
    <w:p w14:paraId="36DE8C1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Caicedo-López, L. H., Aranda, A. L. V., Sáenz de la O. D., Gómez, C. E. Z., Márquez, E. E., Zepeda, H. R. (2021): Elicitors: Bioethical implications for agriculture and human health. Revista Bioética. 29 (1): 76–86. DOI:10.1590/1983-80422021291448</w:t>
      </w:r>
    </w:p>
    <w:p w14:paraId="12B067C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Cobos, R., Mateos, R. M., Álvarez–Pérez, J. M., Olego, M. A., Sevillano, S., Coque, J. J.(2015): Effectiveness of Natural Antifungal Compounds in Controlling Infection by Grapevine Trunk Disease Pathogens through Pruning Wounds. Applied and Environmental Microbiology. 81 (18): 6474–6483. DOI: 10.1128/AEM.01818–15</w:t>
      </w:r>
    </w:p>
    <w:p w14:paraId="148A23F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Cortesi, P., Fischer, M., Milgroom, M.G. (2000): Identification and spread of </w:t>
      </w:r>
      <w:r>
        <w:rPr>
          <w:rFonts w:ascii="Book Antiqua" w:hAnsi="Book Antiqua" w:cs="Times New Roman"/>
          <w:i/>
          <w:color w:val="000000" w:themeColor="text1"/>
          <w:sz w:val="24"/>
          <w:szCs w:val="24"/>
          <w:lang w:val="sr-Latn-RS"/>
        </w:rPr>
        <w:t>Fomitiporia punctata</w:t>
      </w:r>
      <w:r>
        <w:rPr>
          <w:rFonts w:ascii="Book Antiqua" w:hAnsi="Book Antiqua" w:cs="Times New Roman"/>
          <w:color w:val="000000" w:themeColor="text1"/>
          <w:sz w:val="24"/>
          <w:szCs w:val="24"/>
          <w:lang w:val="sr-Latn-RS"/>
        </w:rPr>
        <w:t xml:space="preserve"> associated with wood decay of grapevine showing symptoms of esca. Phytopathology. 90 (9): 967–972. DOI: 10.1094/PHYTO.2000.90.9.967.</w:t>
      </w:r>
    </w:p>
    <w:p w14:paraId="1291CEE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Costa, J. N. G. (2018): Evaluation of chemicals against esca-related pathogens, in vitro and as pruning wound protectants. Instituto Superior de Agronomia, Universidade de Lisboa. Master’s Thesis. 83</w:t>
      </w:r>
    </w:p>
    <w:p w14:paraId="7EBB8BD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Cindrić, P., Korać, N., Ivanišević, D. (2019): Ampelografija i selekcija vinove loze. Univerzitet u Novom sadu, Poljoprivredni fakultet. 217</w:t>
      </w:r>
    </w:p>
    <w:p w14:paraId="7BF1D1E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Chervin, J., Romeo-Oliavan, A., Fouriner, S., Puech-Pages, V., Dumas, B., Jacques, A., Marti, G. (2022): Modification of early response of </w:t>
      </w:r>
      <w:r>
        <w:rPr>
          <w:rFonts w:ascii="Book Antiqua" w:hAnsi="Book Antiqua" w:cs="Times New Roman"/>
          <w:i/>
          <w:iCs/>
          <w:color w:val="000000" w:themeColor="text1"/>
          <w:sz w:val="24"/>
          <w:szCs w:val="24"/>
          <w:lang w:val="sr-Latn-RS"/>
        </w:rPr>
        <w:t>Vitis vinifera</w:t>
      </w:r>
      <w:r>
        <w:rPr>
          <w:rFonts w:ascii="Book Antiqua" w:hAnsi="Book Antiqua" w:cs="Times New Roman"/>
          <w:color w:val="000000" w:themeColor="text1"/>
          <w:sz w:val="24"/>
          <w:szCs w:val="24"/>
          <w:lang w:val="sr-Latn-RS"/>
        </w:rPr>
        <w:t xml:space="preserve"> to pathogens relating to esca disease and biocontrol agent Vintec R revealed by untargeted metabolomics on woody tissues. Frontiers in Microbiology. 13:835463. DOI: 10.3389/fmicb.2022.835463</w:t>
      </w:r>
    </w:p>
    <w:p w14:paraId="070FBBA2" w14:textId="77777777" w:rsidR="003801E8" w:rsidRDefault="00E44AAE">
      <w:pPr>
        <w:autoSpaceDE w:val="0"/>
        <w:autoSpaceDN w:val="0"/>
        <w:adjustRightInd w:val="0"/>
        <w:spacing w:after="0" w:line="360" w:lineRule="auto"/>
        <w:jc w:val="both"/>
        <w:rPr>
          <w:rFonts w:ascii="Book Antiqua" w:hAnsi="Book Antiqua" w:cs="Times New Roman"/>
          <w:sz w:val="24"/>
          <w:szCs w:val="24"/>
          <w:lang w:val="en-US"/>
        </w:rPr>
      </w:pPr>
      <w:r>
        <w:rPr>
          <w:rFonts w:ascii="Book Antiqua" w:hAnsi="Book Antiqua" w:cs="Times New Roman"/>
          <w:sz w:val="24"/>
          <w:szCs w:val="24"/>
          <w:lang w:val="en-US"/>
        </w:rPr>
        <w:t>Chiarappa, L. (1959): Wood decay of the grapevine and its relationship with black measles disease. Phytopathology. 49: 510-519.</w:t>
      </w:r>
    </w:p>
    <w:p w14:paraId="019DE86F" w14:textId="77777777" w:rsidR="003801E8" w:rsidRDefault="003801E8">
      <w:pPr>
        <w:autoSpaceDE w:val="0"/>
        <w:autoSpaceDN w:val="0"/>
        <w:adjustRightInd w:val="0"/>
        <w:spacing w:after="0" w:line="240" w:lineRule="auto"/>
        <w:jc w:val="both"/>
        <w:rPr>
          <w:rFonts w:ascii="Times New Roman" w:hAnsi="Times New Roman" w:cs="Times New Roman"/>
          <w:sz w:val="24"/>
          <w:szCs w:val="24"/>
          <w:lang w:val="en-US"/>
        </w:rPr>
      </w:pPr>
    </w:p>
    <w:p w14:paraId="21EA8EB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Cloete, M., Fischer, M., Mostert, L., Halleen, F. (2014): A novel </w:t>
      </w:r>
      <w:r>
        <w:rPr>
          <w:rFonts w:ascii="Book Antiqua" w:hAnsi="Book Antiqua" w:cs="Times New Roman"/>
          <w:i/>
          <w:color w:val="000000" w:themeColor="text1"/>
          <w:sz w:val="24"/>
          <w:szCs w:val="24"/>
          <w:lang w:val="sr-Latn-RS"/>
        </w:rPr>
        <w:t>Fomitiporia</w:t>
      </w:r>
      <w:r>
        <w:rPr>
          <w:rFonts w:ascii="Book Antiqua" w:hAnsi="Book Antiqua" w:cs="Times New Roman"/>
          <w:color w:val="000000" w:themeColor="text1"/>
          <w:sz w:val="24"/>
          <w:szCs w:val="24"/>
          <w:lang w:val="sr-Latn-RS"/>
        </w:rPr>
        <w:t xml:space="preserve"> species associated with esca on grapevine in South Africa. Mycological Progress. 13 (2): 303–311. DOI: 10.1007/s11557-013-0915-5</w:t>
      </w:r>
    </w:p>
    <w:p w14:paraId="3E72CD24"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Clearwater, L. M., Stewart, A., Jaspers, M. V. (2000): Incidence of the „black goo“ fungus, </w:t>
      </w:r>
      <w:r>
        <w:rPr>
          <w:rFonts w:ascii="Book Antiqua" w:hAnsi="Book Antiqua" w:cs="Times New Roman"/>
          <w:i/>
          <w:iCs/>
          <w:color w:val="000000" w:themeColor="text1"/>
          <w:sz w:val="24"/>
          <w:szCs w:val="24"/>
          <w:lang w:val="sr-Latn-RS"/>
        </w:rPr>
        <w:t>Phaeoacremonium chlamydosporum</w:t>
      </w:r>
      <w:r>
        <w:rPr>
          <w:rFonts w:ascii="Book Antiqua" w:hAnsi="Book Antiqua" w:cs="Times New Roman"/>
          <w:color w:val="000000" w:themeColor="text1"/>
          <w:sz w:val="24"/>
          <w:szCs w:val="24"/>
          <w:lang w:val="sr-Latn-RS"/>
        </w:rPr>
        <w:t>, in declining grapevines in New Zeland. New Zealand Plant Protection. 53, 448. DOI:10.30843/nzpp.2000.53.3676</w:t>
      </w:r>
    </w:p>
    <w:p w14:paraId="5534B34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Claverie, M., Notaro, M., Fontaine, F., Wery, J. (2020): Current knowledge on Grapevine Trunk Diseases with complex etiology: a systemic approach. Phytopathologia Mediterranea. 59 (1): 29-53. DOI:10.14601/Phyto-11150</w:t>
      </w:r>
    </w:p>
    <w:p w14:paraId="61CFBBF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Claverie, M., Audras, M., Berud, F., Richy, D. (2025): Grapevine vigour: A critical factor associated with trunk disease symptom expression. OENO One. 59 (1).  DOI:10.20870/oeno-one.2025.59.1.8390</w:t>
      </w:r>
    </w:p>
    <w:p w14:paraId="796A932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Creaser M. L., Wicks, T. J. (2004): Short term effects of remedial surgery to restore productivity to </w:t>
      </w:r>
      <w:r>
        <w:rPr>
          <w:rFonts w:ascii="Book Antiqua" w:hAnsi="Book Antiqua" w:cs="Times New Roman"/>
          <w:i/>
          <w:iCs/>
          <w:color w:val="000000" w:themeColor="text1"/>
          <w:sz w:val="24"/>
          <w:szCs w:val="24"/>
          <w:lang w:val="sr-Latn-RS"/>
        </w:rPr>
        <w:t>Eutypa lata</w:t>
      </w:r>
      <w:r>
        <w:rPr>
          <w:rFonts w:ascii="Book Antiqua" w:hAnsi="Book Antiqua" w:cs="Times New Roman"/>
          <w:color w:val="000000" w:themeColor="text1"/>
          <w:sz w:val="24"/>
          <w:szCs w:val="24"/>
          <w:lang w:val="sr-Latn-RS"/>
        </w:rPr>
        <w:t xml:space="preserve"> infected vines. Phytopathologia Mediterranea. 43 (1): 105–107. DOI: 10.14601/Phytopathol_Mediterr-1737</w:t>
      </w:r>
    </w:p>
    <w:p w14:paraId="089CF1C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Crous, P. W., Gams, W. (2000): </w:t>
      </w:r>
      <w:r>
        <w:rPr>
          <w:rFonts w:ascii="Book Antiqua" w:hAnsi="Book Antiqua" w:cs="Times New Roman"/>
          <w:i/>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gen. et comb. nov., a causal organism of Petri grapevine decline and esca. Phytopathologia Mediterranea. 39 (1): 112–118. DOI: 10.14601/Phytopathol_Mediterr-1530</w:t>
      </w:r>
    </w:p>
    <w:p w14:paraId="07F41D4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Crous, P. W., Swartz, L., Coertze, S. (2001): The effect of hot-water treatment on fungi occurring in apparently healthy grapevine cuttings. Phytopathologia Mediterranea. 40 (10): S464-S466. DOI: 10.14601/Phytopathol_Mediterr-1641</w:t>
      </w:r>
    </w:p>
    <w:p w14:paraId="3B134F2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Cvjetković, B. (2021): Ostale bolesti vinove loze [crna pjegavost rozgve (</w:t>
      </w:r>
      <w:r>
        <w:rPr>
          <w:rFonts w:ascii="Book Antiqua" w:hAnsi="Book Antiqua" w:cs="Times New Roman"/>
          <w:i/>
          <w:iCs/>
          <w:color w:val="000000" w:themeColor="text1"/>
          <w:sz w:val="24"/>
          <w:szCs w:val="24"/>
          <w:lang w:val="sr-Latn-RS"/>
        </w:rPr>
        <w:t>Diaporthe neoviticola</w:t>
      </w:r>
      <w:r>
        <w:rPr>
          <w:rFonts w:ascii="Book Antiqua" w:hAnsi="Book Antiqua" w:cs="Times New Roman"/>
          <w:color w:val="000000" w:themeColor="text1"/>
          <w:sz w:val="24"/>
          <w:szCs w:val="24"/>
          <w:lang w:val="sr-Latn-RS"/>
        </w:rPr>
        <w:t>), crna trulež boba (</w:t>
      </w:r>
      <w:r>
        <w:rPr>
          <w:rFonts w:ascii="Book Antiqua" w:hAnsi="Book Antiqua" w:cs="Times New Roman"/>
          <w:i/>
          <w:iCs/>
          <w:color w:val="000000" w:themeColor="text1"/>
          <w:sz w:val="24"/>
          <w:szCs w:val="24"/>
          <w:lang w:val="sr-Latn-RS"/>
        </w:rPr>
        <w:t>Phyllosticta ampelicida</w:t>
      </w:r>
      <w:r>
        <w:rPr>
          <w:rFonts w:ascii="Book Antiqua" w:hAnsi="Book Antiqua" w:cs="Times New Roman"/>
          <w:color w:val="000000" w:themeColor="text1"/>
          <w:sz w:val="24"/>
          <w:szCs w:val="24"/>
          <w:lang w:val="sr-Latn-RS"/>
        </w:rPr>
        <w:t>), crveni palež (</w:t>
      </w:r>
      <w:r>
        <w:rPr>
          <w:rFonts w:ascii="Book Antiqua" w:hAnsi="Book Antiqua" w:cs="Times New Roman"/>
          <w:i/>
          <w:iCs/>
          <w:color w:val="000000" w:themeColor="text1"/>
          <w:sz w:val="24"/>
          <w:szCs w:val="24"/>
          <w:lang w:val="sr-Latn-RS"/>
        </w:rPr>
        <w:t>Pseudopezicula tracheiphila</w:t>
      </w:r>
      <w:r>
        <w:rPr>
          <w:rFonts w:ascii="Book Antiqua" w:hAnsi="Book Antiqua" w:cs="Times New Roman"/>
          <w:color w:val="000000" w:themeColor="text1"/>
          <w:sz w:val="24"/>
          <w:szCs w:val="24"/>
          <w:lang w:val="sr-Latn-RS"/>
        </w:rPr>
        <w:t xml:space="preserve">)]. Glasilo biljne zaštite. 21 (3): 374 – 381. </w:t>
      </w:r>
    </w:p>
    <w:p w14:paraId="6ECFA33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Damm, U., Fourie, P. H. (2005): Development of a cost-effective protocol for molecular detection of fungal pathogens in soil. South African Journal of Science. 101, 135-139</w:t>
      </w:r>
    </w:p>
    <w:p w14:paraId="2EB65DD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Dardani, G., Mugnai, L., Bussotti, S., Gullino, M.L., Guarnaccia, V. (2023): Grapevine dieback caused by </w:t>
      </w:r>
      <w:r>
        <w:rPr>
          <w:rFonts w:ascii="Book Antiqua" w:hAnsi="Book Antiqua" w:cs="Times New Roman"/>
          <w:i/>
          <w:iCs/>
          <w:color w:val="000000" w:themeColor="text1"/>
          <w:sz w:val="24"/>
          <w:szCs w:val="24"/>
          <w:lang w:val="sr-Latn-RS"/>
        </w:rPr>
        <w:t>Botryosphaeriaceae</w:t>
      </w:r>
      <w:r>
        <w:rPr>
          <w:rFonts w:ascii="Book Antiqua" w:hAnsi="Book Antiqua" w:cs="Times New Roman"/>
          <w:color w:val="000000" w:themeColor="text1"/>
          <w:sz w:val="24"/>
          <w:szCs w:val="24"/>
          <w:lang w:val="sr-Latn-RS"/>
        </w:rPr>
        <w:t xml:space="preserve"> species </w:t>
      </w:r>
      <w:r>
        <w:rPr>
          <w:rFonts w:ascii="Book Antiqua" w:hAnsi="Book Antiqua" w:cs="Times New Roman"/>
          <w:i/>
          <w:iCs/>
          <w:color w:val="000000" w:themeColor="text1"/>
          <w:sz w:val="24"/>
          <w:szCs w:val="24"/>
          <w:lang w:val="sr-Latn-RS"/>
        </w:rPr>
        <w:t>Paraconiothyrium brasiliense</w:t>
      </w:r>
      <w:r>
        <w:rPr>
          <w:rFonts w:ascii="Book Antiqua" w:hAnsi="Book Antiqua" w:cs="Times New Roman"/>
          <w:color w:val="000000" w:themeColor="text1"/>
          <w:sz w:val="24"/>
          <w:szCs w:val="24"/>
          <w:lang w:val="sr-Latn-RS"/>
        </w:rPr>
        <w:t xml:space="preserve">, </w:t>
      </w:r>
      <w:r>
        <w:rPr>
          <w:rFonts w:ascii="Book Antiqua" w:hAnsi="Book Antiqua" w:cs="Times New Roman"/>
          <w:i/>
          <w:iCs/>
          <w:color w:val="000000" w:themeColor="text1"/>
          <w:sz w:val="24"/>
          <w:szCs w:val="24"/>
          <w:lang w:val="sr-Latn-RS"/>
        </w:rPr>
        <w:t>Seimatosporium vitis-viniferae</w:t>
      </w:r>
      <w:r>
        <w:rPr>
          <w:rFonts w:ascii="Book Antiqua" w:hAnsi="Book Antiqua" w:cs="Times New Roman"/>
          <w:color w:val="000000" w:themeColor="text1"/>
          <w:sz w:val="24"/>
          <w:szCs w:val="24"/>
          <w:lang w:val="sr-Latn-RS"/>
        </w:rPr>
        <w:t xml:space="preserve"> and </w:t>
      </w:r>
      <w:r>
        <w:rPr>
          <w:rFonts w:ascii="Book Antiqua" w:hAnsi="Book Antiqua" w:cs="Times New Roman"/>
          <w:i/>
          <w:iCs/>
          <w:color w:val="000000" w:themeColor="text1"/>
          <w:sz w:val="24"/>
          <w:szCs w:val="24"/>
          <w:lang w:val="sr-Latn-RS"/>
        </w:rPr>
        <w:t>Truncatella angustata</w:t>
      </w:r>
      <w:r>
        <w:rPr>
          <w:rFonts w:ascii="Book Antiqua" w:hAnsi="Book Antiqua" w:cs="Times New Roman"/>
          <w:color w:val="000000" w:themeColor="text1"/>
          <w:sz w:val="24"/>
          <w:szCs w:val="24"/>
          <w:lang w:val="sr-Latn-RS"/>
        </w:rPr>
        <w:t xml:space="preserve"> in Piedmont: caracterization and pathogenicity. Phytopathologia Mediterranea. 62 (2): 283-306. DOI: 10.36253/phyto-14673</w:t>
      </w:r>
    </w:p>
    <w:p w14:paraId="253AAC3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Dable-Tupas, G., Egbuna, C. (2022): Role of Nutrigenomics in Modern-day Healthcare and Drug Discovery. 1st ed. Elsevier, Amsterdam, Netherlands, 596.</w:t>
      </w:r>
    </w:p>
    <w:p w14:paraId="56EC984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Dai, Y. C., Cui, B. K., Decock, C. (2008): A new species of </w:t>
      </w:r>
      <w:r>
        <w:rPr>
          <w:rFonts w:ascii="Book Antiqua" w:hAnsi="Book Antiqua" w:cs="Times New Roman"/>
          <w:i/>
          <w:color w:val="000000" w:themeColor="text1"/>
          <w:sz w:val="24"/>
          <w:szCs w:val="24"/>
          <w:lang w:val="sr-Latn-RS"/>
        </w:rPr>
        <w:t>Fomitiporia</w:t>
      </w:r>
      <w:r>
        <w:rPr>
          <w:rFonts w:ascii="Book Antiqua" w:hAnsi="Book Antiqua" w:cs="Times New Roman"/>
          <w:color w:val="000000" w:themeColor="text1"/>
          <w:sz w:val="24"/>
          <w:szCs w:val="24"/>
          <w:lang w:val="sr-Latn-RS"/>
        </w:rPr>
        <w:t xml:space="preserve"> (</w:t>
      </w:r>
      <w:r>
        <w:rPr>
          <w:rFonts w:ascii="Book Antiqua" w:hAnsi="Book Antiqua" w:cs="Times New Roman"/>
          <w:i/>
          <w:color w:val="000000" w:themeColor="text1"/>
          <w:sz w:val="24"/>
          <w:szCs w:val="24"/>
          <w:lang w:val="sr-Latn-RS"/>
        </w:rPr>
        <w:t>Hymenochaetaceae</w:t>
      </w:r>
      <w:r>
        <w:rPr>
          <w:rFonts w:ascii="Book Antiqua" w:hAnsi="Book Antiqua" w:cs="Times New Roman"/>
          <w:color w:val="000000" w:themeColor="text1"/>
          <w:sz w:val="24"/>
          <w:szCs w:val="24"/>
          <w:lang w:val="sr-Latn-RS"/>
        </w:rPr>
        <w:t xml:space="preserve">, </w:t>
      </w:r>
      <w:r>
        <w:rPr>
          <w:rFonts w:ascii="Book Antiqua" w:hAnsi="Book Antiqua" w:cs="Times New Roman"/>
          <w:i/>
          <w:color w:val="000000" w:themeColor="text1"/>
          <w:sz w:val="24"/>
          <w:szCs w:val="24"/>
          <w:lang w:val="sr-Latn-RS"/>
        </w:rPr>
        <w:t>Basidiomycota</w:t>
      </w:r>
      <w:r>
        <w:rPr>
          <w:rFonts w:ascii="Book Antiqua" w:hAnsi="Book Antiqua" w:cs="Times New Roman"/>
          <w:color w:val="000000" w:themeColor="text1"/>
          <w:sz w:val="24"/>
          <w:szCs w:val="24"/>
          <w:lang w:val="sr-Latn-RS"/>
        </w:rPr>
        <w:t>) from China based on morphological and molecular characters. Mycological Research. 112 (3): 375–80. DOI: 10.1016/j.mycres.2007.11.020</w:t>
      </w:r>
    </w:p>
    <w:p w14:paraId="4D9B031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Daraignes, L., Gerbore, J., Yacoub, A., Dubois, L., Romand, C., Zekri, O., Roudet, J., Chambon, P., Fermaud, M. (2018): Efficacy of </w:t>
      </w:r>
      <w:r>
        <w:rPr>
          <w:rFonts w:ascii="Book Antiqua" w:hAnsi="Book Antiqua" w:cs="Times New Roman"/>
          <w:i/>
          <w:iCs/>
          <w:color w:val="000000" w:themeColor="text1"/>
          <w:sz w:val="24"/>
          <w:szCs w:val="24"/>
          <w:lang w:val="sr-Latn-RS"/>
        </w:rPr>
        <w:t>P. oligandrum</w:t>
      </w:r>
      <w:r>
        <w:rPr>
          <w:rFonts w:ascii="Book Antiqua" w:hAnsi="Book Antiqua" w:cs="Times New Roman"/>
          <w:color w:val="000000" w:themeColor="text1"/>
          <w:sz w:val="24"/>
          <w:szCs w:val="24"/>
          <w:lang w:val="sr-Latn-RS"/>
        </w:rPr>
        <w:t xml:space="preserve"> affected by its association with bacterial BCAs and rootstock effect in controlling grapevine trunk diseases. Biological Control. 119: 59–67. DOI: 10.1016/j.biocontrol.2018.01.008</w:t>
      </w:r>
    </w:p>
    <w:p w14:paraId="4ED313C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Decock, C., Figueroa, S. H., Robledo, G., Castillo, G. (2007): </w:t>
      </w:r>
      <w:r>
        <w:rPr>
          <w:rFonts w:ascii="Book Antiqua" w:hAnsi="Book Antiqua" w:cs="Times New Roman"/>
          <w:i/>
          <w:color w:val="000000" w:themeColor="text1"/>
          <w:sz w:val="24"/>
          <w:szCs w:val="24"/>
          <w:lang w:val="sr-Latn-RS"/>
        </w:rPr>
        <w:t>Fomitiporia punctata</w:t>
      </w:r>
      <w:r>
        <w:rPr>
          <w:rFonts w:ascii="Book Antiqua" w:hAnsi="Book Antiqua" w:cs="Times New Roman"/>
          <w:color w:val="000000" w:themeColor="text1"/>
          <w:sz w:val="24"/>
          <w:szCs w:val="24"/>
          <w:lang w:val="sr-Latn-RS"/>
        </w:rPr>
        <w:t xml:space="preserve"> (</w:t>
      </w:r>
      <w:r>
        <w:rPr>
          <w:rFonts w:ascii="Book Antiqua" w:hAnsi="Book Antiqua" w:cs="Times New Roman"/>
          <w:i/>
          <w:color w:val="000000" w:themeColor="text1"/>
          <w:sz w:val="24"/>
          <w:szCs w:val="24"/>
          <w:lang w:val="sr-Latn-RS"/>
        </w:rPr>
        <w:t>Basidiomycota</w:t>
      </w:r>
      <w:r>
        <w:rPr>
          <w:rFonts w:ascii="Book Antiqua" w:hAnsi="Book Antiqua" w:cs="Times New Roman"/>
          <w:color w:val="000000" w:themeColor="text1"/>
          <w:sz w:val="24"/>
          <w:szCs w:val="24"/>
          <w:lang w:val="sr-Latn-RS"/>
        </w:rPr>
        <w:t xml:space="preserve">, </w:t>
      </w:r>
      <w:r>
        <w:rPr>
          <w:rFonts w:ascii="Book Antiqua" w:hAnsi="Book Antiqua" w:cs="Times New Roman"/>
          <w:i/>
          <w:color w:val="000000" w:themeColor="text1"/>
          <w:sz w:val="24"/>
          <w:szCs w:val="24"/>
          <w:lang w:val="sr-Latn-RS"/>
        </w:rPr>
        <w:t>Hymenochaetales</w:t>
      </w:r>
      <w:r>
        <w:rPr>
          <w:rFonts w:ascii="Book Antiqua" w:hAnsi="Book Antiqua" w:cs="Times New Roman"/>
          <w:color w:val="000000" w:themeColor="text1"/>
          <w:sz w:val="24"/>
          <w:szCs w:val="24"/>
          <w:lang w:val="sr-Latn-RS"/>
        </w:rPr>
        <w:t>) and its presumed taxonomic synonyms in America: taxonomy and phylogeny of some species from tropical/subtropical areas. Mycologia. 99 (5): 733–752. DOI: 10.3852/mycologia.99.5.733</w:t>
      </w:r>
    </w:p>
    <w:p w14:paraId="12AB7605"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lang w:val="sr-Latn-RS"/>
        </w:rPr>
        <w:t xml:space="preserve">De la Rosa, L.A., Moreno–Escamilla, J.O., Rodrigo–García, J., Alvarez–Parrilla (2019): Phenolic compounds. In: Postharvest physiology and biochemistry of fruits and vegetables. </w:t>
      </w:r>
      <w:hyperlink r:id="rId66" w:tooltip="Go to Postharvest Physiology and Biochemistry of Fruits and Vegetables on ScienceDirect" w:history="1">
        <w:r>
          <w:rPr>
            <w:rStyle w:val="Hyperlink"/>
            <w:rFonts w:ascii="Book Antiqua" w:hAnsi="Book Antiqua" w:cs="Times New Roman"/>
            <w:color w:val="auto"/>
            <w:sz w:val="24"/>
            <w:szCs w:val="24"/>
            <w:u w:val="none"/>
          </w:rPr>
          <w:t>Postharvest Physiology and Biochemistry of Fruits and Vegetables</w:t>
        </w:r>
      </w:hyperlink>
      <w:r>
        <w:rPr>
          <w:rFonts w:ascii="Book Antiqua" w:hAnsi="Book Antiqua" w:cs="Times New Roman"/>
          <w:sz w:val="24"/>
          <w:szCs w:val="24"/>
          <w:lang w:val="sr-Latn-RS"/>
        </w:rPr>
        <w:t xml:space="preserve">. </w:t>
      </w:r>
      <w:r>
        <w:rPr>
          <w:rFonts w:ascii="Book Antiqua" w:hAnsi="Book Antiqua" w:cs="Times New Roman"/>
          <w:color w:val="000000" w:themeColor="text1"/>
          <w:sz w:val="24"/>
          <w:szCs w:val="24"/>
          <w:lang w:val="sr-Latn-RS"/>
        </w:rPr>
        <w:t>253–271. DOI: 10.1016/B978–0–12–813278–4.00012–9</w:t>
      </w:r>
    </w:p>
    <w:p w14:paraId="56DB496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De Zotti, M., Sella, L., Bolzonello, A., Gabbatore, L., Peggion, C., Bortolotto, A., Elmaghraby, I., Tundo, S., Favaron, F. (2020): Targeted amino acid substitutions in a </w:t>
      </w:r>
      <w:r>
        <w:rPr>
          <w:rFonts w:ascii="Book Antiqua" w:hAnsi="Book Antiqua" w:cs="Times New Roman"/>
          <w:i/>
          <w:iCs/>
          <w:color w:val="000000" w:themeColor="text1"/>
          <w:sz w:val="24"/>
          <w:szCs w:val="24"/>
          <w:lang w:val="sr-Latn-RS"/>
        </w:rPr>
        <w:t>Trichoderma</w:t>
      </w:r>
      <w:r>
        <w:rPr>
          <w:rFonts w:ascii="Book Antiqua" w:hAnsi="Book Antiqua" w:cs="Times New Roman"/>
          <w:color w:val="000000" w:themeColor="text1"/>
          <w:sz w:val="24"/>
          <w:szCs w:val="24"/>
          <w:lang w:val="sr-Latn-RS"/>
        </w:rPr>
        <w:t xml:space="preserve"> peptaibol confer activity against fungal plant pathogens and protect host tissues from </w:t>
      </w:r>
      <w:r>
        <w:rPr>
          <w:rFonts w:ascii="Book Antiqua" w:hAnsi="Book Antiqua" w:cs="Times New Roman"/>
          <w:i/>
          <w:iCs/>
          <w:color w:val="000000" w:themeColor="text1"/>
          <w:sz w:val="24"/>
          <w:szCs w:val="24"/>
          <w:lang w:val="sr-Latn-RS"/>
        </w:rPr>
        <w:t>Botrytis cinerea</w:t>
      </w:r>
      <w:r>
        <w:rPr>
          <w:rFonts w:ascii="Book Antiqua" w:hAnsi="Book Antiqua" w:cs="Times New Roman"/>
          <w:color w:val="000000" w:themeColor="text1"/>
          <w:sz w:val="24"/>
          <w:szCs w:val="24"/>
          <w:lang w:val="sr-Latn-RS"/>
        </w:rPr>
        <w:t xml:space="preserve"> infection. International Journal of Molecular Sciences. 21 (20): 7521. DOI: 10.3390/ijms21207521</w:t>
      </w:r>
    </w:p>
    <w:p w14:paraId="359CA98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Deolu-Ajayi, A. O., van der Meer, I. M., van der Werf, A., Karlova, R. (2022): The power of seaweeds as plant biostimulants to boost crop production under abiotic stress. Plant Cell Environment. 45 (9): 2537–2553. DOI: 10.1111/pce.14391</w:t>
      </w:r>
    </w:p>
    <w:p w14:paraId="561F513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Delibašić, G., Gajić, S., Aćimović, S. (2006): Gljivična oboljenja drveta vinove loze. Pesticidi i fitomedicina. 21 (2): 93-105. </w:t>
      </w:r>
    </w:p>
    <w:p w14:paraId="0A7C84C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Delibašić, G., Tanović, B., Latinović, N., Hrustić, J., Mihajlović, M., Grahovac, M., Aleksić, G. (2019): Ekonomski značajnije pseudomikoze i mikoze vinove loze. Biljni lekar. 46 (6): 631-646</w:t>
      </w:r>
    </w:p>
    <w:p w14:paraId="65FE842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Del Frari, G., Costa, J., Oliveira, H., Boavida Fereira, R. (2018): Endotherapy of infected grapevine cuttings for the control of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and </w:t>
      </w:r>
      <w:r>
        <w:rPr>
          <w:rFonts w:ascii="Book Antiqua" w:hAnsi="Book Antiqua" w:cs="Times New Roman"/>
          <w:i/>
          <w:iCs/>
          <w:color w:val="000000" w:themeColor="text1"/>
          <w:sz w:val="24"/>
          <w:szCs w:val="24"/>
          <w:lang w:val="sr-Latn-RS"/>
        </w:rPr>
        <w:t xml:space="preserve">Phaeoacremonium minimum. </w:t>
      </w:r>
      <w:r>
        <w:rPr>
          <w:rFonts w:ascii="Book Antiqua" w:hAnsi="Book Antiqua" w:cs="Times New Roman"/>
          <w:color w:val="000000" w:themeColor="text1"/>
          <w:sz w:val="24"/>
          <w:szCs w:val="24"/>
          <w:lang w:val="sr-Latn-RS"/>
        </w:rPr>
        <w:t>Phytopathologia Mediterranea</w:t>
      </w:r>
      <w:r>
        <w:rPr>
          <w:rFonts w:ascii="Book Antiqua" w:hAnsi="Book Antiqua" w:cs="Times New Roman"/>
          <w:i/>
          <w:iCs/>
          <w:color w:val="000000" w:themeColor="text1"/>
          <w:sz w:val="24"/>
          <w:szCs w:val="24"/>
          <w:lang w:val="sr-Latn-RS"/>
        </w:rPr>
        <w:t xml:space="preserve">. </w:t>
      </w:r>
      <w:r>
        <w:rPr>
          <w:rFonts w:ascii="Book Antiqua" w:hAnsi="Book Antiqua" w:cs="Times New Roman"/>
          <w:color w:val="000000" w:themeColor="text1"/>
          <w:sz w:val="24"/>
          <w:szCs w:val="24"/>
          <w:lang w:val="sr-Latn-RS"/>
        </w:rPr>
        <w:t>57 (3): 439−448. DOI: 10.14601/Phytopathol_Mediterr-23515</w:t>
      </w:r>
    </w:p>
    <w:p w14:paraId="7021DA42"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 xml:space="preserve">Del Frari, G., Gobbi, A., Aggerbeck, M.R., Oliveira, H., Hansen, L.H., Ferreira, R.B. (2019): Characterization of the wood mycobiome of </w:t>
      </w:r>
      <w:r>
        <w:rPr>
          <w:rFonts w:ascii="Book Antiqua" w:hAnsi="Book Antiqua" w:cs="Times New Roman"/>
          <w:i/>
          <w:sz w:val="24"/>
          <w:szCs w:val="24"/>
        </w:rPr>
        <w:t>Vitis vinifera</w:t>
      </w:r>
      <w:r>
        <w:rPr>
          <w:rFonts w:ascii="Book Antiqua" w:hAnsi="Book Antiqua" w:cs="Times New Roman"/>
          <w:sz w:val="24"/>
          <w:szCs w:val="24"/>
        </w:rPr>
        <w:t xml:space="preserve"> in a vineyard affected by esca. Spatial distribution of fungal communities and their putative relation with leaf symptoms. Frontiers in Plant Science. 10: 910. </w:t>
      </w:r>
      <w:hyperlink r:id="rId67" w:history="1">
        <w:r>
          <w:rPr>
            <w:rStyle w:val="Hyperlink"/>
            <w:rFonts w:ascii="Book Antiqua" w:hAnsi="Book Antiqua" w:cs="Times New Roman"/>
            <w:color w:val="auto"/>
            <w:sz w:val="24"/>
            <w:szCs w:val="24"/>
          </w:rPr>
          <w:t>DOI:10.3389/fpls.2019.00910</w:t>
        </w:r>
      </w:hyperlink>
    </w:p>
    <w:p w14:paraId="5DBF185A" w14:textId="77777777" w:rsidR="003801E8" w:rsidRDefault="00E44AAE">
      <w:pPr>
        <w:spacing w:line="360" w:lineRule="auto"/>
        <w:jc w:val="both"/>
        <w:rPr>
          <w:rFonts w:ascii="Book Antiqua" w:hAnsi="Book Antiqua" w:cs="Times New Roman"/>
          <w:sz w:val="24"/>
          <w:szCs w:val="24"/>
        </w:rPr>
      </w:pPr>
      <w:r>
        <w:rPr>
          <w:rFonts w:ascii="Book Antiqua" w:hAnsi="Book Antiqua" w:cs="Times New Roman"/>
          <w:sz w:val="24"/>
          <w:szCs w:val="24"/>
        </w:rPr>
        <w:t>Del Frari, G., Oliveira, H., Ferreira, B. V. (2021): White Rot Fungi (Hymenochaetales) and Esca of Grapevine: Insights from Recent Microbiome Studies. Journal of Fungi. 7(9): 770. DOI:10.3390/jof7090770</w:t>
      </w:r>
    </w:p>
    <w:p w14:paraId="071610A3" w14:textId="77777777" w:rsidR="003801E8" w:rsidRDefault="003801E8">
      <w:pPr>
        <w:spacing w:line="360" w:lineRule="auto"/>
        <w:jc w:val="both"/>
        <w:rPr>
          <w:rFonts w:ascii="Book Antiqua" w:hAnsi="Book Antiqua" w:cs="Times New Roman"/>
          <w:sz w:val="24"/>
          <w:szCs w:val="24"/>
        </w:rPr>
      </w:pPr>
    </w:p>
    <w:p w14:paraId="7488EBD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Del Frari, G., Calzarano, F., Boavida Ferreira, R. (2022): Understanding the control strategies effective against the esca leaf stripe symptom: the edge hypothesis. Phytopathologia Mediterranea. 61 (1): 153-164. DOI:10.36253/ phyto-13295</w:t>
      </w:r>
    </w:p>
    <w:p w14:paraId="43CBB061"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Del Frari., G., Ingra, C., Aggerbeck, M.R., Gobbi, A., Nascimento, T., Cabral, A., Oliveira, H., Hansen, L., Ferrandino, A., Ferreira, R. (2025): Fungal community dynamics and anthocyanin profiling of grapevine leaves in a vineyard affected by esca. Plant Stress. 15(1): 100793. DOI:10.1016/j.stress.2025.100793</w:t>
      </w:r>
    </w:p>
    <w:p w14:paraId="783A5206" w14:textId="77777777" w:rsidR="003801E8" w:rsidRDefault="00E44AAE">
      <w:pPr>
        <w:tabs>
          <w:tab w:val="left" w:pos="3315"/>
        </w:tabs>
        <w:spacing w:line="360" w:lineRule="auto"/>
        <w:jc w:val="both"/>
        <w:rPr>
          <w:rFonts w:ascii="Book Antiqua" w:hAnsi="Book Antiqua" w:cs="Times New Roman"/>
          <w:b/>
          <w:bCs/>
          <w:color w:val="000000" w:themeColor="text1"/>
          <w:sz w:val="24"/>
          <w:szCs w:val="24"/>
        </w:rPr>
      </w:pPr>
      <w:r>
        <w:rPr>
          <w:rFonts w:ascii="Book Antiqua" w:hAnsi="Book Antiqua" w:cs="Times New Roman"/>
          <w:color w:val="000000" w:themeColor="text1"/>
          <w:sz w:val="24"/>
          <w:szCs w:val="24"/>
          <w:lang w:val="sr-Latn-RS"/>
        </w:rPr>
        <w:t xml:space="preserve">Dewasme, C., Mary, S., Darrieutort, G., Roby, J. P., Gambetta, G. A. (2022): </w:t>
      </w:r>
      <w:r>
        <w:rPr>
          <w:rFonts w:ascii="Book Antiqua" w:hAnsi="Book Antiqua" w:cs="Times New Roman"/>
          <w:color w:val="000000" w:themeColor="text1"/>
          <w:sz w:val="24"/>
          <w:szCs w:val="24"/>
        </w:rPr>
        <w:t xml:space="preserve">Long-Term Esca Monitoring Reveals Disease Impacts on Fruit Yield and Wine Quality. Plant Disease. 106 (12): 3076-3082. DOI:10.1094/PDIS-11-21-2454-RE. </w:t>
      </w:r>
    </w:p>
    <w:p w14:paraId="7069B9B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Di Marco, S., Mazzullo, A., Calzarano, F., Cesari, A. (2000): The control of esca: status and perspectives. Phytopathologia Mediterramea. 39 (1): 232–240. DOI:10.36253/phyto-4805</w:t>
      </w:r>
    </w:p>
    <w:p w14:paraId="2307C11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Di Marco, S., Osti, F., Cesari, A. (2004): Experments on the control of esca by </w:t>
      </w:r>
      <w:r>
        <w:rPr>
          <w:rFonts w:ascii="Book Antiqua" w:hAnsi="Book Antiqua" w:cs="Times New Roman"/>
          <w:i/>
          <w:iCs/>
          <w:color w:val="000000" w:themeColor="text1"/>
          <w:sz w:val="24"/>
          <w:szCs w:val="24"/>
          <w:lang w:val="sr-Latn-RS"/>
        </w:rPr>
        <w:t>Trichoderma</w:t>
      </w:r>
      <w:r>
        <w:rPr>
          <w:rFonts w:ascii="Book Antiqua" w:hAnsi="Book Antiqua" w:cs="Times New Roman"/>
          <w:color w:val="000000" w:themeColor="text1"/>
          <w:sz w:val="24"/>
          <w:szCs w:val="24"/>
          <w:lang w:val="sr-Latn-RS"/>
        </w:rPr>
        <w:t>. Phytopathologia Mediterranea. 43 (1): 108-115. DOI: 10.36253/phyto-5040</w:t>
      </w:r>
    </w:p>
    <w:p w14:paraId="7B88183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Di Marco, S., Osti, F. (2007): Applications of </w:t>
      </w:r>
      <w:r>
        <w:rPr>
          <w:rFonts w:ascii="Book Antiqua" w:hAnsi="Book Antiqua" w:cs="Times New Roman"/>
          <w:i/>
          <w:iCs/>
          <w:color w:val="000000" w:themeColor="text1"/>
          <w:sz w:val="24"/>
          <w:szCs w:val="24"/>
          <w:lang w:val="sr-Latn-RS"/>
        </w:rPr>
        <w:t xml:space="preserve">Trichoderma </w:t>
      </w:r>
      <w:r>
        <w:rPr>
          <w:rFonts w:ascii="Book Antiqua" w:hAnsi="Book Antiqua" w:cs="Times New Roman"/>
          <w:color w:val="000000" w:themeColor="text1"/>
          <w:sz w:val="24"/>
          <w:szCs w:val="24"/>
          <w:lang w:val="sr-Latn-RS"/>
        </w:rPr>
        <w:t xml:space="preserve">to prevent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infections in organic nurseries. Phytopathologia Mediterranea. 46 (1): 73-83. DOI: 10.36253/phyto-5204</w:t>
      </w:r>
    </w:p>
    <w:p w14:paraId="2F1646B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Di Marco, S., Osti, F. (2008): Effects of </w:t>
      </w:r>
      <w:r>
        <w:rPr>
          <w:rFonts w:ascii="Book Antiqua" w:hAnsi="Book Antiqua" w:cs="Times New Roman"/>
          <w:i/>
          <w:iCs/>
          <w:color w:val="000000" w:themeColor="text1"/>
          <w:sz w:val="24"/>
          <w:szCs w:val="24"/>
          <w:lang w:val="sr-Latn-RS"/>
        </w:rPr>
        <w:t>Trichoderma</w:t>
      </w:r>
      <w:r>
        <w:rPr>
          <w:rFonts w:ascii="Book Antiqua" w:hAnsi="Book Antiqua" w:cs="Times New Roman"/>
          <w:color w:val="000000" w:themeColor="text1"/>
          <w:sz w:val="24"/>
          <w:szCs w:val="24"/>
          <w:lang w:val="sr-Latn-RS"/>
        </w:rPr>
        <w:t xml:space="preserve"> applications on vines grown in organic nursery. 16th IFOAM Organic World Congress, Modena, Italy, June 16-20. </w:t>
      </w:r>
    </w:p>
    <w:p w14:paraId="04A44FE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Di Marco, S., Osti, F. (2009): Activity of electrolyzed acid water for the control of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in the nursery. Phytopathologia Mediterranea. 48 (1):183-183.</w:t>
      </w:r>
    </w:p>
    <w:p w14:paraId="2E98F2F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Di Marco, S., Osti, F., Mugnai, L. (2011): First studies on the potential of a copper formulation for the control of leaf stripe disease within esca complex in grapevine. Phytopathologia Mediterranea. 50 (4): 300-309. DOI:10.14601/Phytopathol_Mediterr-10233</w:t>
      </w:r>
    </w:p>
    <w:p w14:paraId="3CAE604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Di Marco, Osti, S., Bossio, F., Nocentini, D., Cinelli, M., Calzarano, T., Mugnai, L. (2019): Electrolyzed acid water: A clean technology active on fungal vascular pathogens in grapevine nurseries. Crop Protection. 119: 88–96. DOI: 10.1016/j.cropro.2019.01.005</w:t>
      </w:r>
    </w:p>
    <w:p w14:paraId="08B0362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Di Marco, S., Metruccio, E.G., Moretti, S., Nocentini, M., Carella, G., Pacetti, A., Battiston, E., Osti, F., Mugnai, L. (2022): Activity of </w:t>
      </w:r>
      <w:r>
        <w:rPr>
          <w:rFonts w:ascii="Book Antiqua" w:hAnsi="Book Antiqua" w:cs="Times New Roman"/>
          <w:i/>
          <w:iCs/>
          <w:color w:val="000000" w:themeColor="text1"/>
          <w:sz w:val="24"/>
          <w:szCs w:val="24"/>
          <w:lang w:val="sr-Latn-RS"/>
        </w:rPr>
        <w:t>Trichoderma asperellum</w:t>
      </w:r>
      <w:r>
        <w:rPr>
          <w:rFonts w:ascii="Book Antiqua" w:hAnsi="Book Antiqua" w:cs="Times New Roman"/>
          <w:color w:val="000000" w:themeColor="text1"/>
          <w:sz w:val="24"/>
          <w:szCs w:val="24"/>
          <w:lang w:val="sr-Latn-RS"/>
        </w:rPr>
        <w:t xml:space="preserve"> Strain ICC 012 and </w:t>
      </w:r>
      <w:r>
        <w:rPr>
          <w:rFonts w:ascii="Book Antiqua" w:hAnsi="Book Antiqua" w:cs="Times New Roman"/>
          <w:i/>
          <w:iCs/>
          <w:color w:val="000000" w:themeColor="text1"/>
          <w:sz w:val="24"/>
          <w:szCs w:val="24"/>
          <w:lang w:val="sr-Latn-RS"/>
        </w:rPr>
        <w:t>Trichoderma gamsii</w:t>
      </w:r>
      <w:r>
        <w:rPr>
          <w:rFonts w:ascii="Book Antiqua" w:hAnsi="Book Antiqua" w:cs="Times New Roman"/>
          <w:color w:val="000000" w:themeColor="text1"/>
          <w:sz w:val="24"/>
          <w:szCs w:val="24"/>
          <w:lang w:val="sr-Latn-RS"/>
        </w:rPr>
        <w:t xml:space="preserve"> Strain ICC 080 Toward Diseases of Esca Complex and Associated Pathogens. Frontiers in  Microbiology. 12: 813410. DOI: 10.3389/fmicb.2021.813410</w:t>
      </w:r>
    </w:p>
    <w:p w14:paraId="6B1A05A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Dobbss, L. B., Santos, T. C., Pittarello, M., Souza, S. B., Ramos, A. C., Busato, J. G. (2018): Alleviation of iron toxicity in </w:t>
      </w:r>
      <w:r>
        <w:rPr>
          <w:rFonts w:ascii="Book Antiqua" w:hAnsi="Book Antiqua" w:cs="Times New Roman"/>
          <w:i/>
          <w:iCs/>
          <w:color w:val="000000" w:themeColor="text1"/>
          <w:sz w:val="24"/>
          <w:szCs w:val="24"/>
          <w:lang w:val="sr-Latn-RS"/>
        </w:rPr>
        <w:t>Schinus terebinthifolius</w:t>
      </w:r>
      <w:r>
        <w:rPr>
          <w:rFonts w:ascii="Book Antiqua" w:hAnsi="Book Antiqua" w:cs="Times New Roman"/>
          <w:color w:val="000000" w:themeColor="text1"/>
          <w:sz w:val="24"/>
          <w:szCs w:val="24"/>
          <w:lang w:val="sr-Latn-RS"/>
        </w:rPr>
        <w:t xml:space="preserve"> raddi (</w:t>
      </w:r>
      <w:r>
        <w:rPr>
          <w:rFonts w:ascii="Book Antiqua" w:hAnsi="Book Antiqua" w:cs="Times New Roman"/>
          <w:i/>
          <w:iCs/>
          <w:color w:val="000000" w:themeColor="text1"/>
          <w:sz w:val="24"/>
          <w:szCs w:val="24"/>
          <w:lang w:val="sr-Latn-RS"/>
        </w:rPr>
        <w:t>Anacardiaceae</w:t>
      </w:r>
      <w:r>
        <w:rPr>
          <w:rFonts w:ascii="Book Antiqua" w:hAnsi="Book Antiqua" w:cs="Times New Roman"/>
          <w:color w:val="000000" w:themeColor="text1"/>
          <w:sz w:val="24"/>
          <w:szCs w:val="24"/>
          <w:lang w:val="sr-Latn-RS"/>
        </w:rPr>
        <w:t>) by humic substances. Environmental Science and Pollution Research. 25 (10): 9416–9425. DOI: 10.1007/s11356-018-1193-1.</w:t>
      </w:r>
    </w:p>
    <w:p w14:paraId="6058AEB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Du, L., Ali, G. S., Simons, K. A., Hou, J., Yang, T., Reddy, A. S. N., Poovaiah, B. W. (2009): Ca2+/ calmodulin regulate salicylicacid-mediated plant immunity. Nature. 457 (7233): 1154</w:t>
      </w:r>
      <w:r>
        <w:rPr>
          <w:rFonts w:ascii="Times New Roman" w:hAnsi="Times New Roman" w:cs="Times New Roman"/>
          <w:color w:val="000000" w:themeColor="text1"/>
          <w:sz w:val="24"/>
          <w:szCs w:val="24"/>
          <w:lang w:val="sr-Latn-RS"/>
        </w:rPr>
        <w:t>‒</w:t>
      </w:r>
      <w:r>
        <w:rPr>
          <w:rFonts w:ascii="Book Antiqua" w:hAnsi="Book Antiqua" w:cs="Times New Roman"/>
          <w:color w:val="000000" w:themeColor="text1"/>
          <w:sz w:val="24"/>
          <w:szCs w:val="24"/>
          <w:lang w:val="sr-Latn-RS"/>
        </w:rPr>
        <w:t>1158. DOI: 10.1038/nature07612Dubos, B. (2002): Le syndrome de l'Esca. In Editions Féret. Maladies cryptogamiques de la vigne, 2° ed. Bordeaux. 127-136.</w:t>
      </w:r>
    </w:p>
    <w:p w14:paraId="4532850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Edwards, J., Marchi, G., Pascoe, I. G. (2001): Young esca in Australia. Phytopathologia Mediterranea. 40, Supplement, S303–S310. DOI: 10.14601/Phytopathol_Mediterr-1646</w:t>
      </w:r>
    </w:p>
    <w:p w14:paraId="3E27523D"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058AB41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Edwards, J., Pascoe, I. G., Salib, S. (2007): Impairment of grapevine xylem function by </w:t>
      </w:r>
      <w:r>
        <w:rPr>
          <w:rFonts w:ascii="Book Antiqua" w:hAnsi="Book Antiqua" w:cs="Times New Roman"/>
          <w:i/>
          <w:iCs/>
          <w:color w:val="000000" w:themeColor="text1"/>
          <w:sz w:val="24"/>
          <w:szCs w:val="24"/>
          <w:lang w:val="sr-Latn-RS"/>
        </w:rPr>
        <w:t xml:space="preserve">Phaeomoniella chlamydospora </w:t>
      </w:r>
      <w:r>
        <w:rPr>
          <w:rFonts w:ascii="Book Antiqua" w:hAnsi="Book Antiqua" w:cs="Times New Roman"/>
          <w:color w:val="000000" w:themeColor="text1"/>
          <w:sz w:val="24"/>
          <w:szCs w:val="24"/>
          <w:lang w:val="sr-Latn-RS"/>
        </w:rPr>
        <w:t>infection is due to more than physical blockage of vessels with‘goo’. Phytopathologia Mediterranea. 46 (1): 87–90. DOI: 10.14601/Phytopathol_Mediterr-1858</w:t>
      </w:r>
    </w:p>
    <w:p w14:paraId="352ADC1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Edwards, S., Salib, S., Thomsom, F., Pascoe, I. G. (2007). The impact of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infection on the grapevine’s physiological response to water stress Part1: Zinfandel. Phytopathologia Mediterranea. 46 (1): 26–37. DOI: 10.14601/Phytopathol_Mediterr-1855</w:t>
      </w:r>
    </w:p>
    <w:p w14:paraId="48498DF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Eichmeier, A., Pečenka, J., Peňázová, E., Baránek, M., Català-García, S., León, M., Armengol, J., Gramaje, D. (2018): High-throughput amplicon sequencing-based analysis of active fungal communities inhabiting grapevine after hot-water treatments reveals unexpectedly high fungal diversity. Fungal Ecology. 36 (5): 26–38. DOI: 10.1016/j.funeco.2018.07.011</w:t>
      </w:r>
    </w:p>
    <w:p w14:paraId="48D7CDA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Elbakidze, T., Gaganidze, D., Kapanadze, A., Aznarashvili, M., Badalashvili, K. (2021): Occurrence of grapevine leafroll associated viruses in the east part of Georgian vineyards. International Journal of Agriculture Innovations and Research. 9 (6): 422 – 427.</w:t>
      </w:r>
    </w:p>
    <w:p w14:paraId="19F9CE8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Eskalen, A., Feliciano, A., Gubler, W. (2007): Susceptibility of grapevine pruning wounds and symptom development in response to infection by </w:t>
      </w:r>
      <w:r>
        <w:rPr>
          <w:rFonts w:ascii="Book Antiqua" w:hAnsi="Book Antiqua" w:cs="Times New Roman"/>
          <w:i/>
          <w:iCs/>
          <w:color w:val="000000" w:themeColor="text1"/>
          <w:sz w:val="24"/>
          <w:szCs w:val="24"/>
          <w:lang w:val="sr-Latn-RS"/>
        </w:rPr>
        <w:t>Phaeoacremonium aleophilum</w:t>
      </w:r>
      <w:r>
        <w:rPr>
          <w:rFonts w:ascii="Book Antiqua" w:hAnsi="Book Antiqua" w:cs="Times New Roman"/>
          <w:color w:val="000000" w:themeColor="text1"/>
          <w:sz w:val="24"/>
          <w:szCs w:val="24"/>
          <w:lang w:val="sr-Latn-RS"/>
        </w:rPr>
        <w:t xml:space="preserve"> and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Plant Disease. 91 (9): 1100–1104. DOI: 10.1094/Pdis-91-9-1100</w:t>
      </w:r>
    </w:p>
    <w:p w14:paraId="1F7597E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Elena, G., Di Bella, V., Armengol, J., Luque, J. (2015): Viability of </w:t>
      </w:r>
      <w:r>
        <w:rPr>
          <w:rFonts w:ascii="Book Antiqua" w:hAnsi="Book Antiqua" w:cs="Times New Roman"/>
          <w:i/>
          <w:iCs/>
          <w:color w:val="000000" w:themeColor="text1"/>
          <w:sz w:val="24"/>
          <w:szCs w:val="24"/>
          <w:lang w:val="sr-Latn-RS"/>
        </w:rPr>
        <w:t>Botryosphaeriaceae</w:t>
      </w:r>
      <w:r>
        <w:rPr>
          <w:rFonts w:ascii="Book Antiqua" w:hAnsi="Book Antiqua" w:cs="Times New Roman"/>
          <w:color w:val="000000" w:themeColor="text1"/>
          <w:sz w:val="24"/>
          <w:szCs w:val="24"/>
          <w:lang w:val="sr-Latn-RS"/>
        </w:rPr>
        <w:t xml:space="preserve"> species pathogenic to grapevine after hot water treatment. Phytopathologia Mediterranea. 54 (2): 325-334. DOI:10.14601/Phytopathol_Mediterr-15526 </w:t>
      </w:r>
    </w:p>
    <w:p w14:paraId="7D50E728" w14:textId="77777777" w:rsidR="003801E8" w:rsidRDefault="00E44AAE">
      <w:pPr>
        <w:tabs>
          <w:tab w:val="left" w:pos="3315"/>
        </w:tabs>
        <w:spacing w:line="360" w:lineRule="auto"/>
        <w:jc w:val="both"/>
        <w:rPr>
          <w:rStyle w:val="Hyperlink"/>
          <w:rFonts w:ascii="Book Antiqua" w:hAnsi="Book Antiqua" w:cs="Times New Roman"/>
          <w:color w:val="000000" w:themeColor="text1"/>
          <w:sz w:val="24"/>
          <w:szCs w:val="24"/>
          <w:u w:val="none"/>
          <w:lang w:val="sr-Latn-RS"/>
        </w:rPr>
      </w:pPr>
      <w:r>
        <w:rPr>
          <w:rFonts w:ascii="Book Antiqua" w:hAnsi="Book Antiqua" w:cs="Times New Roman"/>
          <w:color w:val="000000" w:themeColor="text1"/>
          <w:sz w:val="24"/>
          <w:szCs w:val="24"/>
          <w:lang w:val="sr-Latn-RS"/>
        </w:rPr>
        <w:lastRenderedPageBreak/>
        <w:t xml:space="preserve">Elena, G., Luque, J. (2016): Pruning debris of grapevine as a potential inoculum source of </w:t>
      </w:r>
      <w:r>
        <w:rPr>
          <w:rFonts w:ascii="Book Antiqua" w:hAnsi="Book Antiqua" w:cs="Times New Roman"/>
          <w:i/>
          <w:iCs/>
          <w:color w:val="000000" w:themeColor="text1"/>
          <w:sz w:val="24"/>
          <w:szCs w:val="24"/>
          <w:lang w:val="sr-Latn-RS"/>
        </w:rPr>
        <w:t>Diplodia seriata</w:t>
      </w:r>
      <w:r>
        <w:rPr>
          <w:rFonts w:ascii="Book Antiqua" w:hAnsi="Book Antiqua" w:cs="Times New Roman"/>
          <w:color w:val="000000" w:themeColor="text1"/>
          <w:sz w:val="24"/>
          <w:szCs w:val="24"/>
          <w:lang w:val="sr-Latn-RS"/>
        </w:rPr>
        <w:t xml:space="preserve">, causal agent of Botryosphaeria dieback. European Journal of Plant Pathology.  144 (4): 803–810.  </w:t>
      </w:r>
      <w:hyperlink r:id="rId68" w:history="1">
        <w:r>
          <w:rPr>
            <w:rStyle w:val="Hyperlink"/>
            <w:rFonts w:ascii="Book Antiqua" w:hAnsi="Book Antiqua" w:cs="Times New Roman"/>
            <w:color w:val="000000" w:themeColor="text1"/>
            <w:sz w:val="24"/>
            <w:szCs w:val="24"/>
            <w:u w:val="none"/>
            <w:lang w:val="sr-Latn-RS"/>
          </w:rPr>
          <w:t>DOI: 10.1007/s10658-015-0782-9</w:t>
        </w:r>
      </w:hyperlink>
    </w:p>
    <w:p w14:paraId="23C0E7D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El Samen, F. A., Nasralah., M., Alfaquih, M. A., Alananbeh., K. M. (2023): Prevalence pathogenicity of fungi associated with grapevine trunk diseases in Jordan. Phytopathologia Meditterranea. 62 (2): 255-268. DOI: 10.36253/phyto-13766 </w:t>
      </w:r>
    </w:p>
    <w:p w14:paraId="3A8BC65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Feliciano, A. J., Eskalen, A., Gubler, W. D. (2004): Differential susceptibility of three grapevine cultivars to </w:t>
      </w:r>
      <w:r>
        <w:rPr>
          <w:rFonts w:ascii="Book Antiqua" w:hAnsi="Book Antiqua" w:cs="Times New Roman"/>
          <w:i/>
          <w:iCs/>
          <w:color w:val="000000" w:themeColor="text1"/>
          <w:sz w:val="24"/>
          <w:szCs w:val="24"/>
          <w:lang w:val="sr-Latn-RS"/>
        </w:rPr>
        <w:t>Phaeoacremonium aleophilum</w:t>
      </w:r>
      <w:r>
        <w:rPr>
          <w:rFonts w:ascii="Book Antiqua" w:hAnsi="Book Antiqua" w:cs="Times New Roman"/>
          <w:color w:val="000000" w:themeColor="text1"/>
          <w:sz w:val="24"/>
          <w:szCs w:val="24"/>
          <w:lang w:val="sr-Latn-RS"/>
        </w:rPr>
        <w:t xml:space="preserve"> and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on grape berries in California. Phytopathologia Mediterranea.    43 (1): 66–69. DOI: 10.14601/Phytopathol_Mediterr-1727</w:t>
      </w:r>
    </w:p>
    <w:p w14:paraId="1F4545F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Fischer M., (2002): A new wood-decaying basidiomycete species associated with esca of grapevine: </w:t>
      </w:r>
      <w:r>
        <w:rPr>
          <w:rFonts w:ascii="Book Antiqua" w:hAnsi="Book Antiqua" w:cs="Times New Roman"/>
          <w:i/>
          <w:color w:val="000000" w:themeColor="text1"/>
          <w:sz w:val="24"/>
          <w:szCs w:val="24"/>
          <w:lang w:val="sr-Latn-RS"/>
        </w:rPr>
        <w:t>Fomitiporia mediterranea</w:t>
      </w:r>
      <w:r>
        <w:rPr>
          <w:rFonts w:ascii="Book Antiqua" w:hAnsi="Book Antiqua" w:cs="Times New Roman"/>
          <w:color w:val="000000" w:themeColor="text1"/>
          <w:sz w:val="24"/>
          <w:szCs w:val="24"/>
          <w:lang w:val="sr-Latn-RS"/>
        </w:rPr>
        <w:t xml:space="preserve"> (Hymenochaetales). Mycological Progress. 1 (3): 315–324. DOI: 10.1007/s11557-006-0029-4</w:t>
      </w:r>
    </w:p>
    <w:p w14:paraId="3F99AAF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Fischer, M., Binder, M. (2004): Species recognition, geographic distribution and host-pathogen relationships: A case study in a group of lignicolous basidiomycetes, </w:t>
      </w:r>
      <w:r>
        <w:rPr>
          <w:rFonts w:ascii="Book Antiqua" w:hAnsi="Book Antiqua" w:cs="Times New Roman"/>
          <w:i/>
          <w:color w:val="000000" w:themeColor="text1"/>
          <w:sz w:val="24"/>
          <w:szCs w:val="24"/>
          <w:lang w:val="sr-Latn-RS"/>
        </w:rPr>
        <w:t>Phellinus</w:t>
      </w:r>
      <w:r>
        <w:rPr>
          <w:rFonts w:ascii="Book Antiqua" w:hAnsi="Book Antiqua" w:cs="Times New Roman"/>
          <w:color w:val="000000" w:themeColor="text1"/>
          <w:sz w:val="24"/>
          <w:szCs w:val="24"/>
          <w:lang w:val="sr-Latn-RS"/>
        </w:rPr>
        <w:t xml:space="preserve"> s.l. Mycologia. 96 (4): 799–811. DOI: 10.2307/3762113</w:t>
      </w:r>
    </w:p>
    <w:p w14:paraId="05415D5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Fischer, M., Edwards, J., Cunnington, J.H., Pascoe, I.G. (2005): Basidiomycetous pathogens on grapevine: a new species from Australia - </w:t>
      </w:r>
      <w:r>
        <w:rPr>
          <w:rFonts w:ascii="Book Antiqua" w:hAnsi="Book Antiqua" w:cs="Times New Roman"/>
          <w:i/>
          <w:color w:val="000000" w:themeColor="text1"/>
          <w:sz w:val="24"/>
          <w:szCs w:val="24"/>
          <w:lang w:val="sr-Latn-RS"/>
        </w:rPr>
        <w:t>Fomitiporia australiensis</w:t>
      </w:r>
      <w:r>
        <w:rPr>
          <w:rFonts w:ascii="Book Antiqua" w:hAnsi="Book Antiqua" w:cs="Times New Roman"/>
          <w:color w:val="000000" w:themeColor="text1"/>
          <w:sz w:val="24"/>
          <w:szCs w:val="24"/>
          <w:lang w:val="sr-Latn-RS"/>
        </w:rPr>
        <w:t>. Mycotaxon. 91: 85–96.</w:t>
      </w:r>
    </w:p>
    <w:p w14:paraId="37A78E2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Fischer, M. (2006): Biodiversity and geographic distribution of basidiomycetes causing esca-associated white rot in grapevine: A worldwide perspective. Phytopathologia Mediterranea. 45 (4): 30–42. DOI: 10.14601/Phytopathol_Mediterr-1846</w:t>
      </w:r>
    </w:p>
    <w:p w14:paraId="32045D8F"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6C85FB0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Fischer, M., Kassemeyer, H. H. (2012): Water regime and its possible impact on expression of Esca symptoms in </w:t>
      </w:r>
      <w:r>
        <w:rPr>
          <w:rFonts w:ascii="Book Antiqua" w:hAnsi="Book Antiqua" w:cs="Times New Roman"/>
          <w:i/>
          <w:iCs/>
          <w:color w:val="000000" w:themeColor="text1"/>
          <w:sz w:val="24"/>
          <w:szCs w:val="24"/>
          <w:lang w:val="sr-Latn-RS"/>
        </w:rPr>
        <w:t>Vitis vinifera</w:t>
      </w:r>
      <w:r>
        <w:rPr>
          <w:rFonts w:ascii="Book Antiqua" w:hAnsi="Book Antiqua" w:cs="Times New Roman"/>
          <w:color w:val="000000" w:themeColor="text1"/>
          <w:sz w:val="24"/>
          <w:szCs w:val="24"/>
          <w:lang w:val="sr-Latn-RS"/>
        </w:rPr>
        <w:t xml:space="preserve">: growth characters and symptoms in the greenhouse after artificial infection with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Journal of grapevine research. 51 (3): Vitis. DOI: 10.5073/vitis.2012.51.129-135</w:t>
      </w:r>
    </w:p>
    <w:p w14:paraId="6AFD4C8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Fischer, M., González-García, V. (2015): An annotated checklist of European basidiomycetes related to white rot of grapevine (</w:t>
      </w:r>
      <w:r>
        <w:rPr>
          <w:rFonts w:ascii="Book Antiqua" w:hAnsi="Book Antiqua" w:cs="Times New Roman"/>
          <w:i/>
          <w:iCs/>
          <w:color w:val="000000" w:themeColor="text1"/>
          <w:sz w:val="24"/>
          <w:szCs w:val="24"/>
          <w:lang w:val="sr-Latn-RS"/>
        </w:rPr>
        <w:t>Vitis vinifera</w:t>
      </w:r>
      <w:r>
        <w:rPr>
          <w:rFonts w:ascii="Book Antiqua" w:hAnsi="Book Antiqua" w:cs="Times New Roman"/>
          <w:color w:val="000000" w:themeColor="text1"/>
          <w:sz w:val="24"/>
          <w:szCs w:val="24"/>
          <w:lang w:val="sr-Latn-RS"/>
        </w:rPr>
        <w:t>). Phytopathologia Mediterranea. 54 (2): 281–298. DOI: 10.14601/Phytopathol_Mediterr-16293</w:t>
      </w:r>
    </w:p>
    <w:p w14:paraId="126EE93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Fischer, M., Ashnaei, S. P. (2019): Grapevine, esca complex, and environment: the disease triangle. Phytopathologia Mediterranea. 58 (1): 17-37. DOI: 10.13128/Phytopathol_Mediterr-25086</w:t>
      </w:r>
    </w:p>
    <w:p w14:paraId="43F484D1"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 xml:space="preserve">Fischer M. (2019): Grapevine trunk diseases in German viticulture. III. Biodiversity and spatial distribution of fungal pathogens in rootstock mother plants and possible relation to leaf symptoms. </w:t>
      </w:r>
      <w:r>
        <w:rPr>
          <w:rFonts w:ascii="Book Antiqua" w:hAnsi="Book Antiqua" w:cs="Times New Roman"/>
          <w:iCs/>
          <w:sz w:val="24"/>
          <w:szCs w:val="24"/>
        </w:rPr>
        <w:t>Journal of Grapevine Research.</w:t>
      </w:r>
      <w:r>
        <w:rPr>
          <w:rFonts w:ascii="Book Antiqua" w:hAnsi="Book Antiqua" w:cs="Times New Roman"/>
          <w:sz w:val="24"/>
          <w:szCs w:val="24"/>
        </w:rPr>
        <w:t xml:space="preserve"> 58(4): 141–149. </w:t>
      </w:r>
      <w:hyperlink r:id="rId69" w:history="1">
        <w:r>
          <w:rPr>
            <w:rStyle w:val="Hyperlink"/>
            <w:rFonts w:ascii="Book Antiqua" w:hAnsi="Book Antiqua" w:cs="Times New Roman"/>
            <w:color w:val="auto"/>
            <w:sz w:val="24"/>
            <w:szCs w:val="24"/>
          </w:rPr>
          <w:t>DOI: 10.5073/vitis.2019.58.141-149</w:t>
        </w:r>
      </w:hyperlink>
    </w:p>
    <w:p w14:paraId="1698307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Fereira, J. H. S., van Wyk, P. S., Calitz, F. J. (1999): Slow Dieback of grapevine in South Africa: Stress-related predisposition of young vines for infection by </w:t>
      </w:r>
      <w:r>
        <w:rPr>
          <w:rFonts w:ascii="Book Antiqua" w:hAnsi="Book Antiqua" w:cs="Times New Roman"/>
          <w:i/>
          <w:iCs/>
          <w:color w:val="000000" w:themeColor="text1"/>
          <w:sz w:val="24"/>
          <w:szCs w:val="24"/>
          <w:lang w:val="sr-Latn-RS"/>
        </w:rPr>
        <w:t xml:space="preserve">Phaeoacremonium chlamydosporum. </w:t>
      </w:r>
      <w:r>
        <w:rPr>
          <w:rFonts w:ascii="Book Antiqua" w:hAnsi="Book Antiqua" w:cs="Times New Roman"/>
          <w:color w:val="000000" w:themeColor="text1"/>
          <w:sz w:val="24"/>
          <w:szCs w:val="24"/>
          <w:lang w:val="sr-Latn-RS"/>
        </w:rPr>
        <w:t>South African Journal of Enology and Viticulture. 20 (2): 43-46. DOI: 10.21548/20-2-2228</w:t>
      </w:r>
    </w:p>
    <w:p w14:paraId="6788770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Fedele, G., Armengol, J., Caffi, T., Languasco, L., Latinović, N., Latinović, J., Leon, M., Marchi, G., Mugnai, L., Rossi, V. (2024): Diaporthe foeniculina and D. eres, in addition to D. ampelina, may cause Phomopsis cane and leaf spot disease in grapevine. Frontiers in Plant Science. 15:1446663. DOI: 10.3389/fpls.2024.1446663</w:t>
      </w:r>
    </w:p>
    <w:p w14:paraId="794B6F6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Fontaine, F., Pinto, C., Vallet, J., Clement, C., Gomes, A. C., Spagnolo, A. (2015): The effects of grapevine trunk diseases (GTDs) on vine physiology. European Journal Plant Pathology. 144 (4): 707–721. DOI: 10.1007/s10658-015-0770-0</w:t>
      </w:r>
    </w:p>
    <w:p w14:paraId="5DFCD7A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Fourie, P. H., Halleen, F. (2004): Proactive control of Petri disease of grapevine through treatment of propagation material. Plant Disease. 88 (11): 1241-1245. DOI: 10.1094/PDIS.2004.88.11.1241</w:t>
      </w:r>
    </w:p>
    <w:p w14:paraId="47E9B51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Fourie, P. H., Halleen. F. (2006): Chemical and biological protection of grapevine propagation material from trunk disease pathogens. European Journl of Plant Pathology. 116 (4): 255–265. DOI: 10.1007/s10658-006-9057-9</w:t>
      </w:r>
    </w:p>
    <w:p w14:paraId="6BD47576"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Fleurat-Lessard, P., Luini, E., Berjeaud, J. M., Roblin, G. ( 2010): Diagnosis of grapevine esca disease by immunological detection of </w:t>
      </w:r>
      <w:r>
        <w:rPr>
          <w:rFonts w:ascii="Book Antiqua" w:hAnsi="Book Antiqua" w:cs="Times New Roman"/>
          <w:i/>
          <w:iCs/>
          <w:color w:val="000000" w:themeColor="text1"/>
          <w:sz w:val="24"/>
          <w:szCs w:val="24"/>
        </w:rPr>
        <w:t>Phaeomoniella chlamydospora</w:t>
      </w:r>
      <w:r>
        <w:rPr>
          <w:rFonts w:ascii="Book Antiqua" w:hAnsi="Book Antiqua" w:cs="Times New Roman"/>
          <w:color w:val="000000" w:themeColor="text1"/>
          <w:sz w:val="24"/>
          <w:szCs w:val="24"/>
        </w:rPr>
        <w:t>. Australian Journal of Grape and Wine Research</w:t>
      </w:r>
      <w:r>
        <w:rPr>
          <w:rFonts w:ascii="Book Antiqua" w:hAnsi="Book Antiqua" w:cs="Times New Roman"/>
          <w:i/>
          <w:iCs/>
          <w:color w:val="000000" w:themeColor="text1"/>
          <w:sz w:val="24"/>
          <w:szCs w:val="24"/>
        </w:rPr>
        <w:t xml:space="preserve">. </w:t>
      </w:r>
      <w:r>
        <w:rPr>
          <w:rFonts w:ascii="Book Antiqua" w:hAnsi="Book Antiqua" w:cs="Times New Roman"/>
          <w:color w:val="000000" w:themeColor="text1"/>
          <w:sz w:val="24"/>
          <w:szCs w:val="24"/>
        </w:rPr>
        <w:t>16: 455–463. DOI:10.1111/j.1755- 0238.2010.00106.x</w:t>
      </w:r>
    </w:p>
    <w:p w14:paraId="50AB2EB8"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Fuchs, M. (2020): Grapevine viruses: a multitude of diverse species with simple but overall poorly adopted management solutions in the vineyard. Journal of Plant Pathology. 102 (3) 643–653. DOI: 10.1007/s42161-020-00579-2</w:t>
      </w:r>
    </w:p>
    <w:p w14:paraId="522C369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Gainza-Cortes, F., Roa-Roco, R., Arrano-Salinas, P., Rodriguez-Herrera, P., Lolas, M. A., Caris-Maldonado, J. C., Silva-Flores, P.,  Gonzalez, A. (2020): Distribution of three grapevine trunk pathogens in Chilean vineyards, determined using molecular detection from asymptomatic woody pruning material. Phytopathologia Mediterranea. 59 (3): 503-513. DOI:10.14601/Phyto-11274</w:t>
      </w:r>
    </w:p>
    <w:p w14:paraId="053802D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Gellon, M., Fuchs, J., Farine, S., Mazet, F., Laloue, H., Bertsch, C. (2017): A new mode of treatment to cure GTDs: vegetal endotherapy? Phytopathologia Mediterranea. 56 (3): 572–573. DOI: 10.14601/Phytopathol_Mediterr-21865</w:t>
      </w:r>
    </w:p>
    <w:p w14:paraId="50D2023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Geiger, A., Karácsony, Z., Golen, R., Váczy, K. Z., Geml, J. (2022). The compositional turnover of grapevine-associated plant pathogenic fungal communities is greater among intraindividual microhabitats and terroirs than among healthy and Esca-diseased plants. Phytopathology. 112 (5): 1029–1035. DOI: 10.1094/PHYTO-05-21-0190</w:t>
      </w:r>
    </w:p>
    <w:p w14:paraId="23AAF6F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Georgieva, M., Georgiev, G., Ivanov, V., Hristova, M. (2024): First record of Biscogniauxia mediterranea (De Not.) Kuntze on Querqus rubra L. In Bulgaria. Historia naturalis bulgarica. 46 (10): 265-271. DOI:10.48027/hnb.46.102</w:t>
      </w:r>
    </w:p>
    <w:p w14:paraId="70D0D0B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rPr>
        <w:t>Gezgin, Y., Güralp, G., Barlas, A.</w:t>
      </w:r>
      <w:r>
        <w:rPr>
          <w:rFonts w:ascii="Times New Roman" w:hAnsi="Times New Roman" w:cs="Times New Roman"/>
          <w:color w:val="000000" w:themeColor="text1"/>
          <w:sz w:val="24"/>
          <w:szCs w:val="24"/>
        </w:rPr>
        <w:t> </w:t>
      </w:r>
      <w:r>
        <w:rPr>
          <w:rFonts w:ascii="Book Antiqua" w:hAnsi="Book Antiqua" w:cs="Times New Roman"/>
          <w:color w:val="000000" w:themeColor="text1"/>
          <w:sz w:val="24"/>
          <w:szCs w:val="24"/>
        </w:rPr>
        <w:t>B., Eltem, R. (2023): Morphological and molecular identification of Trichoderma isolates used as biocontrol agents by DNA barcoding</w:t>
      </w:r>
      <w:r>
        <w:rPr>
          <w:rFonts w:ascii="Book Antiqua" w:hAnsi="Book Antiqua" w:cs="Times New Roman"/>
          <w:i/>
          <w:iCs/>
          <w:color w:val="000000" w:themeColor="text1"/>
          <w:sz w:val="24"/>
          <w:szCs w:val="24"/>
        </w:rPr>
        <w:t>.</w:t>
      </w:r>
      <w:r>
        <w:rPr>
          <w:rFonts w:ascii="Book Antiqua" w:hAnsi="Book Antiqua" w:cs="Times New Roman"/>
          <w:color w:val="000000" w:themeColor="text1"/>
          <w:sz w:val="24"/>
          <w:szCs w:val="24"/>
        </w:rPr>
        <w:t xml:space="preserve"> European Journal of Biology</w:t>
      </w:r>
      <w:r>
        <w:rPr>
          <w:rFonts w:ascii="Book Antiqua" w:hAnsi="Book Antiqua" w:cs="Times New Roman"/>
          <w:b/>
          <w:bCs/>
          <w:color w:val="000000" w:themeColor="text1"/>
          <w:sz w:val="24"/>
          <w:szCs w:val="24"/>
        </w:rPr>
        <w:t xml:space="preserve">. </w:t>
      </w:r>
      <w:r>
        <w:rPr>
          <w:rFonts w:ascii="Book Antiqua" w:hAnsi="Book Antiqua" w:cs="Times New Roman"/>
          <w:color w:val="000000" w:themeColor="text1"/>
          <w:sz w:val="24"/>
          <w:szCs w:val="24"/>
        </w:rPr>
        <w:t>82(1): 59–69. DOI: 10.26650/EurJBiol.2023.1279151</w:t>
      </w:r>
    </w:p>
    <w:p w14:paraId="15E41A2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Gimenez-Jaime, A., Aroca, A., Raposo, R., Garcia-Jimenez, J., Armengol, J. (2006): Occurence of fungal pathogens associated with grapevine nurseries and the decline of young vines in Spain. Journal of Phytopathology. 154: 598–602. DOI: 10.1111/j.1439-0434.2006.01153.x</w:t>
      </w:r>
    </w:p>
    <w:p w14:paraId="6ACB446B" w14:textId="77777777" w:rsidR="003801E8" w:rsidRDefault="00E44AAE">
      <w:pPr>
        <w:tabs>
          <w:tab w:val="left" w:pos="3315"/>
        </w:tabs>
        <w:spacing w:line="360" w:lineRule="auto"/>
        <w:jc w:val="both"/>
        <w:rPr>
          <w:rFonts w:ascii="Book Antiqua" w:hAnsi="Book Antiqua" w:cs="Times New Roman"/>
          <w:sz w:val="24"/>
          <w:szCs w:val="24"/>
          <w:lang w:val="sr-Latn-RS"/>
        </w:rPr>
      </w:pPr>
      <w:r>
        <w:rPr>
          <w:rFonts w:ascii="Book Antiqua" w:hAnsi="Book Antiqua" w:cs="Times New Roman"/>
          <w:sz w:val="24"/>
          <w:szCs w:val="24"/>
          <w:lang w:val="sr-Latn-RS"/>
        </w:rPr>
        <w:t>Goufo, P., Marques, A.C., Cortez, I. (2019): Exhibition of Local but Not Systemic Induced Phenolic Defenses in Vitis vinifera L. Affected by Brown Wood Streaking, Grapevine Leaf Stripe, and Apoplexy (Esca Complex). Plants.</w:t>
      </w:r>
      <w:r>
        <w:rPr>
          <w:rFonts w:ascii="Book Antiqua" w:hAnsi="Book Antiqua" w:cs="Times New Roman"/>
          <w:i/>
          <w:iCs/>
          <w:sz w:val="24"/>
          <w:szCs w:val="24"/>
          <w:lang w:val="sr-Latn-RS"/>
        </w:rPr>
        <w:t xml:space="preserve"> </w:t>
      </w:r>
      <w:r>
        <w:rPr>
          <w:rFonts w:ascii="Book Antiqua" w:hAnsi="Book Antiqua" w:cs="Times New Roman"/>
          <w:sz w:val="24"/>
          <w:szCs w:val="24"/>
          <w:lang w:val="sr-Latn-RS"/>
        </w:rPr>
        <w:t>8(10): 412. DOI:10.3390/plants8100412</w:t>
      </w:r>
    </w:p>
    <w:p w14:paraId="130CB44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Gonzales – Dominguez, E., Berlanas, C., Gramaje, D., Armengol, J., Rossi, V., Berbegal, M. (2020): Temporal dispersal patterns of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causal agent of Petri disease and esca, in Vineyards. Phytopathology. 110 (6): 1216-1225. DOI: 10.1094/PHYTO-10-19-0400-R</w:t>
      </w:r>
    </w:p>
    <w:p w14:paraId="696E02D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Gramaje, D., Garcia – Jimenez, J., Armengol, J. (2008): Sensitivity of Petri disease pathogens to hot-water treatments </w:t>
      </w:r>
      <w:r>
        <w:rPr>
          <w:rFonts w:ascii="Book Antiqua" w:hAnsi="Book Antiqua" w:cs="Times New Roman"/>
          <w:i/>
          <w:iCs/>
          <w:color w:val="000000" w:themeColor="text1"/>
          <w:sz w:val="24"/>
          <w:szCs w:val="24"/>
          <w:lang w:val="sr-Latn-RS"/>
        </w:rPr>
        <w:t>in vitro</w:t>
      </w:r>
      <w:r>
        <w:rPr>
          <w:rFonts w:ascii="Book Antiqua" w:hAnsi="Book Antiqua" w:cs="Times New Roman"/>
          <w:color w:val="000000" w:themeColor="text1"/>
          <w:sz w:val="24"/>
          <w:szCs w:val="24"/>
          <w:lang w:val="sr-Latn-RS"/>
        </w:rPr>
        <w:t xml:space="preserve">. Annals of Applied Biology. 153 (1):95-103. DOI: </w:t>
      </w:r>
      <w:hyperlink r:id="rId70" w:history="1">
        <w:r>
          <w:rPr>
            <w:rStyle w:val="Hyperlink"/>
            <w:rFonts w:ascii="Book Antiqua" w:hAnsi="Book Antiqua" w:cs="Times New Roman"/>
            <w:color w:val="000000" w:themeColor="text1"/>
            <w:sz w:val="24"/>
            <w:szCs w:val="24"/>
            <w:u w:val="none"/>
          </w:rPr>
          <w:t>10.1111/j.1744-7348.2008.00229.x</w:t>
        </w:r>
      </w:hyperlink>
    </w:p>
    <w:p w14:paraId="3C70625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Gramaje, D., Armengol, J., Salazar, D., López-Cortés, I., García-Jiménez, J. (2009): Effect of hot-water treatments above 50°C on grapevine viability and survival of Petri disease pathogens. Crop Protection. 28 (3): 280-285. DOI: 10.1016/j.cropro.2008.11.002</w:t>
      </w:r>
    </w:p>
    <w:p w14:paraId="3E78F10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Gramaje, D., Armengol, J. (2011): Fungal trunk pathogens in the grapevine propagation process: potential inoculum sources, detection, identification, and management strategies. Plant Disease. 95 (9) :1040–1055. DOI: 10.1094/PDIS-01-11-0025</w:t>
      </w:r>
    </w:p>
    <w:p w14:paraId="40C3827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Gramaje, D., Armengol, J. (2012): Effects of hot-water treatment, posthot-water-treatment cooling and cold storage on the viability of dormant grafted grapevines under field conditions. Australian Journal of Grape and Wine Research. 18 (2): 158-163. DOI: 10.1111/j.1755-0238.2012.00185.x Crossref</w:t>
      </w:r>
    </w:p>
    <w:p w14:paraId="27700E4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Gramaje, D., Mañas, F., Lerma, M. L., Muñoz, R. M., García-Jiménez, J., Armengol, J. (2014): Effect of hot-water treatment on grapevine viability, yield components and composition of must. Australian Journal Grape and Wine Research. 20:144-148. DOI: 10.1111/ajgw.12052 Crossref</w:t>
      </w:r>
    </w:p>
    <w:p w14:paraId="10E0A2D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Gramaje, D., Mostert, L., Groenewald, J. Z., Crous, P. W. (2015): </w:t>
      </w:r>
      <w:r>
        <w:rPr>
          <w:rFonts w:ascii="Book Antiqua" w:hAnsi="Book Antiqua" w:cs="Times New Roman"/>
          <w:i/>
          <w:color w:val="000000" w:themeColor="text1"/>
          <w:sz w:val="24"/>
          <w:szCs w:val="24"/>
          <w:lang w:val="sr-Latn-RS"/>
        </w:rPr>
        <w:t>Phaeoacremonium</w:t>
      </w:r>
      <w:r>
        <w:rPr>
          <w:rFonts w:ascii="Book Antiqua" w:hAnsi="Book Antiqua" w:cs="Times New Roman"/>
          <w:color w:val="000000" w:themeColor="text1"/>
          <w:sz w:val="24"/>
          <w:szCs w:val="24"/>
          <w:lang w:val="sr-Latn-RS"/>
        </w:rPr>
        <w:t>: From esca disease to phaeohyphomycosis. Fungal Biology. 119 (9): 759–783. DOI: 10.1016/j.funbio.2015.06.004</w:t>
      </w:r>
    </w:p>
    <w:p w14:paraId="14D40546" w14:textId="77777777" w:rsidR="003801E8" w:rsidRDefault="00E44AAE">
      <w:pPr>
        <w:tabs>
          <w:tab w:val="left" w:pos="3315"/>
        </w:tabs>
        <w:spacing w:line="360" w:lineRule="auto"/>
        <w:jc w:val="both"/>
      </w:pPr>
      <w:r>
        <w:rPr>
          <w:rFonts w:ascii="Book Antiqua" w:hAnsi="Book Antiqua" w:cs="Times New Roman"/>
          <w:color w:val="000000" w:themeColor="text1"/>
          <w:sz w:val="24"/>
          <w:szCs w:val="24"/>
          <w:lang w:val="sr-Latn-RS"/>
        </w:rPr>
        <w:t xml:space="preserve">Gramaje, D., Di Marco, S. (2015):  Identifying practices likely to have impacts on grapevine trunk disease infections: a European nursery survey. Phytopathologia  Mediterranea.  54 (2): 313–324. </w:t>
      </w:r>
      <w:hyperlink r:id="rId71" w:history="1">
        <w:r>
          <w:rPr>
            <w:rStyle w:val="Hyperlink"/>
            <w:rFonts w:ascii="Book Antiqua" w:hAnsi="Book Antiqua" w:cs="Times New Roman"/>
            <w:color w:val="000000" w:themeColor="text1"/>
            <w:sz w:val="24"/>
            <w:szCs w:val="24"/>
            <w:u w:val="none"/>
            <w:lang w:val="sr-Latn-RS"/>
          </w:rPr>
          <w:t>DOI:10.14601/Phytopathol</w:t>
        </w:r>
      </w:hyperlink>
    </w:p>
    <w:p w14:paraId="24DB08E0" w14:textId="77777777" w:rsidR="003801E8" w:rsidRDefault="00E44AAE">
      <w:pPr>
        <w:tabs>
          <w:tab w:val="left" w:pos="3315"/>
        </w:tabs>
        <w:spacing w:line="360" w:lineRule="auto"/>
        <w:jc w:val="both"/>
        <w:rPr>
          <w:rFonts w:ascii="Book Antiqua" w:hAnsi="Book Antiqua" w:cs="Times New Roman"/>
          <w:color w:val="000000" w:themeColor="text1"/>
          <w:sz w:val="24"/>
          <w:szCs w:val="24"/>
          <w:u w:val="single"/>
          <w:lang w:val="sr-Latn-RS"/>
        </w:rPr>
      </w:pPr>
      <w:r>
        <w:rPr>
          <w:rFonts w:ascii="Book Antiqua" w:hAnsi="Book Antiqua" w:cs="Times New Roman"/>
          <w:color w:val="000000" w:themeColor="text1"/>
          <w:sz w:val="24"/>
          <w:szCs w:val="24"/>
          <w:lang w:val="sr-Latn-RS"/>
        </w:rPr>
        <w:t xml:space="preserve">Gramaje, D., Urbez-Torres, J.R., Sosnowski, M.R. (2018): Managing Grapevine Trunk Diseases With Respect to Etiol-ogy and Epidemiology: Current Strategies and Future Pros-pects. Plant Disease. 102 (1): 12–39. </w:t>
      </w:r>
      <w:hyperlink r:id="rId72" w:history="1">
        <w:r>
          <w:rPr>
            <w:rStyle w:val="Hyperlink"/>
            <w:rFonts w:ascii="Book Antiqua" w:hAnsi="Book Antiqua" w:cs="Times New Roman"/>
            <w:color w:val="000000" w:themeColor="text1"/>
            <w:sz w:val="24"/>
            <w:szCs w:val="24"/>
            <w:u w:val="none"/>
            <w:lang w:val="sr-Latn-RS"/>
          </w:rPr>
          <w:t>DOI: 10.1094/PDIS-04-17-0512-FE</w:t>
        </w:r>
      </w:hyperlink>
      <w:r>
        <w:rPr>
          <w:rStyle w:val="Hyperlink"/>
          <w:rFonts w:ascii="Book Antiqua" w:hAnsi="Book Antiqua" w:cs="Times New Roman"/>
          <w:color w:val="000000" w:themeColor="text1"/>
          <w:sz w:val="24"/>
          <w:szCs w:val="24"/>
          <w:lang w:val="sr-Latn-RS"/>
        </w:rPr>
        <w:t xml:space="preserve">  </w:t>
      </w:r>
    </w:p>
    <w:p w14:paraId="01F046E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Grbić, M., Ibenez, J., Maraš, V., Martinez Zapeter, M., (2017): The significance of genomic technologies in exploration and valorization of genetic diversity in Montenegro. Proceedings First International Conference On Vranac and other Montenegrin Autochthonous Grapevine Varieties. Podgorica, Montenegro, 5-7.</w:t>
      </w:r>
    </w:p>
    <w:p w14:paraId="79DDCBD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Grinbergs, D., Chilian, J., Isla, M., Alfaro-Quezada, J. F. (2023): Endophytic microorganisms for trunk diseases control in Chilean patrimonial vineyards. Integrated Protection in Viticulture. Logrono, La Rioja (Spain), 3-5 October. </w:t>
      </w:r>
    </w:p>
    <w:p w14:paraId="4CE2A7F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Graniti, A., Surico, G., Mugnai, L. (2000): Esca of grapevine : A disease complex or a complex of diseases. Phytopathologia Mediterranea. 39 (1): 16-20. DOI:10.14601/Phytopathol_Mediterr-1539</w:t>
      </w:r>
    </w:p>
    <w:p w14:paraId="2E53896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Groenewald, M., Denman, S., Crous, P. W. (2000): Fungicide sensitivity of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the causal organism of Petri grapevine decline. South African Journal of Enology and Viticulture. 21 (2): 59-61. DOI:10.21548/21-2-2206</w:t>
      </w:r>
    </w:p>
    <w:p w14:paraId="55CBDF6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Grozić, K., Bubola, M., Poljuha, D. (2019): Symptoms and management of grapevine trunk diseases. Journal of Central European Agriculture. 20 (3): 876-890. DOI: 10.5513/JCEA01/20.3.1991</w:t>
      </w:r>
    </w:p>
    <w:p w14:paraId="094582B4"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Geoffrion, R., Renaudin, I. (2002): Anti-esca pruning. A use-ful measure against outbreaks of this old grapevine disease. Phytoma.  554: 23–27.</w:t>
      </w:r>
    </w:p>
    <w:p w14:paraId="4AB3ED8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Grosman, J. (2008): Observatoire national des maladies du bois: bilan de 4 années d’observations. In: Euroviti - Colloque viticole et oenologique, Angers, France, 8–17.                   </w:t>
      </w:r>
    </w:p>
    <w:p w14:paraId="73AC78C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Grosman, J., Doublet, B. (2012): Maladies du bois de la vigne. Synthèse des dispositifs d’observation au vignoble, de l’observatoire 2003–2008 au réseau d’épidémio-surveil- lance actuel. Phytoma. 651 (5): 31–35.</w:t>
      </w:r>
    </w:p>
    <w:p w14:paraId="3AA3877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Gkikas, F. I., Tako, A., Gkizi, D., Lagogianni, C., Markakis, E. A., Tjamos, S. E. (2021): </w:t>
      </w:r>
      <w:r>
        <w:rPr>
          <w:rFonts w:ascii="Book Antiqua" w:hAnsi="Book Antiqua" w:cs="Times New Roman"/>
          <w:i/>
          <w:iCs/>
          <w:color w:val="000000" w:themeColor="text1"/>
          <w:sz w:val="24"/>
          <w:szCs w:val="24"/>
          <w:lang w:val="sr-Latn-RS"/>
        </w:rPr>
        <w:t>Paenibacillus alvei</w:t>
      </w:r>
      <w:r>
        <w:rPr>
          <w:rFonts w:ascii="Book Antiqua" w:hAnsi="Book Antiqua" w:cs="Times New Roman"/>
          <w:color w:val="000000" w:themeColor="text1"/>
          <w:sz w:val="24"/>
          <w:szCs w:val="24"/>
          <w:lang w:val="sr-Latn-RS"/>
        </w:rPr>
        <w:t xml:space="preserve"> K165 and </w:t>
      </w:r>
      <w:r>
        <w:rPr>
          <w:rFonts w:ascii="Book Antiqua" w:hAnsi="Book Antiqua" w:cs="Times New Roman"/>
          <w:i/>
          <w:iCs/>
          <w:color w:val="000000" w:themeColor="text1"/>
          <w:sz w:val="24"/>
          <w:szCs w:val="24"/>
          <w:lang w:val="sr-Latn-RS"/>
        </w:rPr>
        <w:t>Fusarium oxysporum</w:t>
      </w:r>
      <w:r>
        <w:rPr>
          <w:rFonts w:ascii="Book Antiqua" w:hAnsi="Book Antiqua" w:cs="Times New Roman"/>
          <w:color w:val="000000" w:themeColor="text1"/>
          <w:sz w:val="24"/>
          <w:szCs w:val="24"/>
          <w:lang w:val="sr-Latn-RS"/>
        </w:rPr>
        <w:t xml:space="preserve"> F2: Potential biocontrol agents against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in grapevines. Plants.  10 (2): 207. DOI: 10.3390/plants10020207</w:t>
      </w:r>
    </w:p>
    <w:p w14:paraId="2E90102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Gubler, W. D., Baumgartner, K., Browne, G. T., Eskalen, A., Rooney Latham, S., Petit, E., Bayramian, L. A. (2004): Root diseases of grapevines in California and their control. Australasian Plant Pathology. 33 (2):157-165. DOI:10.1071/AP04019</w:t>
      </w:r>
    </w:p>
    <w:p w14:paraId="67C7BB85"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Guarnaccia, V., Groenewald, J.</w:t>
      </w:r>
      <w:r>
        <w:rPr>
          <w:rFonts w:ascii="Times New Roman" w:hAnsi="Times New Roman" w:cs="Times New Roman"/>
          <w:color w:val="000000" w:themeColor="text1"/>
          <w:sz w:val="24"/>
          <w:szCs w:val="24"/>
        </w:rPr>
        <w:t> </w:t>
      </w:r>
      <w:r>
        <w:rPr>
          <w:rFonts w:ascii="Book Antiqua" w:hAnsi="Book Antiqua" w:cs="Times New Roman"/>
          <w:color w:val="000000" w:themeColor="text1"/>
          <w:sz w:val="24"/>
          <w:szCs w:val="24"/>
        </w:rPr>
        <w:t>Z., Woodhall, J., Armengol, J., Cinelli, T., Eichmeier, A., Ezra, D., Fontaine, F., Gramaje, D., Gutierrez</w:t>
      </w:r>
      <w:r>
        <w:rPr>
          <w:rFonts w:ascii="Book Antiqua" w:hAnsi="Book Antiqua" w:cs="Times New Roman"/>
          <w:color w:val="000000" w:themeColor="text1"/>
          <w:sz w:val="24"/>
          <w:szCs w:val="24"/>
        </w:rPr>
        <w:noBreakHyphen/>
        <w:t>Aguirregabiria, A., Kaliterna, J., Kiss, L., Larignon, P., Luque, J., Mugnai, L., Naor, V., Raposo, R., S</w:t>
      </w:r>
      <w:r>
        <w:rPr>
          <w:rFonts w:ascii="Book Antiqua" w:hAnsi="Book Antiqua" w:cs="Book Antiqua"/>
          <w:color w:val="000000" w:themeColor="text1"/>
          <w:sz w:val="24"/>
          <w:szCs w:val="24"/>
        </w:rPr>
        <w:t>á</w:t>
      </w:r>
      <w:r>
        <w:rPr>
          <w:rFonts w:ascii="Book Antiqua" w:hAnsi="Book Antiqua" w:cs="Times New Roman"/>
          <w:color w:val="000000" w:themeColor="text1"/>
          <w:sz w:val="24"/>
          <w:szCs w:val="24"/>
        </w:rPr>
        <w:t>ndor, E., V</w:t>
      </w:r>
      <w:r>
        <w:rPr>
          <w:rFonts w:ascii="Book Antiqua" w:hAnsi="Book Antiqua" w:cs="Book Antiqua"/>
          <w:color w:val="000000" w:themeColor="text1"/>
          <w:sz w:val="24"/>
          <w:szCs w:val="24"/>
        </w:rPr>
        <w:t>á</w:t>
      </w:r>
      <w:r>
        <w:rPr>
          <w:rFonts w:ascii="Book Antiqua" w:hAnsi="Book Antiqua" w:cs="Times New Roman"/>
          <w:color w:val="000000" w:themeColor="text1"/>
          <w:sz w:val="24"/>
          <w:szCs w:val="24"/>
        </w:rPr>
        <w:t>czy, K.</w:t>
      </w:r>
      <w:r>
        <w:rPr>
          <w:rFonts w:ascii="Times New Roman" w:hAnsi="Times New Roman" w:cs="Times New Roman"/>
          <w:color w:val="000000" w:themeColor="text1"/>
          <w:sz w:val="24"/>
          <w:szCs w:val="24"/>
        </w:rPr>
        <w:t> </w:t>
      </w:r>
      <w:r>
        <w:rPr>
          <w:rFonts w:ascii="Book Antiqua" w:hAnsi="Book Antiqua" w:cs="Times New Roman"/>
          <w:color w:val="000000" w:themeColor="text1"/>
          <w:sz w:val="24"/>
          <w:szCs w:val="24"/>
        </w:rPr>
        <w:t>Z.,  Crous, P.</w:t>
      </w:r>
      <w:r>
        <w:rPr>
          <w:rFonts w:ascii="Times New Roman" w:hAnsi="Times New Roman" w:cs="Times New Roman"/>
          <w:color w:val="000000" w:themeColor="text1"/>
          <w:sz w:val="24"/>
          <w:szCs w:val="24"/>
        </w:rPr>
        <w:t> </w:t>
      </w:r>
      <w:r>
        <w:rPr>
          <w:rFonts w:ascii="Book Antiqua" w:hAnsi="Book Antiqua" w:cs="Times New Roman"/>
          <w:color w:val="000000" w:themeColor="text1"/>
          <w:sz w:val="24"/>
          <w:szCs w:val="24"/>
        </w:rPr>
        <w:t>W. (2018): Diaporthe diversity and pathogenicity revealed from a broad survey of grapevine diseases in Europe</w:t>
      </w:r>
      <w:r>
        <w:rPr>
          <w:rFonts w:ascii="Book Antiqua" w:hAnsi="Book Antiqua" w:cs="Times New Roman"/>
          <w:i/>
          <w:iCs/>
          <w:color w:val="000000" w:themeColor="text1"/>
          <w:sz w:val="24"/>
          <w:szCs w:val="24"/>
        </w:rPr>
        <w:t>.</w:t>
      </w:r>
      <w:r>
        <w:rPr>
          <w:rFonts w:ascii="Book Antiqua" w:hAnsi="Book Antiqua" w:cs="Times New Roman"/>
          <w:color w:val="000000" w:themeColor="text1"/>
          <w:sz w:val="24"/>
          <w:szCs w:val="24"/>
        </w:rPr>
        <w:t xml:space="preserve"> Persoonia: Molecular Phylogeny and Evolution of Fungi</w:t>
      </w:r>
      <w:r>
        <w:rPr>
          <w:rFonts w:ascii="Book Antiqua" w:hAnsi="Book Antiqua" w:cs="Times New Roman"/>
          <w:b/>
          <w:bCs/>
          <w:color w:val="000000" w:themeColor="text1"/>
          <w:sz w:val="24"/>
          <w:szCs w:val="24"/>
        </w:rPr>
        <w:t xml:space="preserve">. </w:t>
      </w:r>
      <w:r>
        <w:rPr>
          <w:rFonts w:ascii="Book Antiqua" w:hAnsi="Book Antiqua" w:cs="Times New Roman"/>
          <w:color w:val="000000" w:themeColor="text1"/>
          <w:sz w:val="24"/>
          <w:szCs w:val="24"/>
        </w:rPr>
        <w:t xml:space="preserve">40: 135–153. DOI: 10.3767/persoonia.2018.40.06 </w:t>
      </w:r>
    </w:p>
    <w:p w14:paraId="7471CEF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Gubler, W.D., Eskalen, A. (2008): Grapevine nursery practices and effects on  Petri disease and young esca. Proceedings of the 2nd Annual National Viticulture Research Conference. 34</w:t>
      </w:r>
    </w:p>
    <w:p w14:paraId="4D1E6214"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Gubler, W. D., Petit, E. L. (2013): Black foot disease. Grape pest management  - University of California. 3343: 90–92. </w:t>
      </w:r>
    </w:p>
    <w:p w14:paraId="21A56C8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Guerin-Dubrana, L., Labenne, A., Labrousse, J. C., Bastien, S., Rey, P., Gegout-Petit, A. (2013): Statistical analysis of grapevine mortality associated with esca or Eutypa dieback foliar expression. Phytopathologia Mediterranea. 52 (2): 276–288. DOI:10.14601/Phytopathol_Mediterr-11602</w:t>
      </w:r>
    </w:p>
    <w:p w14:paraId="6240AFD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Guzman-Guzman, P., Kumar, A., Santos-Villalobos, S., Parra-Cota, F. I., Orozco-Mosqueda, M. C., Fadiji, A. E., Hyder, S., Babalola, O. O., Santoyo, G. (2022): </w:t>
      </w:r>
      <w:r>
        <w:rPr>
          <w:rFonts w:ascii="Book Antiqua" w:hAnsi="Book Antiqua" w:cs="Times New Roman"/>
          <w:i/>
          <w:iCs/>
          <w:color w:val="000000" w:themeColor="text1"/>
          <w:sz w:val="24"/>
          <w:szCs w:val="24"/>
          <w:lang w:val="sr-Latn-RS"/>
        </w:rPr>
        <w:t>Trichoderma</w:t>
      </w:r>
      <w:r>
        <w:rPr>
          <w:rFonts w:ascii="Book Antiqua" w:hAnsi="Book Antiqua" w:cs="Times New Roman"/>
          <w:color w:val="000000" w:themeColor="text1"/>
          <w:sz w:val="24"/>
          <w:szCs w:val="24"/>
          <w:lang w:val="sr-Latn-RS"/>
        </w:rPr>
        <w:t xml:space="preserve"> species: Our best fungal allies in the biocontrol of plant diseases – a review. Plants. 12 (3): 432. DOI: 10.3390/plants12030432</w:t>
      </w:r>
    </w:p>
    <w:p w14:paraId="66A775B1"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415B0149"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5B4D1C45" w14:textId="77777777" w:rsidR="003801E8" w:rsidRDefault="00E44AAE" w:rsidP="006913EB">
      <w:pPr>
        <w:autoSpaceDE w:val="0"/>
        <w:autoSpaceDN w:val="0"/>
        <w:adjustRightInd w:val="0"/>
        <w:spacing w:after="0" w:line="360" w:lineRule="auto"/>
        <w:jc w:val="both"/>
        <w:rPr>
          <w:rFonts w:ascii="Book Antiqua" w:hAnsi="Book Antiqua" w:cs="Times New Roman"/>
          <w:sz w:val="24"/>
          <w:szCs w:val="24"/>
          <w:lang w:val="en-US"/>
        </w:rPr>
      </w:pPr>
      <w:r>
        <w:rPr>
          <w:rFonts w:ascii="Book Antiqua" w:hAnsi="Book Antiqua" w:cs="Times New Roman"/>
          <w:sz w:val="24"/>
          <w:szCs w:val="24"/>
          <w:lang w:val="en-US"/>
        </w:rPr>
        <w:lastRenderedPageBreak/>
        <w:t xml:space="preserve">Glass, N. L., Donaldson, G. C. (1995): Development of primer sets designed for use with the PCR to amplify conserved genes from filamentous ascomycetes. </w:t>
      </w:r>
      <w:r>
        <w:rPr>
          <w:rFonts w:ascii="Book Antiqua" w:hAnsi="Book Antiqua" w:cs="Times New Roman"/>
          <w:iCs/>
          <w:sz w:val="24"/>
          <w:szCs w:val="24"/>
          <w:lang w:val="en-US"/>
        </w:rPr>
        <w:t>Applied and Environmental Microbiology.</w:t>
      </w:r>
      <w:r>
        <w:rPr>
          <w:rFonts w:ascii="Book Antiqua" w:hAnsi="Book Antiqua" w:cs="Times New Roman"/>
          <w:sz w:val="24"/>
          <w:szCs w:val="24"/>
          <w:lang w:val="en-US"/>
        </w:rPr>
        <w:t xml:space="preserve"> 61: 1323–1330. DOI:</w:t>
      </w:r>
      <w:hyperlink r:id="rId73" w:tgtFrame="_blank" w:history="1">
        <w:r>
          <w:rPr>
            <w:rStyle w:val="Hyperlink"/>
            <w:rFonts w:ascii="Book Antiqua" w:hAnsi="Book Antiqua" w:cs="Times New Roman"/>
            <w:color w:val="162E51"/>
            <w:sz w:val="24"/>
            <w:szCs w:val="24"/>
            <w:shd w:val="clear" w:color="auto" w:fill="FFFFFF"/>
          </w:rPr>
          <w:t>10.1128/aem.61.4.1323-1330.1995</w:t>
        </w:r>
      </w:hyperlink>
    </w:p>
    <w:p w14:paraId="3842593C" w14:textId="77777777" w:rsidR="006913EB" w:rsidRPr="006913EB" w:rsidRDefault="006913EB" w:rsidP="006913EB">
      <w:pPr>
        <w:autoSpaceDE w:val="0"/>
        <w:autoSpaceDN w:val="0"/>
        <w:adjustRightInd w:val="0"/>
        <w:spacing w:after="0" w:line="360" w:lineRule="auto"/>
        <w:jc w:val="both"/>
        <w:rPr>
          <w:rFonts w:ascii="Book Antiqua" w:hAnsi="Book Antiqua" w:cs="Times New Roman"/>
          <w:sz w:val="24"/>
          <w:szCs w:val="24"/>
          <w:lang w:val="en-US"/>
        </w:rPr>
      </w:pPr>
    </w:p>
    <w:p w14:paraId="6466284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Habib, W., Pichierri, A., Masiello, N., Pollastro, S., Faretra, F. (2009): Application of hot water treatment to control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in grapevine plant propagation materials. Phytopathologia Mediterranea. 48 (1): 186.</w:t>
      </w:r>
    </w:p>
    <w:p w14:paraId="3E24826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Halleen, F., Crous, P. W., Petrini, O. (2003): Fungi associated with healthy grapevine cuttings in nurseries, with special reference to pathogens involved in the decline of young vines. Australasian Plant Pathology. 32 (1): 47-52. DOI: 10.1071/AP02062</w:t>
      </w:r>
    </w:p>
    <w:p w14:paraId="19AAF23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Hamblin, J. (2015): Factors affecting grapevine susceptibility to Eutypa dieback. Honours Thesis, University of Adelaide, Australia.</w:t>
      </w:r>
    </w:p>
    <w:p w14:paraId="4E1A470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Hamaoka, K., Aoki, Y., Suzuki, S. (2021): Isolation and characterization of endophyte </w:t>
      </w:r>
      <w:r>
        <w:rPr>
          <w:rFonts w:ascii="Book Antiqua" w:hAnsi="Book Antiqua" w:cs="Times New Roman"/>
          <w:i/>
          <w:iCs/>
          <w:color w:val="000000" w:themeColor="text1"/>
          <w:sz w:val="24"/>
          <w:szCs w:val="24"/>
          <w:lang w:val="sr-Latn-RS"/>
        </w:rPr>
        <w:t>Bacillus velezensis</w:t>
      </w:r>
      <w:r>
        <w:rPr>
          <w:rFonts w:ascii="Book Antiqua" w:hAnsi="Book Antiqua" w:cs="Times New Roman"/>
          <w:color w:val="000000" w:themeColor="text1"/>
          <w:sz w:val="24"/>
          <w:szCs w:val="24"/>
          <w:lang w:val="sr-Latn-RS"/>
        </w:rPr>
        <w:t xml:space="preserve"> KOF112 from grapevine shoot xylem as biological control agent for fungal diseases. Plants. 10 (9): 1815. DOI: 10.3390/plants10091815</w:t>
      </w:r>
    </w:p>
    <w:p w14:paraId="6123895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Haustein, M., Becker, A., Kortekamp, A. (2016): Einfluss der rebengattung auf die intraorganismische ausbreitung stammassoziierter GTD pathogene und bedeutung für die langlebigkeit. Julius-Kühn-Archiv. 454: 124-125.</w:t>
      </w:r>
    </w:p>
    <w:p w14:paraId="2B59D35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Harman, G. E. (2000): Myths and Dogmas of Biocontrol Changes in Perceptions Derived from Research on </w:t>
      </w:r>
      <w:r>
        <w:rPr>
          <w:rFonts w:ascii="Book Antiqua" w:hAnsi="Book Antiqua" w:cs="Times New Roman"/>
          <w:i/>
          <w:iCs/>
          <w:color w:val="000000" w:themeColor="text1"/>
          <w:sz w:val="24"/>
          <w:szCs w:val="24"/>
          <w:lang w:val="sr-Latn-RS"/>
        </w:rPr>
        <w:t>Trichoderma harzinum</w:t>
      </w:r>
      <w:r>
        <w:rPr>
          <w:rFonts w:ascii="Book Antiqua" w:hAnsi="Book Antiqua" w:cs="Times New Roman"/>
          <w:color w:val="000000" w:themeColor="text1"/>
          <w:sz w:val="24"/>
          <w:szCs w:val="24"/>
          <w:lang w:val="sr-Latn-RS"/>
        </w:rPr>
        <w:t xml:space="preserve"> T-22. Plant Disease. 84 (4): 377-393. DOI: 10.1094/PDIS.2000.84.4.377.</w:t>
      </w:r>
    </w:p>
    <w:p w14:paraId="300D4B3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Hassan, O., Chang, T. (2017): Chitosan for eco-friendly control of plant disease. Asian Journal of Plant Pathology. 11 (2): 53–70. DOI: 10.3923/ajppaj.2017.53.70</w:t>
      </w:r>
    </w:p>
    <w:p w14:paraId="090AF63E"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lang w:val="sr-Latn-RS"/>
        </w:rPr>
        <w:lastRenderedPageBreak/>
        <w:t xml:space="preserve">Hernandez, M., Achala, N. K. (2023): </w:t>
      </w:r>
      <w:r>
        <w:rPr>
          <w:rFonts w:ascii="Book Antiqua" w:hAnsi="Book Antiqua" w:cs="Times New Roman"/>
          <w:color w:val="000000" w:themeColor="text1"/>
          <w:sz w:val="24"/>
          <w:szCs w:val="24"/>
        </w:rPr>
        <w:t>A Systematic Survey on Prevalence of Grapevine Trunk Disease Pathogens in Oregon Vineyards. Plant Disease. 107 (5): 1355 - 1364. DOI: </w:t>
      </w:r>
      <w:hyperlink r:id="rId74" w:tgtFrame="_blank" w:history="1">
        <w:r>
          <w:rPr>
            <w:rStyle w:val="Hyperlink"/>
            <w:rFonts w:ascii="Book Antiqua" w:hAnsi="Book Antiqua" w:cs="Times New Roman"/>
            <w:color w:val="auto"/>
            <w:sz w:val="24"/>
            <w:szCs w:val="24"/>
            <w:u w:val="none"/>
          </w:rPr>
          <w:t>10.1094/PDIS-05-22-1220-RE</w:t>
        </w:r>
      </w:hyperlink>
    </w:p>
    <w:p w14:paraId="04954EA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Henriques, J., Nobrega, F., Sousa, E., Lima, A. (2015): Morphological and genetic diversity of Biscogniauxia mediterranea associated to Querqus suber in the Mediterranean basin. Revista de Ciencias Agrarias. 38 (2): 166-175. </w:t>
      </w:r>
    </w:p>
    <w:p w14:paraId="6EF794B0" w14:textId="77777777" w:rsidR="003801E8" w:rsidRDefault="00E44AAE">
      <w:pPr>
        <w:autoSpaceDE w:val="0"/>
        <w:autoSpaceDN w:val="0"/>
        <w:adjustRightInd w:val="0"/>
        <w:spacing w:after="0" w:line="360" w:lineRule="auto"/>
        <w:jc w:val="both"/>
        <w:rPr>
          <w:rFonts w:ascii="Book Antiqua" w:hAnsi="Book Antiqua" w:cs="Times New Roman"/>
          <w:sz w:val="24"/>
          <w:szCs w:val="24"/>
          <w:lang w:val="en-US"/>
        </w:rPr>
      </w:pPr>
      <w:r>
        <w:rPr>
          <w:rFonts w:ascii="Book Antiqua" w:hAnsi="Book Antiqua" w:cs="Times New Roman"/>
          <w:sz w:val="24"/>
          <w:szCs w:val="24"/>
          <w:lang w:val="en-US"/>
        </w:rPr>
        <w:t>Hewitt, W. B. (1957): Some manifestations of black measles of grapevines. Phytopathology.  47:16.</w:t>
      </w:r>
    </w:p>
    <w:p w14:paraId="2B102856" w14:textId="77777777" w:rsidR="003801E8" w:rsidRDefault="003801E8">
      <w:pPr>
        <w:autoSpaceDE w:val="0"/>
        <w:autoSpaceDN w:val="0"/>
        <w:adjustRightInd w:val="0"/>
        <w:spacing w:after="0" w:line="240" w:lineRule="auto"/>
        <w:jc w:val="both"/>
        <w:rPr>
          <w:rFonts w:ascii="Book Antiqua" w:hAnsi="Book Antiqua" w:cs="Times New Roman"/>
          <w:sz w:val="24"/>
          <w:szCs w:val="24"/>
          <w:lang w:val="en-US"/>
        </w:rPr>
      </w:pPr>
    </w:p>
    <w:p w14:paraId="25E8439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Hofstetter, V., Buyck, B., Croll, D., Viret, O., Couloux, A., Gindro, K. (2012): What if esca disease of grapevine were not a fungal disease? Fungal Diversity. 54 (1): 51–67. DOI:10. 1007/s13225-012-0171z</w:t>
      </w:r>
    </w:p>
    <w:p w14:paraId="5A758AE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Monod, V., Wilhelm, M., Viret, O., Gindro, K., Croll, D., Zufferey, V., Hofstetter, V., (2025): Identifying the pedoclimatic conditions most critical in the susceptibility of a grapevine cultivar to esca disease. OENO One. 59 (1). DOI:10.20870/oeno-one.2025.59.1.7659</w:t>
      </w:r>
    </w:p>
    <w:p w14:paraId="6A5E058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Hrycan, J., Theilmann, J., Mahovlic, A., Boule, J., Úrbez- Torres, J. R. (2022): Implementation of droplet digital PCR to determine grapevine health status and abundance of trunk disease fungi in ready-to-plant nursery material importation in Canada. Phytopathologia Mediterranea. 61 (2): 322. DOI: 10.36253/ phyto-13818</w:t>
      </w:r>
    </w:p>
    <w:p w14:paraId="3407B8F5" w14:textId="77777777" w:rsidR="003801E8" w:rsidRDefault="00E44AAE">
      <w:pPr>
        <w:tabs>
          <w:tab w:val="left" w:pos="3315"/>
        </w:tabs>
        <w:spacing w:line="360" w:lineRule="auto"/>
        <w:jc w:val="both"/>
        <w:rPr>
          <w:rStyle w:val="Hyperlink"/>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Hillis, V., Lubell, M., Kaplan, J., Baumgartner, K. (2017): Preventative disease management and grower decision making: a case study of California winegrape growers. Phytopathology.  107 (6):  704-710.  </w:t>
      </w:r>
      <w:hyperlink r:id="rId75" w:history="1">
        <w:r>
          <w:rPr>
            <w:rStyle w:val="Hyperlink"/>
            <w:rFonts w:ascii="Book Antiqua" w:hAnsi="Book Antiqua" w:cs="Times New Roman"/>
            <w:color w:val="000000" w:themeColor="text1"/>
            <w:sz w:val="24"/>
            <w:szCs w:val="24"/>
            <w:u w:val="none"/>
            <w:lang w:val="sr-Latn-RS"/>
          </w:rPr>
          <w:t>DOI:10.1094/PHYTO-07-16-0274-R</w:t>
        </w:r>
      </w:hyperlink>
    </w:p>
    <w:p w14:paraId="274F547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Intrieri, C., Filippetti, I., Allegro, G., Valentini, G., Pastore, C., Colucci, E. (2011): The semi minimal pruned hedge: A novel mechanized grapevine training system. American Journal of Enology and Viticulture. 63 (3): 312-318. DOI: 10.5344/ajev.2011.10083</w:t>
      </w:r>
    </w:p>
    <w:p w14:paraId="29681B5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Ivić, D. (2009): Petri disease and esca of grapevine. Glasilo biljne zaštite. 9 (5): 314-319</w:t>
      </w:r>
    </w:p>
    <w:p w14:paraId="19ECD43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Ivić, D., Sever, Z., Pilipović, P., Čajkulić, A. M., Cvjetković, B. (2017): </w:t>
      </w:r>
      <w:r>
        <w:rPr>
          <w:rFonts w:ascii="Book Antiqua" w:hAnsi="Book Antiqua" w:cs="Times New Roman"/>
          <w:i/>
          <w:iCs/>
          <w:color w:val="000000" w:themeColor="text1"/>
          <w:sz w:val="24"/>
          <w:szCs w:val="24"/>
          <w:lang w:val="sr-Latn-RS"/>
        </w:rPr>
        <w:t>Phaeocremonium</w:t>
      </w:r>
      <w:r>
        <w:rPr>
          <w:rFonts w:ascii="Book Antiqua" w:hAnsi="Book Antiqua" w:cs="Times New Roman"/>
          <w:color w:val="000000" w:themeColor="text1"/>
          <w:sz w:val="24"/>
          <w:szCs w:val="24"/>
          <w:lang w:val="sr-Latn-RS"/>
        </w:rPr>
        <w:t xml:space="preserve"> vrste u vinovoj lozi sa simptomima eske i petrijeve bolesti. Agronomski glasnik. 70 (1-2): 15-24. DOI: 10.33128/ag.79.1-2.2</w:t>
      </w:r>
    </w:p>
    <w:p w14:paraId="2D95D0A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Jančić, R. (2022): Morfološka i molekularna karakterizacija potencijalnih klonova sorte vinove loze vranac. Doktorska disertacija. Univerzitet u Beogradu, Poljoprivredni fakultet. 119</w:t>
      </w:r>
    </w:p>
    <w:p w14:paraId="6772FAA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Jaspers, M. V. (2001): Effect of fungicides, </w:t>
      </w:r>
      <w:r>
        <w:rPr>
          <w:rFonts w:ascii="Book Antiqua" w:hAnsi="Book Antiqua" w:cs="Times New Roman"/>
          <w:i/>
          <w:color w:val="000000" w:themeColor="text1"/>
          <w:sz w:val="24"/>
          <w:szCs w:val="24"/>
          <w:lang w:val="sr-Latn-RS"/>
        </w:rPr>
        <w:t>in vitro</w:t>
      </w:r>
      <w:r>
        <w:rPr>
          <w:rFonts w:ascii="Book Antiqua" w:hAnsi="Book Antiqua" w:cs="Times New Roman"/>
          <w:color w:val="000000" w:themeColor="text1"/>
          <w:sz w:val="24"/>
          <w:szCs w:val="24"/>
          <w:lang w:val="sr-Latn-RS"/>
        </w:rPr>
        <w:t xml:space="preserve">, on germination and growth of </w:t>
      </w:r>
      <w:r>
        <w:rPr>
          <w:rFonts w:ascii="Book Antiqua" w:hAnsi="Book Antiqua" w:cs="Times New Roman"/>
          <w:i/>
          <w:iCs/>
          <w:color w:val="000000" w:themeColor="text1"/>
          <w:sz w:val="24"/>
          <w:szCs w:val="24"/>
          <w:lang w:val="sr-Latn-RS"/>
        </w:rPr>
        <w:t xml:space="preserve">Phaeomoniella chlamydospora. </w:t>
      </w:r>
      <w:r>
        <w:rPr>
          <w:rFonts w:ascii="Book Antiqua" w:hAnsi="Book Antiqua" w:cs="Times New Roman"/>
          <w:color w:val="000000" w:themeColor="text1"/>
          <w:sz w:val="24"/>
          <w:szCs w:val="24"/>
          <w:lang w:val="sr-Latn-RS"/>
        </w:rPr>
        <w:t>Phytopathologia Mediterranea. 40 (4): 453-458. DOI. 10.14601/Phytopathol_Mediterr-1620</w:t>
      </w:r>
    </w:p>
    <w:p w14:paraId="41078E6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Jamaux-Despréaux, I., Péros, J. P. (2003): Genetic structure in populations of the fungus </w:t>
      </w:r>
      <w:r>
        <w:rPr>
          <w:rFonts w:ascii="Book Antiqua" w:hAnsi="Book Antiqua" w:cs="Times New Roman"/>
          <w:i/>
          <w:color w:val="000000" w:themeColor="text1"/>
          <w:sz w:val="24"/>
          <w:szCs w:val="24"/>
          <w:lang w:val="sr-Latn-RS"/>
        </w:rPr>
        <w:t>Fomitiporia punctata</w:t>
      </w:r>
      <w:r>
        <w:rPr>
          <w:rFonts w:ascii="Book Antiqua" w:hAnsi="Book Antiqua" w:cs="Times New Roman"/>
          <w:color w:val="000000" w:themeColor="text1"/>
          <w:sz w:val="24"/>
          <w:szCs w:val="24"/>
          <w:lang w:val="sr-Latn-RS"/>
        </w:rPr>
        <w:t xml:space="preserve"> associated with esca syndrome in grapevine. Vitis. 42 (1): 43–51.</w:t>
      </w:r>
    </w:p>
    <w:p w14:paraId="59EF9B5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Jourdes, M. (2016): Impact de lesca sur la qualite du raisin et du vin. VITI, de la vigne au vin. www.mon-viti.com/node/21452/activer</w:t>
      </w:r>
    </w:p>
    <w:p w14:paraId="5826B40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Kalvelage, E. M., Voegele, R. T., Fischer, M. (2021): Dissemination of esca-related pathogens in German vineyards: do arthropods play roles in vectoring spores? Phytopathologia Mediterranea. 60 (3): 467–478. DOI: 10.36253/phyto-12948</w:t>
      </w:r>
    </w:p>
    <w:p w14:paraId="5FD5CB4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Kaliterna, J., Blažević, M. (2021): Bolesti drveta vinove loze. Glasilo biljne zaštite. 21 (3): 350-354.</w:t>
      </w:r>
    </w:p>
    <w:p w14:paraId="27E384D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Kenfaoui, J., Radouane, N., Mennani, M., Tahiri, A., El Ghadraoui, L., Belabess, Z., Fontaine, F., El Hamss, H., Amiri, S., Lahlali, R., Barka E.A. (2022): A panoramic view on grapevine trunk diseases threats: case of eutypa dieback, Botryosphaeria dieback, and Esca disease. Journal of Fungi. 8 (6): 595. DOI: 10.3390/jof8060595</w:t>
      </w:r>
    </w:p>
    <w:p w14:paraId="5E6BC1C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Kanetis, L. I., Taliadoros, D., Makris, G., Christoforou, M. (2022): A Novel Seimatosporium and Other Sporocadaceae Species Associated with Grapevine Trunk Diseases in Cyprus. Plants. 11(20): 2733. DOI: 10.3390/plants11202733</w:t>
      </w:r>
    </w:p>
    <w:p w14:paraId="66F51C4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Kortekamp, J. (2011): Investigation of contamination pathways of Esca-associated fungal pathogens and of fungicide-based control strategies. Integrated protection and production in viticulture IOBC/WPRS. 67, 163-169</w:t>
      </w:r>
    </w:p>
    <w:p w14:paraId="644A796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Korać, N., Cindrić, P., Medić, M., Ivanišević, D. (2016): Voćarstvo i vinogradarstvo (deo vinogradarstvo). Univerzitet u Novom sadu, Poljoprivredni fakultet. 115</w:t>
      </w:r>
    </w:p>
    <w:p w14:paraId="181F50D0"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Koundouras, S., Tsialtas, I.T., Zioziou, E., Nikolaou, N. (2008): Rootstock effects on the adaptive strategies of grapevine (</w:t>
      </w:r>
      <w:r>
        <w:rPr>
          <w:rFonts w:ascii="Book Antiqua" w:hAnsi="Book Antiqua" w:cs="Times New Roman"/>
          <w:i/>
          <w:iCs/>
          <w:color w:val="000000" w:themeColor="text1"/>
          <w:sz w:val="24"/>
          <w:szCs w:val="24"/>
        </w:rPr>
        <w:t xml:space="preserve">Vitis vinifera </w:t>
      </w:r>
      <w:r>
        <w:rPr>
          <w:rFonts w:ascii="Book Antiqua" w:hAnsi="Book Antiqua" w:cs="Times New Roman"/>
          <w:color w:val="000000" w:themeColor="text1"/>
          <w:sz w:val="24"/>
          <w:szCs w:val="24"/>
        </w:rPr>
        <w:t xml:space="preserve">L. cv. Cabernet Sauvignon) under contrasting water status: leaf physiological and structural responses. </w:t>
      </w:r>
      <w:r>
        <w:rPr>
          <w:rFonts w:ascii="Book Antiqua" w:hAnsi="Book Antiqua" w:cs="Times New Roman"/>
          <w:iCs/>
          <w:color w:val="000000" w:themeColor="text1"/>
          <w:sz w:val="24"/>
          <w:szCs w:val="24"/>
        </w:rPr>
        <w:t>Agriculture, Ecosystems &amp; Environment</w:t>
      </w:r>
      <w:r>
        <w:rPr>
          <w:rFonts w:ascii="Book Antiqua" w:hAnsi="Book Antiqua" w:cs="Times New Roman"/>
          <w:i/>
          <w:iCs/>
          <w:color w:val="000000" w:themeColor="text1"/>
          <w:sz w:val="24"/>
          <w:szCs w:val="24"/>
        </w:rPr>
        <w:t xml:space="preserve">. </w:t>
      </w:r>
      <w:r>
        <w:rPr>
          <w:rFonts w:ascii="Book Antiqua" w:hAnsi="Book Antiqua" w:cs="Times New Roman"/>
          <w:color w:val="000000" w:themeColor="text1"/>
          <w:sz w:val="24"/>
          <w:szCs w:val="24"/>
        </w:rPr>
        <w:t>128 (1-2): 86–96. DOI:10.1016/j.agee.2008. 05.006</w:t>
      </w:r>
    </w:p>
    <w:p w14:paraId="046BF57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Kovács, C., Balling, P., Bihari, Z., Nagy, A., Sandor, E. (2017): Incidence of grapevine trunk diseases is influenced by soil, topology and vineyard age, but not by Diplodia 3 seriata infection rate in the Tokaj Wine Region, Hungary. Phytoparasitica. 45 (1) :21–32. DOI:10.1007/s12600-017-0570-5</w:t>
      </w:r>
    </w:p>
    <w:p w14:paraId="3CB5592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Kovács, C., Csótó, A., Pál, K., Nagy, A., Fekete, E., Karaffa, L., Kubicek, C.P., Sandor, E. (2021): The biocontrol potential of endophytic </w:t>
      </w:r>
      <w:r>
        <w:rPr>
          <w:rFonts w:ascii="Book Antiqua" w:hAnsi="Book Antiqua" w:cs="Times New Roman"/>
          <w:i/>
          <w:iCs/>
          <w:color w:val="000000" w:themeColor="text1"/>
          <w:sz w:val="24"/>
          <w:szCs w:val="24"/>
          <w:lang w:val="sr-Latn-RS"/>
        </w:rPr>
        <w:t>Trichoderma</w:t>
      </w:r>
      <w:r>
        <w:rPr>
          <w:rFonts w:ascii="Book Antiqua" w:hAnsi="Book Antiqua" w:cs="Times New Roman"/>
          <w:color w:val="000000" w:themeColor="text1"/>
          <w:sz w:val="24"/>
          <w:szCs w:val="24"/>
          <w:lang w:val="sr-Latn-RS"/>
        </w:rPr>
        <w:t xml:space="preserve"> fungi isolated from Hungarian grapevines. Part I. Isolation, identification and in vitro studies. Pathogens. 10 (12): 1612. DOI: 10.3390/pathogens10121612.</w:t>
      </w:r>
    </w:p>
    <w:p w14:paraId="142B305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Kotze, C., Van Niekerk, J., Mostert, L., Halleen, F., Fourie, P. (2011): Evaluation of biocontrol agents for grapevine pruning wound protection against trunk pathogen infection. Phytopathologia Mediterranea. 50 (1): 247–263. DOI:</w:t>
      </w:r>
      <w:r>
        <w:t xml:space="preserve"> </w:t>
      </w:r>
      <w:hyperlink r:id="rId76" w:tgtFrame="_blank" w:history="1">
        <w:r>
          <w:rPr>
            <w:rStyle w:val="Hyperlink"/>
            <w:rFonts w:ascii="Book Antiqua" w:hAnsi="Book Antiqua" w:cs="Times New Roman"/>
            <w:color w:val="000000" w:themeColor="text1"/>
            <w:sz w:val="24"/>
            <w:szCs w:val="24"/>
            <w:u w:val="none"/>
          </w:rPr>
          <w:t>10.14601/Phytopathol_Mediterr-8960</w:t>
        </w:r>
      </w:hyperlink>
    </w:p>
    <w:p w14:paraId="57E9A83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Kühn, A., Zappata, A., Gold, R. E., Zito, R., Kortekamp, A. (2017): Susceptibility of grape pruning wounds to grapevine trunk diseases and effectiveness of a new BASF wound protectant. Phytopathologia Mediterranea. 56 (3): 536 </w:t>
      </w:r>
    </w:p>
    <w:p w14:paraId="39E7D59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Kraus, C., Rauch, C., Kalvelage, E. M., Behrens, F. H., d’Aguiar, D., Dubois, C., Fischer, M. (2022): Minimal versus intensive: How the pruning intensity affects occurrence of grapevine leaf stripe disease, wood integrity, and the mycobiome in grapevine trunks. Journal of Fungi. 8 (3): 247. DOI: 10.3390/jof8030247</w:t>
      </w:r>
    </w:p>
    <w:p w14:paraId="0DFA133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Kuntzmann, P., Villaume, S., Larignon, P., Bertsch, C. (2010): Esca, BDA and Eutypiosis: Foliar symptoms, trunk lesions and fungi observed in diseased vinestocks in two vineyards in Alsace. Vitis - Journal of Grapevine Research. 49 (2): 71–76. DOI: 10.5073/vitis.2010.49.71-76</w:t>
      </w:r>
    </w:p>
    <w:p w14:paraId="4DC00D8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Khadre, M. A., Yousef, A. E., Kim, J. G. (2001): Microbiological aspects of ozone applications in food: A review. Journal of Food Science. 66 (9): 1242 – 1252. DOI: 10.1111/j.1365-2621.2001.tb15196.x</w:t>
      </w:r>
    </w:p>
    <w:p w14:paraId="5BD2F69D" w14:textId="77777777" w:rsidR="003801E8" w:rsidRDefault="00E44AAE">
      <w:pPr>
        <w:tabs>
          <w:tab w:val="left" w:pos="3315"/>
        </w:tabs>
        <w:spacing w:line="360" w:lineRule="auto"/>
        <w:jc w:val="both"/>
        <w:rPr>
          <w:rFonts w:ascii="Book Antiqua" w:hAnsi="Book Antiqua" w:cs="Times New Roman"/>
          <w:b/>
          <w:bCs/>
          <w:color w:val="000000" w:themeColor="text1"/>
          <w:sz w:val="24"/>
          <w:szCs w:val="24"/>
        </w:rPr>
      </w:pPr>
      <w:r>
        <w:rPr>
          <w:rFonts w:ascii="Book Antiqua" w:hAnsi="Book Antiqua" w:cs="Times New Roman"/>
          <w:color w:val="000000" w:themeColor="text1"/>
          <w:sz w:val="24"/>
          <w:szCs w:val="24"/>
          <w:lang w:val="sr-Latn-RS"/>
        </w:rPr>
        <w:t xml:space="preserve">Langa-Lomba, N., Gonzales-Garcia, V., Venturici-Crespo, M. E., Gasanova-Gascon, J., Bariuso-Vargas, J. J., Martin-Ramos, P. (2023): </w:t>
      </w:r>
      <w:r>
        <w:rPr>
          <w:rFonts w:ascii="Book Antiqua" w:hAnsi="Book Antiqua" w:cs="Times New Roman"/>
          <w:color w:val="000000" w:themeColor="text1"/>
          <w:sz w:val="24"/>
          <w:szCs w:val="24"/>
        </w:rPr>
        <w:t>Comparison of the Efficacy of </w:t>
      </w:r>
      <w:r>
        <w:rPr>
          <w:rFonts w:ascii="Book Antiqua" w:hAnsi="Book Antiqua" w:cs="Times New Roman"/>
          <w:i/>
          <w:iCs/>
          <w:color w:val="000000" w:themeColor="text1"/>
          <w:sz w:val="24"/>
          <w:szCs w:val="24"/>
        </w:rPr>
        <w:t>Trichoderma</w:t>
      </w:r>
      <w:r>
        <w:rPr>
          <w:rFonts w:ascii="Book Antiqua" w:hAnsi="Book Antiqua" w:cs="Times New Roman"/>
          <w:color w:val="000000" w:themeColor="text1"/>
          <w:sz w:val="24"/>
          <w:szCs w:val="24"/>
        </w:rPr>
        <w:t> and </w:t>
      </w:r>
      <w:r>
        <w:rPr>
          <w:rFonts w:ascii="Book Antiqua" w:hAnsi="Book Antiqua" w:cs="Times New Roman"/>
          <w:i/>
          <w:iCs/>
          <w:color w:val="000000" w:themeColor="text1"/>
          <w:sz w:val="24"/>
          <w:szCs w:val="24"/>
        </w:rPr>
        <w:t>Bacillus</w:t>
      </w:r>
      <w:r>
        <w:rPr>
          <w:rFonts w:ascii="Book Antiqua" w:hAnsi="Book Antiqua" w:cs="Times New Roman"/>
          <w:color w:val="000000" w:themeColor="text1"/>
          <w:sz w:val="24"/>
          <w:szCs w:val="24"/>
        </w:rPr>
        <w:t> Strains and Commercial Biocontrol Products against Grapevine </w:t>
      </w:r>
      <w:r>
        <w:rPr>
          <w:rFonts w:ascii="Book Antiqua" w:hAnsi="Book Antiqua" w:cs="Times New Roman"/>
          <w:i/>
          <w:iCs/>
          <w:color w:val="000000" w:themeColor="text1"/>
          <w:sz w:val="24"/>
          <w:szCs w:val="24"/>
        </w:rPr>
        <w:t>Botryosphaeria</w:t>
      </w:r>
      <w:r>
        <w:rPr>
          <w:rFonts w:ascii="Book Antiqua" w:hAnsi="Book Antiqua" w:cs="Times New Roman"/>
          <w:color w:val="000000" w:themeColor="text1"/>
          <w:sz w:val="24"/>
          <w:szCs w:val="24"/>
        </w:rPr>
        <w:t xml:space="preserve"> Dieback Pathogens. Agronomy. </w:t>
      </w:r>
      <w:r>
        <w:rPr>
          <w:rFonts w:ascii="Book Antiqua" w:hAnsi="Book Antiqua" w:cs="Times New Roman"/>
          <w:i/>
          <w:iCs/>
          <w:color w:val="000000" w:themeColor="text1"/>
          <w:sz w:val="24"/>
          <w:szCs w:val="24"/>
        </w:rPr>
        <w:t xml:space="preserve">13 </w:t>
      </w:r>
      <w:r>
        <w:rPr>
          <w:rFonts w:ascii="Book Antiqua" w:hAnsi="Book Antiqua" w:cs="Times New Roman"/>
          <w:color w:val="000000" w:themeColor="text1"/>
          <w:sz w:val="24"/>
          <w:szCs w:val="24"/>
        </w:rPr>
        <w:t>(2): 533. DOI:10.3390/agronomy13020533</w:t>
      </w:r>
    </w:p>
    <w:p w14:paraId="474BBC54"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Laveau, C., Mary, S. (2015): Etude de l’impact du porte-greffe et du type de greffe. Journ´ees maladies du bois. Colmar, 16-17 November 2015.</w:t>
      </w:r>
    </w:p>
    <w:p w14:paraId="3F84AD7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Larignon, P., Dubos, B. (2000): Preliminary studies on the biology of </w:t>
      </w:r>
      <w:r>
        <w:rPr>
          <w:rFonts w:ascii="Book Antiqua" w:hAnsi="Book Antiqua" w:cs="Times New Roman"/>
          <w:i/>
          <w:color w:val="000000" w:themeColor="text1"/>
          <w:sz w:val="24"/>
          <w:szCs w:val="24"/>
          <w:lang w:val="sr-Latn-RS"/>
        </w:rPr>
        <w:t>Phaeoacremonium</w:t>
      </w:r>
      <w:r>
        <w:rPr>
          <w:rFonts w:ascii="Book Antiqua" w:hAnsi="Book Antiqua" w:cs="Times New Roman"/>
          <w:color w:val="000000" w:themeColor="text1"/>
          <w:sz w:val="24"/>
          <w:szCs w:val="24"/>
          <w:lang w:val="sr-Latn-RS"/>
        </w:rPr>
        <w:t>. Phytopathologia Mediterranea. 39 (1): 184-189. DOI:10.14601/Phytopathol_Mediterr-1554</w:t>
      </w:r>
    </w:p>
    <w:p w14:paraId="5FFEBA7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Larignon, P. (2009): Yatil un lien entre climat et expression du Black Dead Arm? Phytoma. 628: 27-29.</w:t>
      </w:r>
    </w:p>
    <w:p w14:paraId="4A444F1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Larignon, P., Fontaine, F., Farine, S., Clement, C., Bertsch, C. (2009): Esca et Black Dead Arm: deux acteurs majeurs des maladies du bois chez la Vigne. Biologies. 322 (9): 765-783. DOI:10.1016/j.crvi.2009.05.005</w:t>
      </w:r>
    </w:p>
    <w:p w14:paraId="399AA90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Larignon P., Yobregat, O. (2016): Cahier pratique : comment lutter contre les maladies du bois de la vigne? Institut Français de la Vigne et du Vin. 7 </w:t>
      </w:r>
    </w:p>
    <w:p w14:paraId="7D53478F"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Larignon, P. (2017):  Effect of sodium arsenite on the life cycles of the pathogenic agents involved in wood grapevine diseases. Phytopathologia Mediterranea. 56, 537.</w:t>
      </w:r>
    </w:p>
    <w:p w14:paraId="7EED26D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Laukart, N., Edwards, J., Pascoe, I. G., Nguyen, N. K. (2001): Curative treatments trialled on young grapevines infected with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Phytopathologia Mediterranea. 40 (4): 459-463. DOI:10.14601/Phytopathol_Mediterr-1615</w:t>
      </w:r>
    </w:p>
    <w:p w14:paraId="6AF8FE7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Latinović, N., Vučinić, Z., Latinović, J. (2005): </w:t>
      </w:r>
      <w:r>
        <w:rPr>
          <w:rFonts w:ascii="Book Antiqua" w:hAnsi="Book Antiqua" w:cs="Times New Roman"/>
          <w:i/>
          <w:iCs/>
          <w:color w:val="000000" w:themeColor="text1"/>
          <w:sz w:val="24"/>
          <w:szCs w:val="24"/>
          <w:lang w:val="sr-Latn-RS"/>
        </w:rPr>
        <w:t>Phaeoacremonium aleophilum</w:t>
      </w:r>
      <w:r>
        <w:rPr>
          <w:rFonts w:ascii="Book Antiqua" w:hAnsi="Book Antiqua" w:cs="Times New Roman"/>
          <w:color w:val="000000" w:themeColor="text1"/>
          <w:sz w:val="24"/>
          <w:szCs w:val="24"/>
          <w:lang w:val="sr-Latn-RS"/>
        </w:rPr>
        <w:t xml:space="preserve"> jedan od uzročnika ESCA oboljenja vinove loze u Crnoj Gori. Sedmo savjetovanje o zaštiti bilja. Soko Banja, 15 - 18. novembar. Zbornik rezimea. 125-126.</w:t>
      </w:r>
    </w:p>
    <w:p w14:paraId="6D472A1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Latinović, N. (2010): Eska oboljenje i nekalemljena vinova loza. X Savjetovanje o zaštiti bilja. Zlatibor, od 29. novembara do 3. decembra. Zbornik rezimea, 24 - 25.</w:t>
      </w:r>
    </w:p>
    <w:p w14:paraId="5E27A9B9" w14:textId="77777777" w:rsidR="003801E8" w:rsidRDefault="00E44AAE">
      <w:pPr>
        <w:tabs>
          <w:tab w:val="left" w:pos="3315"/>
        </w:tabs>
        <w:spacing w:line="360" w:lineRule="auto"/>
        <w:jc w:val="both"/>
      </w:pPr>
      <w:r>
        <w:rPr>
          <w:rFonts w:ascii="Book Antiqua" w:hAnsi="Book Antiqua" w:cs="Times New Roman"/>
          <w:color w:val="000000" w:themeColor="text1"/>
          <w:sz w:val="24"/>
          <w:szCs w:val="24"/>
          <w:lang w:val="sr-Latn-RS"/>
        </w:rPr>
        <w:t xml:space="preserve">Latinovic, N., Latinovic, J. (2017): Influence of rainfall on development of Esca disease. Phytopathologia Mediterranea. 56 (3): 513 - 588. </w:t>
      </w:r>
      <w:hyperlink r:id="rId77" w:history="1">
        <w:r>
          <w:rPr>
            <w:rStyle w:val="Hyperlink"/>
            <w:rFonts w:ascii="Book Antiqua" w:hAnsi="Book Antiqua" w:cs="Times New Roman"/>
            <w:color w:val="000000" w:themeColor="text1"/>
            <w:sz w:val="24"/>
            <w:szCs w:val="24"/>
            <w:u w:val="none"/>
            <w:lang w:val="sr-Latn-RS"/>
          </w:rPr>
          <w:t>DOI:10.14601/Phytopathol_Mediterr-21865</w:t>
        </w:r>
      </w:hyperlink>
    </w:p>
    <w:p w14:paraId="32A6FC8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sz w:val="24"/>
          <w:szCs w:val="24"/>
          <w:lang w:val="en-US" w:eastAsia="sr-Latn-ME"/>
        </w:rPr>
        <w:t xml:space="preserve">Leal, C., Richet, N., Guise, J. F., Gramaje, D., Armengol, J., Fontaine, F., Trotel-Aziz, P. (2021): </w:t>
      </w:r>
      <w:r>
        <w:rPr>
          <w:rFonts w:ascii="Book Antiqua" w:hAnsi="Book Antiqua" w:cs="Times New Roman"/>
          <w:sz w:val="24"/>
          <w:szCs w:val="24"/>
          <w:lang w:eastAsia="sr-Latn-ME"/>
        </w:rPr>
        <w:t xml:space="preserve">Cultivar Contributes to the Beneficial Effects of </w:t>
      </w:r>
      <w:r>
        <w:rPr>
          <w:rFonts w:ascii="Book Antiqua" w:hAnsi="Book Antiqua" w:cs="Times New Roman"/>
          <w:i/>
          <w:iCs/>
          <w:sz w:val="24"/>
          <w:szCs w:val="24"/>
          <w:lang w:eastAsia="sr-Latn-ME"/>
        </w:rPr>
        <w:t>Bacillus subtilis</w:t>
      </w:r>
      <w:r>
        <w:rPr>
          <w:rFonts w:ascii="Book Antiqua" w:hAnsi="Book Antiqua" w:cs="Times New Roman"/>
          <w:sz w:val="24"/>
          <w:szCs w:val="24"/>
          <w:lang w:eastAsia="sr-Latn-ME"/>
        </w:rPr>
        <w:t xml:space="preserve"> PTA-271 and </w:t>
      </w:r>
      <w:r>
        <w:rPr>
          <w:rFonts w:ascii="Book Antiqua" w:hAnsi="Book Antiqua" w:cs="Times New Roman"/>
          <w:i/>
          <w:iCs/>
          <w:sz w:val="24"/>
          <w:szCs w:val="24"/>
          <w:lang w:eastAsia="sr-Latn-ME"/>
        </w:rPr>
        <w:t>Trichoderma atroviride</w:t>
      </w:r>
      <w:r>
        <w:rPr>
          <w:rFonts w:ascii="Book Antiqua" w:hAnsi="Book Antiqua" w:cs="Times New Roman"/>
          <w:sz w:val="24"/>
          <w:szCs w:val="24"/>
          <w:lang w:eastAsia="sr-Latn-ME"/>
        </w:rPr>
        <w:t xml:space="preserve"> SC1 to Protect Grapevine Against </w:t>
      </w:r>
      <w:r>
        <w:rPr>
          <w:rFonts w:ascii="Book Antiqua" w:hAnsi="Book Antiqua" w:cs="Times New Roman"/>
          <w:i/>
          <w:sz w:val="24"/>
          <w:szCs w:val="24"/>
          <w:lang w:eastAsia="sr-Latn-ME"/>
        </w:rPr>
        <w:t>Neofusicoccum parvum</w:t>
      </w:r>
      <w:r>
        <w:rPr>
          <w:rFonts w:ascii="Book Antiqua" w:hAnsi="Book Antiqua" w:cs="Times New Roman"/>
          <w:sz w:val="24"/>
          <w:szCs w:val="24"/>
          <w:lang w:eastAsia="sr-Latn-ME"/>
        </w:rPr>
        <w:t>. Frontiers in Microbiology. 12: 726132. DOI:10.3389/fmicb.2021.726132</w:t>
      </w:r>
    </w:p>
    <w:p w14:paraId="4B332E4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Leal, C., Gramaje, D., Fontaine, F., Richet, N., Trotel</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 xml:space="preserve">Aziz, P., Armengol, J. (2023): Evaluation of </w:t>
      </w:r>
      <w:r>
        <w:rPr>
          <w:rFonts w:ascii="Book Antiqua" w:hAnsi="Book Antiqua" w:cs="Times New Roman"/>
          <w:i/>
          <w:iCs/>
          <w:color w:val="000000" w:themeColor="text1"/>
          <w:sz w:val="24"/>
          <w:szCs w:val="24"/>
          <w:lang w:val="sr-Latn-RS"/>
        </w:rPr>
        <w:t>Bacillus subtilis</w:t>
      </w:r>
      <w:r>
        <w:rPr>
          <w:rFonts w:ascii="Book Antiqua" w:hAnsi="Book Antiqua" w:cs="Times New Roman"/>
          <w:color w:val="000000" w:themeColor="text1"/>
          <w:sz w:val="24"/>
          <w:szCs w:val="24"/>
          <w:lang w:val="sr-Latn-RS"/>
        </w:rPr>
        <w:t xml:space="preserve"> PTA</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 xml:space="preserve">271 and </w:t>
      </w:r>
      <w:r>
        <w:rPr>
          <w:rFonts w:ascii="Book Antiqua" w:hAnsi="Book Antiqua" w:cs="Times New Roman"/>
          <w:i/>
          <w:iCs/>
          <w:color w:val="000000" w:themeColor="text1"/>
          <w:sz w:val="24"/>
          <w:szCs w:val="24"/>
          <w:lang w:val="sr-Latn-RS"/>
        </w:rPr>
        <w:t>Trichoderma atroviride</w:t>
      </w:r>
      <w:r>
        <w:rPr>
          <w:rFonts w:ascii="Book Antiqua" w:hAnsi="Book Antiqua" w:cs="Times New Roman"/>
          <w:color w:val="000000" w:themeColor="text1"/>
          <w:sz w:val="24"/>
          <w:szCs w:val="24"/>
          <w:lang w:val="sr-Latn-RS"/>
        </w:rPr>
        <w:t xml:space="preserve"> SC1 to control Botryosphaeria dieback and black</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 xml:space="preserve">foot pathogens in grapevine propagation material. Pest Management Science. 79 (5): 1674–1683. DOI: 10.1002/ps.7339. </w:t>
      </w:r>
    </w:p>
    <w:p w14:paraId="0582FBB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Leal, C., Gramaje, D. (2024): Management strategies for reducing pesticide use against diseases caused by fungi and oomycetes in grapevine. Grapevine: from Origin to the Vineyard. Advances in Botanical Research. 110 (5): 197-253. DOI: 10.1016/bs.abr.2024.04.002</w:t>
      </w:r>
    </w:p>
    <w:p w14:paraId="0D004001" w14:textId="77777777" w:rsidR="003801E8" w:rsidRDefault="00E44AAE">
      <w:pPr>
        <w:spacing w:line="360" w:lineRule="auto"/>
        <w:jc w:val="both"/>
        <w:rPr>
          <w:rFonts w:ascii="Book Antiqua" w:hAnsi="Book Antiqua" w:cs="Times New Roman"/>
          <w:sz w:val="24"/>
          <w:szCs w:val="24"/>
          <w:lang w:val="en-US"/>
        </w:rPr>
      </w:pPr>
      <w:r>
        <w:rPr>
          <w:rFonts w:ascii="Book Antiqua" w:hAnsi="Book Antiqua" w:cs="Times New Roman"/>
          <w:sz w:val="24"/>
          <w:szCs w:val="24"/>
          <w:lang w:val="en-US"/>
        </w:rPr>
        <w:t xml:space="preserve">Liu, Y. J., Whelen, S., Hall, B. D. (1999): Phylogenetic relationships among ascomycetes: evidence from an RNA polymerase II subunit. </w:t>
      </w:r>
      <w:r>
        <w:rPr>
          <w:rFonts w:ascii="Book Antiqua" w:hAnsi="Book Antiqua" w:cs="Times New Roman"/>
          <w:iCs/>
          <w:sz w:val="24"/>
          <w:szCs w:val="24"/>
          <w:lang w:val="en-US"/>
        </w:rPr>
        <w:t>Molecular Biology and Evolution</w:t>
      </w:r>
      <w:r>
        <w:rPr>
          <w:rFonts w:ascii="Book Antiqua" w:hAnsi="Book Antiqua" w:cs="Times New Roman"/>
          <w:sz w:val="24"/>
          <w:szCs w:val="24"/>
          <w:lang w:val="en-US"/>
        </w:rPr>
        <w:t xml:space="preserve">. 16: 1799–1808. DOI: </w:t>
      </w:r>
      <w:hyperlink r:id="rId78" w:history="1">
        <w:r>
          <w:rPr>
            <w:rStyle w:val="Hyperlink"/>
            <w:rFonts w:ascii="Book Antiqua" w:hAnsi="Book Antiqua" w:cs="Times New Roman"/>
            <w:sz w:val="24"/>
            <w:szCs w:val="24"/>
          </w:rPr>
          <w:t>10.1093/oxfordjournals.molbev.a026092</w:t>
        </w:r>
      </w:hyperlink>
    </w:p>
    <w:p w14:paraId="5DA41EA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Lorrain, B., Ky, I., Pasquier, G., Jourdes, M., Dubrana, L. G., Geny, L. (2012): Effect of Esca disease on the phenolic and sensory attributes of Cabernet Sauvignon grapes, musts and wines. Australian Journal of Grape and Wine Research. 18 (1): 64–72. DOI:10.1111/j.1755-0238.2011.00172.x</w:t>
      </w:r>
    </w:p>
    <w:p w14:paraId="7C38167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Lecomte, P., Louvet, G., Vacher, B., Guilbaud, P. (2006): Survival of fungi associated with gapevine decline in pruned wood after composting. Phytopathologia  Mediterranea. 45 (4): 127 - 130. DOI:10.14601/Phytopathol_Mediterr-1849</w:t>
      </w:r>
    </w:p>
    <w:p w14:paraId="0EC40AB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Lecomte, P., Darrieutort, G., Laveau, C., Blancard, D., Louvet, G., Goutouly, J.P., Rey, P., Guerin-Dubrana, L. (2011): Impact of biotic  and  abiotic  factors  on  the  development  of  Esca  decline disease. IOBC/WPRS Bulletin. 67, 171–180</w:t>
      </w:r>
    </w:p>
    <w:p w14:paraId="11DAC1DB" w14:textId="77777777" w:rsidR="003801E8" w:rsidRDefault="00E44AAE">
      <w:pPr>
        <w:tabs>
          <w:tab w:val="left" w:pos="3315"/>
        </w:tabs>
        <w:spacing w:line="360" w:lineRule="auto"/>
        <w:jc w:val="both"/>
        <w:rPr>
          <w:rStyle w:val="Hyperlink"/>
          <w:rFonts w:ascii="Book Antiqua" w:hAnsi="Book Antiqua" w:cs="Times New Roman"/>
          <w:color w:val="auto"/>
          <w:sz w:val="24"/>
          <w:szCs w:val="24"/>
        </w:rPr>
      </w:pPr>
      <w:r>
        <w:rPr>
          <w:rFonts w:ascii="Book Antiqua" w:hAnsi="Book Antiqua" w:cs="Times New Roman"/>
          <w:sz w:val="24"/>
          <w:szCs w:val="24"/>
        </w:rPr>
        <w:t xml:space="preserve">Lecomte P., Darrieutort G., Liminana J-M., Comont G., Muruamendiaraz A., Legorburu F-J. (2012): New insights into Esca of grapevine: the development of foliar symptoms and their association with xylem discoloration. </w:t>
      </w:r>
      <w:r>
        <w:rPr>
          <w:rFonts w:ascii="Book Antiqua" w:hAnsi="Book Antiqua" w:cs="Times New Roman"/>
          <w:iCs/>
          <w:sz w:val="24"/>
          <w:szCs w:val="24"/>
        </w:rPr>
        <w:t>Plant Disease</w:t>
      </w:r>
      <w:r>
        <w:rPr>
          <w:rFonts w:ascii="Book Antiqua" w:hAnsi="Book Antiqua" w:cs="Times New Roman"/>
          <w:sz w:val="24"/>
          <w:szCs w:val="24"/>
        </w:rPr>
        <w:t xml:space="preserve">. 96(7): 924–934. </w:t>
      </w:r>
      <w:hyperlink r:id="rId79" w:history="1">
        <w:r>
          <w:rPr>
            <w:rStyle w:val="Hyperlink"/>
            <w:rFonts w:ascii="Book Antiqua" w:hAnsi="Book Antiqua" w:cs="Times New Roman"/>
            <w:color w:val="auto"/>
            <w:sz w:val="24"/>
            <w:szCs w:val="24"/>
          </w:rPr>
          <w:t>DOI: 10.1094/PDIS-09-11-0776-RE</w:t>
        </w:r>
      </w:hyperlink>
    </w:p>
    <w:p w14:paraId="104B9FB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Lecomte, P., Diarra, B., Carbonneau, A., Rey, P., Chevrier, C. (2018): Esca of grapevine and training practices in France: Results of a 10-year survey. Phytopathologia Mediterranea. 57 (3): 472–487. DOI: 10.14601/Phytopathol_ Mediterr-22025</w:t>
      </w:r>
    </w:p>
    <w:p w14:paraId="403AE8F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Lecomte, P., Bénétreau, C., Diarra, B., Meziani, Y., Delmas, C., Fermaud, M. (2024): Logistic modeling of summer expression of esca symptoms in tolerant and susceptible cultivars in Bordeaux vineyards. OENO One, 58 (1). DOI:10.20870/oeno-one.2024.58.1.7571</w:t>
      </w:r>
    </w:p>
    <w:p w14:paraId="2F07985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Maraš, V., Kodžulović, V., Mugoša, M., Raičević, J., Gazivoda, A., Perišić, M. (2017): Clonal selection of autochthonous grape variety Vranac in Montenegro. IFMBE Proceedings 62: 787–790. DOI: 10.1007/978-981-10-41662_118.</w:t>
      </w:r>
    </w:p>
    <w:p w14:paraId="516BB77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Maraš, V., Mugoša, M., Vujičić, S., Raičević, J., Gazivoda, A. (2019): Značaj autohtonih i odomaćenih sorti vinove loze za razvoj modernog vinogradarstva u Crnoj Gori. Zbornik o vrancu. 7-32</w:t>
      </w:r>
    </w:p>
    <w:p w14:paraId="2C6B229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Maraš, V., Tello, J., Gazivoda, A., Mugoša, M., Perišić, M., Ibáñez, J. (2020): Population genetic analysis in old Montenegrin vineyards reveals ancient ways currently active to generate diversity in </w:t>
      </w:r>
      <w:r>
        <w:rPr>
          <w:rFonts w:ascii="Book Antiqua" w:hAnsi="Book Antiqua" w:cs="Times New Roman"/>
          <w:i/>
          <w:iCs/>
          <w:color w:val="000000" w:themeColor="text1"/>
          <w:sz w:val="24"/>
          <w:szCs w:val="24"/>
          <w:lang w:val="sr-Latn-RS"/>
        </w:rPr>
        <w:t>Vitis vinifera</w:t>
      </w:r>
      <w:r>
        <w:rPr>
          <w:rFonts w:ascii="Book Antiqua" w:hAnsi="Book Antiqua" w:cs="Times New Roman"/>
          <w:color w:val="000000" w:themeColor="text1"/>
          <w:sz w:val="24"/>
          <w:szCs w:val="24"/>
          <w:lang w:val="sr-Latn-RS"/>
        </w:rPr>
        <w:t>. Scientific Report. 10 (1): 15000. DOI: 10.1038/s41598-020-71918-7.</w:t>
      </w:r>
    </w:p>
    <w:p w14:paraId="251B793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Marchese, A., Orhan, I. E., Daglia, M., Barbieri, R., Di Lorenzo, A., Nabavi, S. M. (2016): Antibacterial and antifungal activities of thymol: A brief review of the literature. Food Chemistry. 210: 402–414. DOI: 10.1016/j.foodchem.2016.04.111</w:t>
      </w:r>
    </w:p>
    <w:p w14:paraId="2A06E657" w14:textId="77777777" w:rsidR="003801E8" w:rsidRDefault="00E44AAE">
      <w:pPr>
        <w:tabs>
          <w:tab w:val="left" w:pos="3315"/>
        </w:tabs>
        <w:spacing w:line="360" w:lineRule="auto"/>
        <w:jc w:val="both"/>
        <w:rPr>
          <w:rStyle w:val="Hyperlink"/>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Marchi, G., Peduto, F., Mugnai, L., Di Marco, S., Calzarano, F., Surico, G. (2006): Some observations on the relationship on manifest and hidden Esca to rainfall. Phytopathologia Mediterranea. 45 (4): 117-126. </w:t>
      </w:r>
      <w:hyperlink r:id="rId80" w:history="1">
        <w:r>
          <w:rPr>
            <w:rStyle w:val="Hyperlink"/>
            <w:rFonts w:ascii="Book Antiqua" w:hAnsi="Book Antiqua" w:cs="Times New Roman"/>
            <w:color w:val="000000" w:themeColor="text1"/>
            <w:sz w:val="24"/>
            <w:szCs w:val="24"/>
            <w:u w:val="none"/>
            <w:lang w:val="sr-Latn-RS"/>
          </w:rPr>
          <w:t>DOI: 10.14601/Phytopathol_Mediterr-1841</w:t>
        </w:r>
      </w:hyperlink>
    </w:p>
    <w:p w14:paraId="65BF4E87" w14:textId="77777777" w:rsidR="003801E8" w:rsidRDefault="00E44AAE">
      <w:pPr>
        <w:tabs>
          <w:tab w:val="left" w:pos="3315"/>
        </w:tabs>
        <w:spacing w:line="360" w:lineRule="auto"/>
        <w:jc w:val="both"/>
        <w:rPr>
          <w:rStyle w:val="Hyperlink"/>
          <w:rFonts w:ascii="Book Antiqua" w:hAnsi="Book Antiqua" w:cs="Times New Roman"/>
          <w:color w:val="000000" w:themeColor="text1"/>
          <w:sz w:val="24"/>
          <w:szCs w:val="24"/>
          <w:u w:val="none"/>
          <w:lang w:val="sr-Latn-RS"/>
        </w:rPr>
      </w:pPr>
      <w:r>
        <w:rPr>
          <w:rStyle w:val="Hyperlink"/>
          <w:rFonts w:ascii="Book Antiqua" w:hAnsi="Book Antiqua" w:cs="Times New Roman"/>
          <w:color w:val="000000" w:themeColor="text1"/>
          <w:sz w:val="24"/>
          <w:szCs w:val="24"/>
          <w:u w:val="none"/>
          <w:lang w:val="sr-Latn-RS"/>
        </w:rPr>
        <w:lastRenderedPageBreak/>
        <w:t>Martin, M. T., Cobos, R. (2007): Identification of fungi associated with grapevine decline in Castilla y León (Spain). Phytopathologia Medditerranea. 46 (1): 18-25.  DOI: 10.14601/Phytopathol_Mediterr-1854</w:t>
      </w:r>
    </w:p>
    <w:p w14:paraId="77347059" w14:textId="77777777" w:rsidR="003801E8" w:rsidRDefault="00E44AAE">
      <w:pPr>
        <w:tabs>
          <w:tab w:val="left" w:pos="3315"/>
        </w:tabs>
        <w:spacing w:line="360" w:lineRule="auto"/>
        <w:jc w:val="both"/>
        <w:rPr>
          <w:rStyle w:val="Hyperlink"/>
          <w:rFonts w:ascii="Book Antiqua" w:hAnsi="Book Antiqua" w:cs="Times New Roman"/>
          <w:color w:val="000000" w:themeColor="text1"/>
          <w:sz w:val="24"/>
          <w:szCs w:val="24"/>
          <w:u w:val="none"/>
          <w:lang w:val="sr-Latn-RS"/>
        </w:rPr>
      </w:pPr>
      <w:r>
        <w:rPr>
          <w:rStyle w:val="Hyperlink"/>
          <w:rFonts w:ascii="Book Antiqua" w:hAnsi="Book Antiqua" w:cs="Times New Roman"/>
          <w:color w:val="000000" w:themeColor="text1"/>
          <w:sz w:val="24"/>
          <w:szCs w:val="24"/>
          <w:u w:val="none"/>
          <w:lang w:val="sr-Latn-RS"/>
        </w:rPr>
        <w:t>Martin, L., Fontaine, F., Castano, F. J., Songy, A., Roda, R., Vallet, J., Ferrer Gallego, R. (2019): Specific profile of Tempranillo grapevines related to Esca-leaf symptoms and climate conditions. Plant Physiology and Biochemistry. 135, 575-587. DOI:10.1016/j.plaphy.2018.10.040.</w:t>
      </w:r>
    </w:p>
    <w:p w14:paraId="31C7085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Martínez</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Diz, M., D</w:t>
      </w:r>
      <w:r>
        <w:rPr>
          <w:rFonts w:ascii="Book Antiqua" w:hAnsi="Book Antiqua" w:cs="Book Antiqua"/>
          <w:color w:val="000000" w:themeColor="text1"/>
          <w:sz w:val="24"/>
          <w:szCs w:val="24"/>
          <w:lang w:val="sr-Latn-RS"/>
        </w:rPr>
        <w:t>í</w:t>
      </w:r>
      <w:r>
        <w:rPr>
          <w:rFonts w:ascii="Book Antiqua" w:hAnsi="Book Antiqua" w:cs="Times New Roman"/>
          <w:color w:val="000000" w:themeColor="text1"/>
          <w:sz w:val="24"/>
          <w:szCs w:val="24"/>
          <w:lang w:val="sr-Latn-RS"/>
        </w:rPr>
        <w:t>az</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Losada, E., Andr</w:t>
      </w:r>
      <w:r>
        <w:rPr>
          <w:rFonts w:ascii="Book Antiqua" w:hAnsi="Book Antiqua" w:cs="Book Antiqua"/>
          <w:color w:val="000000" w:themeColor="text1"/>
          <w:sz w:val="24"/>
          <w:szCs w:val="24"/>
          <w:lang w:val="sr-Latn-RS"/>
        </w:rPr>
        <w:t>é</w:t>
      </w:r>
      <w:r>
        <w:rPr>
          <w:rFonts w:ascii="Book Antiqua" w:hAnsi="Book Antiqua" w:cs="Times New Roman"/>
          <w:color w:val="000000" w:themeColor="text1"/>
          <w:sz w:val="24"/>
          <w:szCs w:val="24"/>
          <w:lang w:val="sr-Latn-RS"/>
        </w:rPr>
        <w:t>s</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Sodupe, M., Bujanda, R., Maldonado</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Gonz</w:t>
      </w:r>
      <w:r>
        <w:rPr>
          <w:rFonts w:ascii="Book Antiqua" w:hAnsi="Book Antiqua" w:cs="Book Antiqua"/>
          <w:color w:val="000000" w:themeColor="text1"/>
          <w:sz w:val="24"/>
          <w:szCs w:val="24"/>
          <w:lang w:val="sr-Latn-RS"/>
        </w:rPr>
        <w:t>á</w:t>
      </w:r>
      <w:r>
        <w:rPr>
          <w:rFonts w:ascii="Book Antiqua" w:hAnsi="Book Antiqua" w:cs="Times New Roman"/>
          <w:color w:val="000000" w:themeColor="text1"/>
          <w:sz w:val="24"/>
          <w:szCs w:val="24"/>
          <w:lang w:val="sr-Latn-RS"/>
        </w:rPr>
        <w:t>lez, M. M., Ojeda, S., Yacoub, A., Rey, P., Gramaje, D. (2021): Field evaluation of biocontrol agents against black</w:t>
      </w:r>
      <w:r>
        <w:rPr>
          <w:rFonts w:ascii="Cambria Math" w:hAnsi="Cambria Math" w:cs="Cambria Math"/>
          <w:color w:val="000000" w:themeColor="text1"/>
          <w:sz w:val="24"/>
          <w:szCs w:val="24"/>
          <w:lang w:val="sr-Latn-RS"/>
        </w:rPr>
        <w:t>‐</w:t>
      </w:r>
      <w:r>
        <w:rPr>
          <w:rFonts w:ascii="Book Antiqua" w:hAnsi="Book Antiqua" w:cs="Times New Roman"/>
          <w:color w:val="000000" w:themeColor="text1"/>
          <w:sz w:val="24"/>
          <w:szCs w:val="24"/>
          <w:lang w:val="sr-Latn-RS"/>
        </w:rPr>
        <w:t>foot and Petri diseases of grapevine. Pest Management Science. 77 (2): 697–708. DOI: 10.1002/ps.6064</w:t>
      </w:r>
    </w:p>
    <w:p w14:paraId="3B97846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Maher N., Piot J., Bastien S., Vallance J., Rey P., Guérin- Dubrana, L. (2012): Wood necrosis in ESCA-affected vines: Types, relationships and possible links with foliar symptom expression. Journal International Des Sciences de La Vigne et Du Vin. 46 (1): 15–27. DOI:</w:t>
      </w:r>
      <w:r>
        <w:t xml:space="preserve"> </w:t>
      </w:r>
      <w:r>
        <w:rPr>
          <w:rFonts w:ascii="Book Antiqua" w:hAnsi="Book Antiqua" w:cs="Times New Roman"/>
          <w:color w:val="000000" w:themeColor="text1"/>
          <w:sz w:val="24"/>
          <w:szCs w:val="24"/>
          <w:lang w:val="sr-Latn-RS"/>
        </w:rPr>
        <w:t>10.20870/oeno-one.2012.46.1.1507</w:t>
      </w:r>
    </w:p>
    <w:p w14:paraId="3EBFA0B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Maachia, B. S., Rafik, E., Chérif, M., Nandal, P., Mohapatra, T., Bernard, P. (2015): Biological control of the grapevine diseases ‘grey mold’ and ‘powdery mildew’by </w:t>
      </w:r>
      <w:r>
        <w:rPr>
          <w:rFonts w:ascii="Book Antiqua" w:hAnsi="Book Antiqua" w:cs="Times New Roman"/>
          <w:i/>
          <w:iCs/>
          <w:color w:val="000000" w:themeColor="text1"/>
          <w:sz w:val="24"/>
          <w:szCs w:val="24"/>
          <w:lang w:val="sr-Latn-RS"/>
        </w:rPr>
        <w:t>Bacillus</w:t>
      </w:r>
      <w:r>
        <w:rPr>
          <w:rFonts w:ascii="Book Antiqua" w:hAnsi="Book Antiqua" w:cs="Times New Roman"/>
          <w:color w:val="000000" w:themeColor="text1"/>
          <w:sz w:val="24"/>
          <w:szCs w:val="24"/>
          <w:lang w:val="sr-Latn-RS"/>
        </w:rPr>
        <w:t xml:space="preserve"> B27 and B29 strains. Indian Journal of Experimental Biology. 53 (2): 109–115.</w:t>
      </w:r>
    </w:p>
    <w:p w14:paraId="58845308"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 xml:space="preserve">Magnin-Robert M., Adrian M., Trouvelot S., Spagnolo A., Jacquens L., Letousey P., Rabenoelina F., Harir M., Roullier-Gall C., Clement C., Schmitt-Kopplin P., Vallat A., Abou-Mansour E., Fontaine F. (2017): </w:t>
      </w:r>
      <w:r>
        <w:rPr>
          <w:rFonts w:ascii="Book Antiqua" w:hAnsi="Book Antiqua" w:cs="Times New Roman"/>
          <w:sz w:val="24"/>
          <w:szCs w:val="24"/>
          <w:lang w:val="en-US"/>
        </w:rPr>
        <w:t xml:space="preserve">Alterations in Grapevine Leaf Metabolism Occur Prior to Esca Apoplexy Appearance. </w:t>
      </w:r>
      <w:r>
        <w:rPr>
          <w:rFonts w:ascii="Book Antiqua" w:hAnsi="Book Antiqua" w:cs="Times New Roman"/>
          <w:sz w:val="24"/>
          <w:szCs w:val="24"/>
        </w:rPr>
        <w:t>Molecular Plant</w:t>
      </w:r>
      <w:r>
        <w:rPr>
          <w:rFonts w:ascii="Book Antiqua" w:hAnsi="Book Antiqua" w:cs="Times New Roman"/>
          <w:sz w:val="24"/>
          <w:szCs w:val="24"/>
        </w:rPr>
        <w:noBreakHyphen/>
        <w:t>Microbe Interactions</w:t>
      </w:r>
      <w:r>
        <w:rPr>
          <w:rFonts w:ascii="Book Antiqua" w:hAnsi="Book Antiqua" w:cs="Times New Roman"/>
          <w:i/>
          <w:iCs/>
          <w:sz w:val="24"/>
          <w:szCs w:val="24"/>
        </w:rPr>
        <w:t xml:space="preserve">. </w:t>
      </w:r>
      <w:r>
        <w:rPr>
          <w:rFonts w:ascii="Book Antiqua" w:hAnsi="Book Antiqua" w:cs="Times New Roman"/>
          <w:sz w:val="24"/>
          <w:szCs w:val="24"/>
        </w:rPr>
        <w:t xml:space="preserve">30(12): 946-959. </w:t>
      </w:r>
      <w:hyperlink r:id="rId81" w:history="1">
        <w:r>
          <w:rPr>
            <w:rStyle w:val="Hyperlink"/>
            <w:rFonts w:ascii="Book Antiqua" w:hAnsi="Book Antiqua" w:cs="Times New Roman"/>
            <w:color w:val="auto"/>
            <w:sz w:val="24"/>
            <w:szCs w:val="24"/>
          </w:rPr>
          <w:t>DOI: 10.1094/MPMI-02-17-0036</w:t>
        </w:r>
      </w:hyperlink>
      <w:r>
        <w:rPr>
          <w:rFonts w:ascii="Book Antiqua" w:hAnsi="Book Antiqua" w:cs="Times New Roman"/>
          <w:sz w:val="24"/>
          <w:szCs w:val="24"/>
        </w:rPr>
        <w:t>-R.</w:t>
      </w:r>
    </w:p>
    <w:p w14:paraId="6772449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Merlen, L., Galimand, L., Tarnus, C., Gerardin, C., Gerardin, P., Gellon, M. (2022): Will forestry waste save grapevines and help control GTDs?. Integrated </w:t>
      </w:r>
      <w:r>
        <w:rPr>
          <w:rFonts w:ascii="Book Antiqua" w:hAnsi="Book Antiqua" w:cs="Times New Roman"/>
          <w:color w:val="000000" w:themeColor="text1"/>
          <w:sz w:val="24"/>
          <w:szCs w:val="24"/>
          <w:lang w:val="sr-Latn-RS"/>
        </w:rPr>
        <w:lastRenderedPageBreak/>
        <w:t xml:space="preserve">Protection in Viticulture. Phytopathologia Mediterranea. 61 (2): 319-369. DOI: 10.36253/phyto-13818   </w:t>
      </w:r>
    </w:p>
    <w:p w14:paraId="25BEBAF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Merlen, L., Tarnus, C., Delaite, C., Gellon, M. (2022): Bismuth subsalicylate: fungistatic and plant defence stimulator for grapevine trunk disease management. Phytopathologia Mediterranea. 61 (2): 319-369. </w:t>
      </w:r>
      <w:r>
        <w:rPr>
          <w:rFonts w:ascii="Book Antiqua" w:hAnsi="Book Antiqua" w:cs="Times New Roman"/>
          <w:color w:val="000000" w:themeColor="text1"/>
          <w:sz w:val="24"/>
          <w:szCs w:val="24"/>
        </w:rPr>
        <w:t>DOI: 10.36253/phyto-13818</w:t>
      </w:r>
    </w:p>
    <w:p w14:paraId="2117423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Mesguida, O., Haidar, R., Yacoub, A., Dreux-Zigha, A., Berthon, J. Y., Guyoneaud, R.. (2023). Microbial biological control of fungi associated with grapevine trunk diseases: A review of strain diversity, modes of action, and advantages and limits ofcurrent strategies. Journal of Fungi. 9 (6): 638. DOI: 10.3390/jof9060638</w:t>
      </w:r>
    </w:p>
    <w:p w14:paraId="1454F3F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Messina, J. (1999): The use of beneficial </w:t>
      </w:r>
      <w:r>
        <w:rPr>
          <w:rFonts w:ascii="Book Antiqua" w:hAnsi="Book Antiqua" w:cs="Times New Roman"/>
          <w:i/>
          <w:iCs/>
          <w:color w:val="000000" w:themeColor="text1"/>
          <w:sz w:val="24"/>
          <w:szCs w:val="24"/>
          <w:lang w:val="sr-Latn-RS"/>
        </w:rPr>
        <w:t>Trichoderma</w:t>
      </w:r>
      <w:r>
        <w:rPr>
          <w:rFonts w:ascii="Book Antiqua" w:hAnsi="Book Antiqua" w:cs="Times New Roman"/>
          <w:color w:val="000000" w:themeColor="text1"/>
          <w:sz w:val="24"/>
          <w:szCs w:val="24"/>
          <w:lang w:val="sr-Latn-RS"/>
        </w:rPr>
        <w:t xml:space="preserve"> in grapevine propagation. Conference of the Australian Region of the International Plant Propagator’s Society. 48: 145–148</w:t>
      </w:r>
    </w:p>
    <w:p w14:paraId="1A1FB0A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Mikicinski, A., Pulawska, J., Kaluzna, M., Trzcinski, P., Wasikowski, A., Sobiczewski, P. (2020): Bacterial etiology of necrotic spots on leaves and shoots of grapevine (</w:t>
      </w:r>
      <w:r>
        <w:rPr>
          <w:rFonts w:ascii="Book Antiqua" w:hAnsi="Book Antiqua" w:cs="Times New Roman"/>
          <w:i/>
          <w:iCs/>
          <w:color w:val="000000" w:themeColor="text1"/>
          <w:sz w:val="24"/>
          <w:szCs w:val="24"/>
          <w:lang w:val="sr-Latn-RS"/>
        </w:rPr>
        <w:t>Vitis vinifera</w:t>
      </w:r>
      <w:r>
        <w:rPr>
          <w:rFonts w:ascii="Book Antiqua" w:hAnsi="Book Antiqua" w:cs="Times New Roman"/>
          <w:color w:val="000000" w:themeColor="text1"/>
          <w:sz w:val="24"/>
          <w:szCs w:val="24"/>
          <w:lang w:val="sr-Latn-RS"/>
        </w:rPr>
        <w:t xml:space="preserve"> L.) in Poland. European Journal of Plant Pathology. 156 (4): 913 – 924. DOI: 10.1007/s10658-020-01943-9</w:t>
      </w:r>
    </w:p>
    <w:p w14:paraId="4CC8EEC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Moretti, S., Pacetti, A., Pierron, R., Kassemeyer, H. H., Fischer, M., Pèros, J. P., Perez – Gonzales, G., Bieler, E., Schilling, M., Di Marco, S., Gelhaye, E., Mugnai, L., Bertsch, C., Farine, S. (2021): </w:t>
      </w:r>
      <w:r>
        <w:rPr>
          <w:rFonts w:ascii="Book Antiqua" w:hAnsi="Book Antiqua" w:cs="Times New Roman"/>
          <w:i/>
          <w:iCs/>
          <w:color w:val="000000" w:themeColor="text1"/>
          <w:sz w:val="24"/>
          <w:szCs w:val="24"/>
          <w:lang w:val="sr-Latn-RS"/>
        </w:rPr>
        <w:t>Fomitiporia mediterranea</w:t>
      </w:r>
      <w:r>
        <w:rPr>
          <w:rFonts w:ascii="Book Antiqua" w:hAnsi="Book Antiqua" w:cs="Times New Roman"/>
          <w:color w:val="000000" w:themeColor="text1"/>
          <w:sz w:val="24"/>
          <w:szCs w:val="24"/>
          <w:lang w:val="sr-Latn-RS"/>
        </w:rPr>
        <w:t xml:space="preserve"> M. Fisch., the historical Esca agent: a comprehensive review on the main grapevine wood rot agent in Europe. Phytopathologia Mediterranea. 60 (2): 351–379. DOI: 10.36253/phyto-13021</w:t>
      </w:r>
    </w:p>
    <w:p w14:paraId="537D28A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Moyo, P., Allsopp, E., Roets, F., Mostert, L., Halleen, F. (2014): Arthropods vector grapevine trunk disease pathogens. Phytopathology. 104 (10): 1063–1069. DOI: 10.1094/ PHYTO-11-13-0303-R</w:t>
      </w:r>
    </w:p>
    <w:p w14:paraId="038D58C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Montanari, E. (2010): Per una storia linguistica di Esca. In: Il mal dell’esca della vite. Firenze, Italy. 26-34.</w:t>
      </w:r>
    </w:p>
    <w:p w14:paraId="6093700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Mondello, V., Larignon, P., Armengol, J., Kortekamp, A., Vaczy, K., Prezman, F., Serrano, E., Rego, C., Mugnai, L., Fontaine, F. (2018): Management of grapevine trunk diseases: knowledge transfer, current strategies and innovative strategies adopted in Europe. Phytopathologia Mediterranea. 57 (3): 369−383. DOI: 10.14601/Phytopathol_Mediterr-23942</w:t>
      </w:r>
    </w:p>
    <w:p w14:paraId="133EB7E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Mondello, V., Spagnolo, A., Larignon, P., Clément, C., Fontaine, F. (2019): Phytoprotection potential of </w:t>
      </w:r>
      <w:r>
        <w:rPr>
          <w:rFonts w:ascii="Book Antiqua" w:hAnsi="Book Antiqua" w:cs="Times New Roman"/>
          <w:i/>
          <w:iCs/>
          <w:color w:val="000000" w:themeColor="text1"/>
          <w:sz w:val="24"/>
          <w:szCs w:val="24"/>
          <w:lang w:val="sr-Latn-RS"/>
        </w:rPr>
        <w:t>Fusarium proliferatum</w:t>
      </w:r>
      <w:r>
        <w:rPr>
          <w:rFonts w:ascii="Book Antiqua" w:hAnsi="Book Antiqua" w:cs="Times New Roman"/>
          <w:color w:val="000000" w:themeColor="text1"/>
          <w:sz w:val="24"/>
          <w:szCs w:val="24"/>
          <w:lang w:val="sr-Latn-RS"/>
        </w:rPr>
        <w:t xml:space="preserve"> for control of Botryosphaeria dieback pathogens in grapevine. Phytopathologia Mediterranea. 58 (2): 293–306. DOI: 10.14601/Phytopathol_Mediter-10617</w:t>
      </w:r>
    </w:p>
    <w:p w14:paraId="68220B8E"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 xml:space="preserve">MONSTAT, 2023. Statistical yearbook  2023. Statistical Office of Montenegro (MONSTAT). Available at:  </w:t>
      </w:r>
      <w:hyperlink r:id="rId82" w:history="1">
        <w:r>
          <w:rPr>
            <w:rStyle w:val="Hyperlink"/>
            <w:rFonts w:ascii="Book Antiqua" w:hAnsi="Book Antiqua" w:cs="Times New Roman"/>
            <w:color w:val="auto"/>
            <w:sz w:val="24"/>
            <w:szCs w:val="24"/>
            <w:u w:val="none"/>
          </w:rPr>
          <w:t>https://monstat.org/eng/publikacije_page.php?id=1891&amp;pageid=1</w:t>
        </w:r>
      </w:hyperlink>
      <w:r>
        <w:rPr>
          <w:rFonts w:ascii="Book Antiqua" w:hAnsi="Book Antiqua" w:cs="Times New Roman"/>
          <w:sz w:val="24"/>
          <w:szCs w:val="24"/>
        </w:rPr>
        <w:t xml:space="preserve">. </w:t>
      </w:r>
    </w:p>
    <w:p w14:paraId="7D22435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Monteiro Ferreira, A. B., Leite, L. G., Hernandez, J. L., Harakava, R., Padovani, C. R., Bueno, C. J. (2018): Colonization of vine by Petri disease fungi, susceptibility of rootstocks to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and their desinfection. Plant Pathology.</w:t>
      </w:r>
      <w:r>
        <w:rPr>
          <w:rFonts w:ascii="Book Antiqua" w:hAnsi="Book Antiqua"/>
          <w:color w:val="000000" w:themeColor="text1"/>
          <w:sz w:val="24"/>
          <w:szCs w:val="24"/>
        </w:rPr>
        <w:t xml:space="preserve"> </w:t>
      </w:r>
      <w:r>
        <w:rPr>
          <w:rFonts w:ascii="Book Antiqua" w:hAnsi="Book Antiqua" w:cs="Times New Roman"/>
          <w:color w:val="000000" w:themeColor="text1"/>
          <w:sz w:val="24"/>
          <w:szCs w:val="24"/>
          <w:lang w:val="sr-Latn-RS"/>
        </w:rPr>
        <w:t>85: 1-10. DOI:10.1590/1808-1657000882017</w:t>
      </w:r>
    </w:p>
    <w:p w14:paraId="267E4B0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Mostert, L., Hallen, F., Fourie, P., Crous, P.W. (2006): A review of </w:t>
      </w:r>
      <w:r>
        <w:rPr>
          <w:rFonts w:ascii="Book Antiqua" w:hAnsi="Book Antiqua" w:cs="Times New Roman"/>
          <w:i/>
          <w:iCs/>
          <w:color w:val="000000" w:themeColor="text1"/>
          <w:sz w:val="24"/>
          <w:szCs w:val="24"/>
          <w:lang w:val="sr-Latn-RS"/>
        </w:rPr>
        <w:t>Phaeoacremonium</w:t>
      </w:r>
      <w:r>
        <w:rPr>
          <w:rFonts w:ascii="Book Antiqua" w:hAnsi="Book Antiqua" w:cs="Times New Roman"/>
          <w:color w:val="000000" w:themeColor="text1"/>
          <w:sz w:val="24"/>
          <w:szCs w:val="24"/>
          <w:lang w:val="sr-Latn-RS"/>
        </w:rPr>
        <w:t xml:space="preserve"> species involved in Petri disease and esca of grapevines. Phytopathologia Mediterranea. 45 (4): S12-S29. DOI:10.14601/Phytopathol_Mediterr-1844</w:t>
      </w:r>
    </w:p>
    <w:p w14:paraId="56103C8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Mugnai, L., Graniti, A., Surico, G. (1999): Esca (Black Measles) and Brown Wood-Streaking: Two Old and Elusive Diseases of  Grapevines. Plant  Disease.  83 (5): 404–418. </w:t>
      </w:r>
      <w:hyperlink r:id="rId83" w:history="1">
        <w:r>
          <w:rPr>
            <w:rStyle w:val="Hyperlink"/>
            <w:rFonts w:ascii="Book Antiqua" w:hAnsi="Book Antiqua" w:cs="Times New Roman"/>
            <w:color w:val="000000" w:themeColor="text1"/>
            <w:sz w:val="24"/>
            <w:szCs w:val="24"/>
            <w:u w:val="none"/>
            <w:lang w:val="sr-Latn-RS"/>
          </w:rPr>
          <w:t>DOI: 10.1094/PDIS.1999.83.5.404</w:t>
        </w:r>
      </w:hyperlink>
    </w:p>
    <w:p w14:paraId="47EE0438"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lang w:val="sr-Latn-RS"/>
        </w:rPr>
        <w:t xml:space="preserve">Muntean, M. D., Dragulinescu, A.M., Tomoiaga, L. L., Comsa, M., Racoare, H. S., Sirbu, A. D., Chedea, V. S. (2022): </w:t>
      </w:r>
      <w:r>
        <w:rPr>
          <w:rFonts w:ascii="Book Antiqua" w:hAnsi="Book Antiqua" w:cs="Times New Roman"/>
          <w:color w:val="000000" w:themeColor="text1"/>
          <w:sz w:val="24"/>
          <w:szCs w:val="24"/>
        </w:rPr>
        <w:t xml:space="preserve">Fungal Grapevine Trunk Diseases in Romanian </w:t>
      </w:r>
      <w:r>
        <w:rPr>
          <w:rFonts w:ascii="Book Antiqua" w:hAnsi="Book Antiqua" w:cs="Times New Roman"/>
          <w:color w:val="000000" w:themeColor="text1"/>
          <w:sz w:val="24"/>
          <w:szCs w:val="24"/>
        </w:rPr>
        <w:lastRenderedPageBreak/>
        <w:t>Vineyards in the Context of the International Situation. Pathogens. 11 (9): 1006. DOI: 10.3390/pathogens11091006</w:t>
      </w:r>
    </w:p>
    <w:p w14:paraId="1124ACA4"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Murolo, S., Romanazzi, G. (2014): Effects of grapevine cultivar, rootstock and clone on esca disease. Australasian of Plant Pathology</w:t>
      </w:r>
      <w:r>
        <w:rPr>
          <w:rFonts w:ascii="Book Antiqua" w:hAnsi="Book Antiqua" w:cs="Times New Roman"/>
          <w:i/>
          <w:iCs/>
          <w:color w:val="000000" w:themeColor="text1"/>
          <w:sz w:val="24"/>
          <w:szCs w:val="24"/>
        </w:rPr>
        <w:t xml:space="preserve">. </w:t>
      </w:r>
      <w:r>
        <w:rPr>
          <w:rFonts w:ascii="Book Antiqua" w:hAnsi="Book Antiqua" w:cs="Times New Roman"/>
          <w:color w:val="000000" w:themeColor="text1"/>
          <w:sz w:val="24"/>
          <w:szCs w:val="24"/>
        </w:rPr>
        <w:t>43 (2): 215–221. DOI:10.1007/s13313- 014-0276-9</w:t>
      </w:r>
    </w:p>
    <w:p w14:paraId="46FFD051"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Mutawila, C., Fourie, P. H., Halleen, F., Mostert, L. (2011): Histo-pathology study of the growth of </w:t>
      </w:r>
      <w:r>
        <w:rPr>
          <w:rFonts w:ascii="Book Antiqua" w:hAnsi="Book Antiqua" w:cs="Times New Roman"/>
          <w:i/>
          <w:iCs/>
          <w:color w:val="000000" w:themeColor="text1"/>
          <w:sz w:val="24"/>
          <w:szCs w:val="24"/>
        </w:rPr>
        <w:t>Trichoderma harzianum</w:t>
      </w:r>
      <w:r>
        <w:rPr>
          <w:rFonts w:ascii="Book Antiqua" w:hAnsi="Book Antiqua" w:cs="Times New Roman"/>
          <w:color w:val="000000" w:themeColor="text1"/>
          <w:sz w:val="24"/>
          <w:szCs w:val="24"/>
        </w:rPr>
        <w:t xml:space="preserve">, </w:t>
      </w:r>
      <w:r>
        <w:rPr>
          <w:rFonts w:ascii="Book Antiqua" w:hAnsi="Book Antiqua" w:cs="Times New Roman"/>
          <w:i/>
          <w:iCs/>
          <w:color w:val="000000" w:themeColor="text1"/>
          <w:sz w:val="24"/>
          <w:szCs w:val="24"/>
        </w:rPr>
        <w:t>Phaeomoniella chlamydospora</w:t>
      </w:r>
      <w:r>
        <w:rPr>
          <w:rFonts w:ascii="Book Antiqua" w:hAnsi="Book Antiqua" w:cs="Times New Roman"/>
          <w:color w:val="000000" w:themeColor="text1"/>
          <w:sz w:val="24"/>
          <w:szCs w:val="24"/>
        </w:rPr>
        <w:t xml:space="preserve"> and </w:t>
      </w:r>
      <w:r>
        <w:rPr>
          <w:rFonts w:ascii="Book Antiqua" w:hAnsi="Book Antiqua" w:cs="Times New Roman"/>
          <w:i/>
          <w:iCs/>
          <w:color w:val="000000" w:themeColor="text1"/>
          <w:sz w:val="24"/>
          <w:szCs w:val="24"/>
        </w:rPr>
        <w:t>Eutypa lata</w:t>
      </w:r>
      <w:r>
        <w:rPr>
          <w:rFonts w:ascii="Book Antiqua" w:hAnsi="Book Antiqua" w:cs="Times New Roman"/>
          <w:color w:val="000000" w:themeColor="text1"/>
          <w:sz w:val="24"/>
          <w:szCs w:val="24"/>
        </w:rPr>
        <w:t xml:space="preserve"> on grapevine pruning wounds. Phytopathologia Mediterranea. 50 (4): 46-60. DOI: 10.14601/Phytopathol_Mediterr-8643</w:t>
      </w:r>
    </w:p>
    <w:p w14:paraId="5EE78ADE"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Mutawila, C., Fourie, P.H., Halleen, F., Mostert, L. (2011): Grapevine cultivar variation to pruning wound protection by </w:t>
      </w:r>
      <w:r>
        <w:rPr>
          <w:rFonts w:ascii="Book Antiqua" w:hAnsi="Book Antiqua" w:cs="Times New Roman"/>
          <w:i/>
          <w:iCs/>
          <w:color w:val="000000" w:themeColor="text1"/>
          <w:sz w:val="24"/>
          <w:szCs w:val="24"/>
        </w:rPr>
        <w:t>Trichoderma</w:t>
      </w:r>
      <w:r>
        <w:rPr>
          <w:rFonts w:ascii="Book Antiqua" w:hAnsi="Book Antiqua" w:cs="Times New Roman"/>
          <w:color w:val="000000" w:themeColor="text1"/>
          <w:sz w:val="24"/>
          <w:szCs w:val="24"/>
        </w:rPr>
        <w:t xml:space="preserve"> species against trunk pathogens. Phytopathologia  Mediterranea. 50 (4): 264-276.  DOI:10.14601/Phytopathol_Mediterr-8981</w:t>
      </w:r>
    </w:p>
    <w:p w14:paraId="73C73F8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Mutawila, C., Halleen, F., Mostert, L. (2015): Development of benzimidazole resistant </w:t>
      </w:r>
      <w:r>
        <w:rPr>
          <w:rFonts w:ascii="Book Antiqua" w:hAnsi="Book Antiqua" w:cs="Times New Roman"/>
          <w:i/>
          <w:iCs/>
          <w:color w:val="000000" w:themeColor="text1"/>
          <w:sz w:val="24"/>
          <w:szCs w:val="24"/>
          <w:lang w:val="sr-Latn-RS"/>
        </w:rPr>
        <w:t>Trichoderma</w:t>
      </w:r>
      <w:r>
        <w:rPr>
          <w:rFonts w:ascii="Book Antiqua" w:hAnsi="Book Antiqua" w:cs="Times New Roman"/>
          <w:color w:val="000000" w:themeColor="text1"/>
          <w:sz w:val="24"/>
          <w:szCs w:val="24"/>
          <w:lang w:val="sr-Latn-RS"/>
        </w:rPr>
        <w:t xml:space="preserve"> strains for the intre-gration of chemical and biocontrol methods of grapevine pruning wound protection. Bio Control. 60 (3):387-399. DOI:10.1007/s10526-014-9647-y</w:t>
      </w:r>
    </w:p>
    <w:p w14:paraId="3DDC6EC4"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Mundy, D. C., Manning, M. A. (2010): Ecology and management of grapevine trunk diseases in New Zeland: a review. New Zealand Plant Protection. 63:160-166. DOI:10.30843/nzpp.2010.63.6558</w:t>
      </w:r>
    </w:p>
    <w:p w14:paraId="4C921784"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Mukherjee, P. K., Horwitz, B. A., Kenerley, C. M. (2012). Secondary metabolism in Trichoderma—A genomic perspective. Microbiology. 158 (1): 35–45. DOI: 10.1099/mic.0.053629-0</w:t>
      </w:r>
    </w:p>
    <w:p w14:paraId="1B9CF34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Myles, S., Boyko, A. R., Owens., C. L., Brown, P. J., Grassi, F., Aradhya, M. K., Prins, B., Reynolds, A., Chia, J. M., Ware, D., Bustamante, C. D., Buckler, E. S. (2010): Genetic structure and domestication history of the grape. Agricultural sciencies. 108 (9) 3530-3535. DOI:10.1073/pnas.100936310</w:t>
      </w:r>
    </w:p>
    <w:p w14:paraId="6F2DB9D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Nagle, D. G., Ferreira, D., Zhou, Y. D. (2006): Epigallocatechin– 3–gallate (EGCG): Chemical and biomedical perspectives. Phytochemistry. 67 (17): 1849–1855. DOI: 10.1016/j.phytochem.2006.06.020</w:t>
      </w:r>
    </w:p>
    <w:p w14:paraId="483F5F2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Nascimento, T., Oliveira, H., Rego, C. (2007): Potential use of chitosan in the control of grapevine trunk diseases. Phytopathologia Mediterranea. 46 (2): 218-224. DOI: 10.14601/Phytopathol_Mediterr-2156</w:t>
      </w:r>
    </w:p>
    <w:p w14:paraId="4231F9F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OIV. 2023. International organization of vine and wine. Country reports, 2022. https://www.oiv.int/what-we-do/country-report?oiv</w:t>
      </w:r>
    </w:p>
    <w:p w14:paraId="124F454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Ouadi, L., Bruez, E., Bastien, S., Vallance, J., Domec, J. C., Lecomte, P., Rey, P. (2019): Ecophysiological impacts of Esca, a devastating grapevine trunk disease, on </w:t>
      </w:r>
      <w:r>
        <w:rPr>
          <w:rFonts w:ascii="Book Antiqua" w:hAnsi="Book Antiqua" w:cs="Times New Roman"/>
          <w:i/>
          <w:iCs/>
          <w:color w:val="000000" w:themeColor="text1"/>
          <w:sz w:val="24"/>
          <w:szCs w:val="24"/>
          <w:lang w:val="sr-Latn-RS"/>
        </w:rPr>
        <w:t>Vitis vinifera</w:t>
      </w:r>
      <w:r>
        <w:rPr>
          <w:rFonts w:ascii="Book Antiqua" w:hAnsi="Book Antiqua" w:cs="Times New Roman"/>
          <w:color w:val="000000" w:themeColor="text1"/>
          <w:sz w:val="24"/>
          <w:szCs w:val="24"/>
          <w:lang w:val="sr-Latn-RS"/>
        </w:rPr>
        <w:t xml:space="preserve"> L. PLoS One. 14 (9): e0222586. </w:t>
      </w:r>
      <w:hyperlink r:id="rId84" w:history="1">
        <w:r>
          <w:rPr>
            <w:rStyle w:val="Hyperlink"/>
            <w:rFonts w:ascii="Book Antiqua" w:hAnsi="Book Antiqua" w:cs="Times New Roman"/>
            <w:color w:val="000000" w:themeColor="text1"/>
            <w:sz w:val="24"/>
            <w:szCs w:val="24"/>
            <w:u w:val="none"/>
            <w:lang w:val="sr-Latn-RS"/>
          </w:rPr>
          <w:t>DOI: 10.1371/journal-.pone.0222586</w:t>
        </w:r>
      </w:hyperlink>
    </w:p>
    <w:p w14:paraId="0622B39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Pandey, P., Ramegowda, V., Senthil-Kumar, M., (2015): Shared and unique responses of plants to multiple individual stresses and stress combinations: physiological and molecular mechanisms. Frontiers in Plant Science 6: 723. </w:t>
      </w:r>
      <w:r>
        <w:rPr>
          <w:rFonts w:ascii="Book Antiqua" w:hAnsi="Book Antiqua" w:cs="Times New Roman"/>
          <w:color w:val="000000" w:themeColor="text1"/>
          <w:sz w:val="24"/>
          <w:szCs w:val="24"/>
        </w:rPr>
        <w:t>DOI: 10.3389/fpls.2015.00723</w:t>
      </w:r>
    </w:p>
    <w:p w14:paraId="7C50F4D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Panon, M. L., Panigaï, L., Moncomble, D., Boulay, M. (2005): Dossier Esca/Bda: une affaire complexe. Le Vigneron Champenois. 4: 33-48.</w:t>
      </w:r>
    </w:p>
    <w:p w14:paraId="48CE749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Paolinelli, M., Escoriaza, G., Cesari, C., Garcia-Lampasona, S., Hernadez-Martinez, R. (2022): Caracterization of grapevine wood microbiome through a metatranscriptomic approach. Microbial Ecology. 83 (3): 658–668. DOI:10.1007/s00248-021-01801-z</w:t>
      </w:r>
    </w:p>
    <w:p w14:paraId="335A8DA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Patejuk, K., Baturo – Ciesniewska, A., Pusz, W., Kaczmarek – Pienczewska, A. (2022): Biscogniauxia charcoal canker – A new potential threat for Mid-European forests as an effect climate change. Forests. 13 (1): 89. DOI:10.3390/f13010089</w:t>
      </w:r>
    </w:p>
    <w:p w14:paraId="33F93B9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Petit, E., Gubler, W. D. (2006): Influence of </w:t>
      </w:r>
      <w:r>
        <w:rPr>
          <w:rFonts w:ascii="Book Antiqua" w:hAnsi="Book Antiqua" w:cs="Times New Roman"/>
          <w:i/>
          <w:iCs/>
          <w:color w:val="000000" w:themeColor="text1"/>
          <w:sz w:val="24"/>
          <w:szCs w:val="24"/>
          <w:lang w:val="sr-Latn-RS"/>
        </w:rPr>
        <w:t>Glomus intraradices</w:t>
      </w:r>
      <w:r>
        <w:rPr>
          <w:rFonts w:ascii="Book Antiqua" w:hAnsi="Book Antiqua" w:cs="Times New Roman"/>
          <w:color w:val="000000" w:themeColor="text1"/>
          <w:sz w:val="24"/>
          <w:szCs w:val="24"/>
          <w:lang w:val="sr-Latn-RS"/>
        </w:rPr>
        <w:t xml:space="preserve"> on black foot disease caused by </w:t>
      </w:r>
      <w:r>
        <w:rPr>
          <w:rFonts w:ascii="Book Antiqua" w:hAnsi="Book Antiqua" w:cs="Times New Roman"/>
          <w:i/>
          <w:iCs/>
          <w:color w:val="000000" w:themeColor="text1"/>
          <w:sz w:val="24"/>
          <w:szCs w:val="24"/>
          <w:lang w:val="sr-Latn-RS"/>
        </w:rPr>
        <w:t>Cylindrocarpon macrodidymum</w:t>
      </w:r>
      <w:r>
        <w:rPr>
          <w:rFonts w:ascii="Book Antiqua" w:hAnsi="Book Antiqua" w:cs="Times New Roman"/>
          <w:color w:val="000000" w:themeColor="text1"/>
          <w:sz w:val="24"/>
          <w:szCs w:val="24"/>
          <w:lang w:val="sr-Latn-RS"/>
        </w:rPr>
        <w:t xml:space="preserve"> on </w:t>
      </w:r>
      <w:r>
        <w:rPr>
          <w:rFonts w:ascii="Book Antiqua" w:hAnsi="Book Antiqua" w:cs="Times New Roman"/>
          <w:i/>
          <w:iCs/>
          <w:color w:val="000000" w:themeColor="text1"/>
          <w:sz w:val="24"/>
          <w:szCs w:val="24"/>
          <w:lang w:val="sr-Latn-RS"/>
        </w:rPr>
        <w:t>Vitis rupestris</w:t>
      </w:r>
      <w:r>
        <w:rPr>
          <w:rFonts w:ascii="Book Antiqua" w:hAnsi="Book Antiqua" w:cs="Times New Roman"/>
          <w:color w:val="000000" w:themeColor="text1"/>
          <w:sz w:val="24"/>
          <w:szCs w:val="24"/>
          <w:lang w:val="sr-Latn-RS"/>
        </w:rPr>
        <w:t xml:space="preserve"> under controlled conditions. Plant Disease. 90 (12): 1481–1484. DOI: 10.1094/PD-90-1481</w:t>
      </w:r>
    </w:p>
    <w:p w14:paraId="7B70470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Petrović, E., Godena, S., Ćosić, J., Vrandenčić, K. (2024): Identification and Pathogenicity of Biscogniauxia and Sordaria species isolated form olive trees. Horticulturae. 10 (3): 243. DOI:10.3390/horticulturae10030243</w:t>
      </w:r>
    </w:p>
    <w:p w14:paraId="1D62C23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Peil, S., Beckers, S. J., Fischer, J., Wurn, F. R. (2020): Biodegradable, lignin-based encapsulation enables delivery of </w:t>
      </w:r>
      <w:r>
        <w:rPr>
          <w:rFonts w:ascii="Book Antiqua" w:hAnsi="Book Antiqua" w:cs="Times New Roman"/>
          <w:i/>
          <w:iCs/>
          <w:color w:val="000000" w:themeColor="text1"/>
          <w:sz w:val="24"/>
          <w:szCs w:val="24"/>
          <w:lang w:val="sr-Latn-RS"/>
        </w:rPr>
        <w:t>Trichoderma reesei</w:t>
      </w:r>
      <w:r>
        <w:rPr>
          <w:rFonts w:ascii="Book Antiqua" w:hAnsi="Book Antiqua" w:cs="Times New Roman"/>
          <w:color w:val="000000" w:themeColor="text1"/>
          <w:sz w:val="24"/>
          <w:szCs w:val="24"/>
          <w:lang w:val="sr-Latn-RS"/>
        </w:rPr>
        <w:t xml:space="preserve"> with programmed enzymatic release against grapevine trunk diseases. Materials Today Bio. 20: 100061. DOI: 10.1016/j.mtbio.2020.100061</w:t>
      </w:r>
    </w:p>
    <w:p w14:paraId="70C0D76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Pieterse, C. M., Zamioudis, C., Berendsen, R. L., Weller, D. M., Van Wees, S. C.,  Bakker, P. A. (2014): Induced systemic resistance by beneficial microbes. Annual Review of Phytopathology. 52: 347–375. DOI: 10.1146/annurev-phyto-082712-102340</w:t>
      </w:r>
    </w:p>
    <w:p w14:paraId="311438B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Pierron, R. J., Pages, M., Couderc, C., Compant, S., Jacques, A., Violleau, F. (2015): </w:t>
      </w:r>
      <w:r>
        <w:rPr>
          <w:rFonts w:ascii="Book Antiqua" w:hAnsi="Book Antiqua" w:cs="Times New Roman"/>
          <w:i/>
          <w:iCs/>
          <w:color w:val="000000" w:themeColor="text1"/>
          <w:sz w:val="24"/>
          <w:szCs w:val="24"/>
          <w:lang w:val="sr-Latn-RS"/>
        </w:rPr>
        <w:t>In vitro</w:t>
      </w:r>
      <w:r>
        <w:rPr>
          <w:rFonts w:ascii="Book Antiqua" w:hAnsi="Book Antiqua" w:cs="Times New Roman"/>
          <w:color w:val="000000" w:themeColor="text1"/>
          <w:sz w:val="24"/>
          <w:szCs w:val="24"/>
          <w:lang w:val="sr-Latn-RS"/>
        </w:rPr>
        <w:t xml:space="preserve"> and </w:t>
      </w:r>
      <w:r>
        <w:rPr>
          <w:rFonts w:ascii="Book Antiqua" w:hAnsi="Book Antiqua" w:cs="Times New Roman"/>
          <w:i/>
          <w:iCs/>
          <w:color w:val="000000" w:themeColor="text1"/>
          <w:sz w:val="24"/>
          <w:szCs w:val="24"/>
          <w:lang w:val="sr-Latn-RS"/>
        </w:rPr>
        <w:t xml:space="preserve">in planta </w:t>
      </w:r>
      <w:r>
        <w:rPr>
          <w:rFonts w:ascii="Book Antiqua" w:hAnsi="Book Antiqua" w:cs="Times New Roman"/>
          <w:color w:val="000000" w:themeColor="text1"/>
          <w:sz w:val="24"/>
          <w:szCs w:val="24"/>
          <w:lang w:val="sr-Latn-RS"/>
        </w:rPr>
        <w:t xml:space="preserve">fungicide properties of ozonated water against the esca-associated fungus </w:t>
      </w:r>
      <w:r>
        <w:rPr>
          <w:rFonts w:ascii="Book Antiqua" w:hAnsi="Book Antiqua" w:cs="Times New Roman"/>
          <w:i/>
          <w:iCs/>
          <w:color w:val="000000" w:themeColor="text1"/>
          <w:sz w:val="24"/>
          <w:szCs w:val="24"/>
          <w:lang w:val="sr-Latn-RS"/>
        </w:rPr>
        <w:t>Phaeoacremonium aleophilum</w:t>
      </w:r>
      <w:r>
        <w:rPr>
          <w:rFonts w:ascii="Book Antiqua" w:hAnsi="Book Antiqua" w:cs="Times New Roman"/>
          <w:color w:val="000000" w:themeColor="text1"/>
          <w:sz w:val="24"/>
          <w:szCs w:val="24"/>
          <w:lang w:val="sr-Latn-RS"/>
        </w:rPr>
        <w:t>. Scientia Horticulturae. 189: 184–191. DOI: 10.1016/j.scienta.2015.03.038</w:t>
      </w:r>
    </w:p>
    <w:p w14:paraId="6FD0F4E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Pintos, C., Redondo, V., Costas, D., Aguin, O., Mansilla, P. (2018): </w:t>
      </w:r>
      <w:r>
        <w:rPr>
          <w:rFonts w:ascii="Book Antiqua" w:hAnsi="Book Antiqua" w:cs="Times New Roman"/>
          <w:color w:val="000000" w:themeColor="text1"/>
          <w:sz w:val="24"/>
          <w:szCs w:val="24"/>
        </w:rPr>
        <w:t>Fungi associated with grapevine trunk diseases in nursery-produced </w:t>
      </w:r>
      <w:r>
        <w:rPr>
          <w:rFonts w:ascii="Book Antiqua" w:hAnsi="Book Antiqua" w:cs="Times New Roman"/>
          <w:i/>
          <w:iCs/>
          <w:color w:val="000000" w:themeColor="text1"/>
          <w:sz w:val="24"/>
          <w:szCs w:val="24"/>
        </w:rPr>
        <w:t>Vitis vinifera</w:t>
      </w:r>
      <w:r>
        <w:rPr>
          <w:rFonts w:ascii="Book Antiqua" w:hAnsi="Book Antiqua" w:cs="Times New Roman"/>
          <w:color w:val="000000" w:themeColor="text1"/>
          <w:sz w:val="24"/>
          <w:szCs w:val="24"/>
        </w:rPr>
        <w:t xml:space="preserve"> plants. </w:t>
      </w:r>
      <w:r>
        <w:rPr>
          <w:rFonts w:ascii="Book Antiqua" w:hAnsi="Book Antiqua" w:cs="Times New Roman"/>
          <w:color w:val="000000" w:themeColor="text1"/>
          <w:sz w:val="24"/>
          <w:szCs w:val="24"/>
          <w:lang w:val="sr-Latn-RS"/>
        </w:rPr>
        <w:t xml:space="preserve"> Phytopathologia Mediterranea. 57 (3): 407-424. DOI:10.14601/ Phytopathol_Mediterr-22964</w:t>
      </w:r>
    </w:p>
    <w:p w14:paraId="3E516BF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Pollastro, S., Habib, W., Pichierri, A., Masiello, N., Faretra, F. (2009): Potential sources of </w:t>
      </w:r>
      <w:r>
        <w:rPr>
          <w:rFonts w:ascii="Book Antiqua" w:hAnsi="Book Antiqua" w:cs="Times New Roman"/>
          <w:i/>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inoculum in grapevine nurseries in southern Italy. Phytopathologia Mediterranea. 48 (1): 174. </w:t>
      </w:r>
    </w:p>
    <w:p w14:paraId="54A78F0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Pollard-Flamand, J., Boulé, J., Hart, M., Úrbez-Torres, J. R. (2022): Biocontrol Activity of </w:t>
      </w:r>
      <w:r>
        <w:rPr>
          <w:rFonts w:ascii="Book Antiqua" w:hAnsi="Book Antiqua" w:cs="Times New Roman"/>
          <w:i/>
          <w:iCs/>
          <w:color w:val="000000" w:themeColor="text1"/>
          <w:sz w:val="24"/>
          <w:szCs w:val="24"/>
          <w:lang w:val="sr-Latn-RS"/>
        </w:rPr>
        <w:t>Trichoderma</w:t>
      </w:r>
      <w:r>
        <w:rPr>
          <w:rFonts w:ascii="Book Antiqua" w:hAnsi="Book Antiqua" w:cs="Times New Roman"/>
          <w:color w:val="000000" w:themeColor="text1"/>
          <w:sz w:val="24"/>
          <w:szCs w:val="24"/>
          <w:lang w:val="sr-Latn-RS"/>
        </w:rPr>
        <w:t xml:space="preserve"> species isolated from grapevines in British Columbia against botryosphaeria dieback fungal pathogens. Journal of Fungi. 8 (4): 409. DOI: 10.3390/jof8040409</w:t>
      </w:r>
    </w:p>
    <w:p w14:paraId="3B264D5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Pouzoulet, J., Pivovaroff, A. L., Santiago L.S., Rolshausen, P.E. (2014): Can vessel dimension explain tolerance toward fungal vascular wilt diseases in woody plants? Frontiers in Plant Science. 12 (5): 253. DOI:10.3389/fpls.2014.00253</w:t>
      </w:r>
    </w:p>
    <w:p w14:paraId="4771E7FC"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lang w:val="sr-Latn-RS"/>
        </w:rPr>
        <w:t xml:space="preserve">Pouzoulet, J., Scudiero, E., Schiavon, M., Rolshausen, P. E. (2017): </w:t>
      </w:r>
      <w:r>
        <w:rPr>
          <w:rFonts w:ascii="Book Antiqua" w:hAnsi="Book Antiqua" w:cs="Times New Roman"/>
          <w:color w:val="000000" w:themeColor="text1"/>
          <w:sz w:val="24"/>
          <w:szCs w:val="24"/>
        </w:rPr>
        <w:t>Xylem Vessel Diameter Affects the Compartmentalization of the Vascular Pathogen </w:t>
      </w:r>
      <w:r>
        <w:rPr>
          <w:rFonts w:ascii="Book Antiqua" w:hAnsi="Book Antiqua" w:cs="Times New Roman"/>
          <w:i/>
          <w:iCs/>
          <w:color w:val="000000" w:themeColor="text1"/>
          <w:sz w:val="24"/>
          <w:szCs w:val="24"/>
        </w:rPr>
        <w:t>Phaeomoniella chlamydospora</w:t>
      </w:r>
      <w:r>
        <w:rPr>
          <w:rFonts w:ascii="Book Antiqua" w:hAnsi="Book Antiqua" w:cs="Times New Roman"/>
          <w:color w:val="000000" w:themeColor="text1"/>
          <w:sz w:val="24"/>
          <w:szCs w:val="24"/>
        </w:rPr>
        <w:t> in Grapevine. Frontiers in Plant Science. 21:8:1442. DOI:10.3389/fpls.2017.01442.</w:t>
      </w:r>
    </w:p>
    <w:p w14:paraId="77DD7F2B" w14:textId="77777777" w:rsidR="003801E8" w:rsidRDefault="00E44AAE">
      <w:pPr>
        <w:tabs>
          <w:tab w:val="left" w:pos="3315"/>
        </w:tabs>
        <w:spacing w:line="360" w:lineRule="auto"/>
        <w:jc w:val="both"/>
        <w:rPr>
          <w:rFonts w:ascii="Book Antiqua" w:hAnsi="Book Antiqua" w:cs="Times New Roman"/>
          <w:sz w:val="24"/>
          <w:szCs w:val="24"/>
        </w:rPr>
      </w:pPr>
      <w:r>
        <w:rPr>
          <w:rFonts w:ascii="Book Antiqua" w:hAnsi="Book Antiqua" w:cs="Times New Roman"/>
          <w:sz w:val="24"/>
          <w:szCs w:val="24"/>
        </w:rPr>
        <w:t>Pouzoulet, J., Scudiero, E., Schiavon, M., Santiago, L.S., Rolshausen, P.E. (2019): Modeling of xylem vessel occlusion in grapevine. Tree Physiology. 39(8): 1438–1445. DOI: 10.1093/treephys/tpz036</w:t>
      </w:r>
    </w:p>
    <w:p w14:paraId="07647F8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Petit, A. N., Vaillant, N., Boulay, M., Clement, C., Fontaine, F. (2006): Alternation of photosynthesis in grapevines affected by Esca. Phytopathology. 96, 1060-1066. DOI:10.1094/PHYTO-96-1060</w:t>
      </w:r>
    </w:p>
    <w:p w14:paraId="357DD92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rPr>
        <w:t>Péros, J. P., Berger, G., Jamaux-Despréaux, I. (2008): Symptoms, wood lesions and fungi associated with esca in organ-ic vineyards in Languedoc-Roussillon (France). Journal of Phytopathology. 156 (5): 297–303. DOI:</w:t>
      </w:r>
      <w:hyperlink r:id="rId85" w:history="1">
        <w:r>
          <w:rPr>
            <w:rStyle w:val="Hyperlink"/>
            <w:rFonts w:ascii="Book Antiqua" w:hAnsi="Book Antiqua" w:cs="Times New Roman"/>
            <w:color w:val="000000" w:themeColor="text1"/>
            <w:sz w:val="24"/>
            <w:szCs w:val="24"/>
            <w:u w:val="none"/>
          </w:rPr>
          <w:t>10.1111/j.1439-0434.2007.01362.x</w:t>
        </w:r>
      </w:hyperlink>
    </w:p>
    <w:p w14:paraId="37FF947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Pertot, I., Prodorutti, D., Colombini, A., Pasini, L. (2016): </w:t>
      </w:r>
      <w:r>
        <w:rPr>
          <w:rFonts w:ascii="Book Antiqua" w:hAnsi="Book Antiqua" w:cs="Times New Roman"/>
          <w:i/>
          <w:iCs/>
          <w:color w:val="000000" w:themeColor="text1"/>
          <w:sz w:val="24"/>
          <w:szCs w:val="24"/>
          <w:lang w:val="sr-Latn-RS"/>
        </w:rPr>
        <w:t>Trichoderma atroviride</w:t>
      </w:r>
      <w:r>
        <w:rPr>
          <w:rFonts w:ascii="Book Antiqua" w:hAnsi="Book Antiqua" w:cs="Times New Roman"/>
          <w:color w:val="000000" w:themeColor="text1"/>
          <w:sz w:val="24"/>
          <w:szCs w:val="24"/>
          <w:lang w:val="sr-Latn-RS"/>
        </w:rPr>
        <w:t xml:space="preserve"> SC1 prevents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and </w:t>
      </w:r>
      <w:r>
        <w:rPr>
          <w:rFonts w:ascii="Book Antiqua" w:hAnsi="Book Antiqua" w:cs="Times New Roman"/>
          <w:i/>
          <w:iCs/>
          <w:color w:val="000000" w:themeColor="text1"/>
          <w:sz w:val="24"/>
          <w:szCs w:val="24"/>
          <w:lang w:val="sr-Latn-RS"/>
        </w:rPr>
        <w:t>Phaeoacremonium aleophilum</w:t>
      </w:r>
      <w:r>
        <w:rPr>
          <w:rFonts w:ascii="Book Antiqua" w:hAnsi="Book Antiqua" w:cs="Times New Roman"/>
          <w:color w:val="000000" w:themeColor="text1"/>
          <w:sz w:val="24"/>
          <w:szCs w:val="24"/>
          <w:lang w:val="sr-Latn-RS"/>
        </w:rPr>
        <w:t xml:space="preserve"> infection of grapevine plants during the grafting process in nurseries. Bio Control. 61 (3): 257–267. DOI: 10.1007/s10526-016-9723-6</w:t>
      </w:r>
    </w:p>
    <w:p w14:paraId="62EF6C0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Ramos, M., Daranas, N., Llugany, M., Tolrà, R., Montesinos, E., Badosa, E. (2022): Grapevine response to a </w:t>
      </w:r>
      <w:r>
        <w:rPr>
          <w:rFonts w:ascii="Book Antiqua" w:hAnsi="Book Antiqua" w:cs="Times New Roman"/>
          <w:i/>
          <w:iCs/>
          <w:color w:val="000000" w:themeColor="text1"/>
          <w:sz w:val="24"/>
          <w:szCs w:val="24"/>
          <w:lang w:val="sr-Latn-RS"/>
        </w:rPr>
        <w:t>Dittrichia viscosa</w:t>
      </w:r>
      <w:r>
        <w:rPr>
          <w:rFonts w:ascii="Book Antiqua" w:hAnsi="Book Antiqua" w:cs="Times New Roman"/>
          <w:color w:val="000000" w:themeColor="text1"/>
          <w:sz w:val="24"/>
          <w:szCs w:val="24"/>
          <w:lang w:val="sr-Latn-RS"/>
        </w:rPr>
        <w:t xml:space="preserve"> extract and a </w:t>
      </w:r>
      <w:r>
        <w:rPr>
          <w:rFonts w:ascii="Book Antiqua" w:hAnsi="Book Antiqua" w:cs="Times New Roman"/>
          <w:i/>
          <w:iCs/>
          <w:color w:val="000000" w:themeColor="text1"/>
          <w:sz w:val="24"/>
          <w:szCs w:val="24"/>
          <w:lang w:val="sr-Latn-RS"/>
        </w:rPr>
        <w:t>Bacillus velezensis</w:t>
      </w:r>
      <w:r>
        <w:rPr>
          <w:rFonts w:ascii="Book Antiqua" w:hAnsi="Book Antiqua" w:cs="Times New Roman"/>
          <w:color w:val="000000" w:themeColor="text1"/>
          <w:sz w:val="24"/>
          <w:szCs w:val="24"/>
          <w:lang w:val="sr-Latn-RS"/>
        </w:rPr>
        <w:t xml:space="preserve"> strain. Frontiers in Plant Science. 13, 1075231. DOI: 10.3389/fpls.2022.1075231. </w:t>
      </w:r>
    </w:p>
    <w:p w14:paraId="1610175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Rabai, A., Dula, T., Mugnai, L. (2008). Distribution of esca disease in Hungary and the pathogens causing the syndrome. Acta Phythopathologica and Enthomologica Hungarica. 43 (1): 45-54. DOI: 10.1556/Phyt.43.2008.1.6</w:t>
      </w:r>
    </w:p>
    <w:p w14:paraId="025D4E4A" w14:textId="77777777" w:rsidR="003801E8" w:rsidRDefault="00E44AAE">
      <w:pPr>
        <w:autoSpaceDE w:val="0"/>
        <w:autoSpaceDN w:val="0"/>
        <w:adjustRightInd w:val="0"/>
        <w:spacing w:after="0" w:line="240" w:lineRule="auto"/>
        <w:jc w:val="both"/>
        <w:rPr>
          <w:rFonts w:ascii="Book Antiqua" w:hAnsi="Book Antiqua" w:cs="Times New Roman"/>
          <w:sz w:val="24"/>
          <w:szCs w:val="24"/>
          <w:lang w:val="en-US"/>
        </w:rPr>
      </w:pPr>
      <w:r>
        <w:rPr>
          <w:rFonts w:ascii="Book Antiqua" w:hAnsi="Book Antiqua" w:cs="Times New Roman"/>
          <w:sz w:val="24"/>
          <w:szCs w:val="24"/>
          <w:lang w:val="en-US"/>
        </w:rPr>
        <w:t>Ravaz, L. (1898): Sur le folletage. Revue Vitic. 10: 184-186.</w:t>
      </w:r>
    </w:p>
    <w:p w14:paraId="509117E4" w14:textId="77777777" w:rsidR="003801E8" w:rsidRDefault="003801E8">
      <w:pPr>
        <w:autoSpaceDE w:val="0"/>
        <w:autoSpaceDN w:val="0"/>
        <w:adjustRightInd w:val="0"/>
        <w:spacing w:after="0" w:line="240" w:lineRule="auto"/>
        <w:jc w:val="both"/>
        <w:rPr>
          <w:rFonts w:ascii="Book Antiqua" w:hAnsi="Book Antiqua" w:cs="Times New Roman"/>
          <w:sz w:val="24"/>
          <w:szCs w:val="24"/>
          <w:lang w:val="en-US"/>
        </w:rPr>
      </w:pPr>
    </w:p>
    <w:p w14:paraId="694E69B5" w14:textId="77777777" w:rsidR="003801E8" w:rsidRDefault="003801E8">
      <w:pPr>
        <w:autoSpaceDE w:val="0"/>
        <w:autoSpaceDN w:val="0"/>
        <w:adjustRightInd w:val="0"/>
        <w:spacing w:after="0" w:line="240" w:lineRule="auto"/>
        <w:jc w:val="both"/>
        <w:rPr>
          <w:rFonts w:ascii="Times New Roman" w:hAnsi="Times New Roman" w:cs="Times New Roman"/>
          <w:sz w:val="15"/>
          <w:szCs w:val="15"/>
          <w:lang w:val="en-US"/>
        </w:rPr>
      </w:pPr>
    </w:p>
    <w:p w14:paraId="003A3A7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Rego, C., Oliveira, H., Carvalho, A., Phillips, A. (2000): Involvement of </w:t>
      </w:r>
      <w:r>
        <w:rPr>
          <w:rFonts w:ascii="Book Antiqua" w:hAnsi="Book Antiqua" w:cs="Times New Roman"/>
          <w:i/>
          <w:iCs/>
          <w:color w:val="000000" w:themeColor="text1"/>
          <w:sz w:val="24"/>
          <w:szCs w:val="24"/>
          <w:lang w:val="sr-Latn-RS"/>
        </w:rPr>
        <w:t>Phaeoacremonium</w:t>
      </w:r>
      <w:r>
        <w:rPr>
          <w:rFonts w:ascii="Book Antiqua" w:hAnsi="Book Antiqua" w:cs="Times New Roman"/>
          <w:color w:val="000000" w:themeColor="text1"/>
          <w:sz w:val="24"/>
          <w:szCs w:val="24"/>
          <w:lang w:val="sr-Latn-RS"/>
        </w:rPr>
        <w:t xml:space="preserve"> spp. and </w:t>
      </w:r>
      <w:r>
        <w:rPr>
          <w:rFonts w:ascii="Book Antiqua" w:hAnsi="Book Antiqua" w:cs="Times New Roman"/>
          <w:i/>
          <w:iCs/>
          <w:color w:val="000000" w:themeColor="text1"/>
          <w:sz w:val="24"/>
          <w:szCs w:val="24"/>
          <w:lang w:val="sr-Latn-RS"/>
        </w:rPr>
        <w:t>Cylindrocarpon destructans</w:t>
      </w:r>
      <w:r>
        <w:rPr>
          <w:rFonts w:ascii="Book Antiqua" w:hAnsi="Book Antiqua" w:cs="Times New Roman"/>
          <w:color w:val="000000" w:themeColor="text1"/>
          <w:sz w:val="24"/>
          <w:szCs w:val="24"/>
          <w:lang w:val="sr-Latn-RS"/>
        </w:rPr>
        <w:t xml:space="preserve"> with grapevine decline in Portugal. Phytopathologia Mediterranea. 39 (1): 76–79. DOI: 10.14601/Phytopathol_Mediterr-1546</w:t>
      </w:r>
    </w:p>
    <w:p w14:paraId="54E1CEC8"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Rego, C., Nascimento, T., Cabral, A., Silva, M. J., Oliveira, H. (2009):                                                                                     Control of grapevine wood fungi in commercial nurseries. Phytopathologia Mediterranea. 48 (1): 128–135. DOI: 10.14601/Phytopathol_Mediterr-2881      </w:t>
      </w:r>
    </w:p>
    <w:p w14:paraId="75C6A98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Rego, C.,  Blume, E. (2016): </w:t>
      </w:r>
      <w:r>
        <w:rPr>
          <w:rFonts w:ascii="Book Antiqua" w:hAnsi="Book Antiqua" w:cs="Times New Roman"/>
          <w:i/>
          <w:iCs/>
          <w:color w:val="000000" w:themeColor="text1"/>
          <w:sz w:val="24"/>
          <w:szCs w:val="24"/>
          <w:lang w:val="sr-Latn-RS"/>
        </w:rPr>
        <w:t xml:space="preserve">Trichoderma </w:t>
      </w:r>
      <w:r>
        <w:rPr>
          <w:rFonts w:ascii="Book Antiqua" w:hAnsi="Book Antiqua" w:cs="Times New Roman"/>
          <w:color w:val="000000" w:themeColor="text1"/>
          <w:sz w:val="24"/>
          <w:szCs w:val="24"/>
          <w:lang w:val="sr-Latn-RS"/>
        </w:rPr>
        <w:t xml:space="preserve">spp. and </w:t>
      </w:r>
      <w:r>
        <w:rPr>
          <w:rFonts w:ascii="Book Antiqua" w:hAnsi="Book Antiqua" w:cs="Times New Roman"/>
          <w:i/>
          <w:iCs/>
          <w:color w:val="000000" w:themeColor="text1"/>
          <w:sz w:val="24"/>
          <w:szCs w:val="24"/>
          <w:lang w:val="sr-Latn-RS"/>
        </w:rPr>
        <w:t>Bacillus subtilis</w:t>
      </w:r>
      <w:r>
        <w:rPr>
          <w:rFonts w:ascii="Book Antiqua" w:hAnsi="Book Antiqua" w:cs="Times New Roman"/>
          <w:color w:val="000000" w:themeColor="text1"/>
          <w:sz w:val="24"/>
          <w:szCs w:val="24"/>
          <w:lang w:val="sr-Latn-RS"/>
        </w:rPr>
        <w:t xml:space="preserve"> for control of </w:t>
      </w:r>
      <w:r>
        <w:rPr>
          <w:rFonts w:ascii="Book Antiqua" w:hAnsi="Book Antiqua" w:cs="Times New Roman"/>
          <w:i/>
          <w:iCs/>
          <w:color w:val="000000" w:themeColor="text1"/>
          <w:sz w:val="24"/>
          <w:szCs w:val="24"/>
          <w:lang w:val="sr-Latn-RS"/>
        </w:rPr>
        <w:t>Dactylonectria macrodidyma</w:t>
      </w:r>
      <w:r>
        <w:rPr>
          <w:rFonts w:ascii="Book Antiqua" w:hAnsi="Book Antiqua" w:cs="Times New Roman"/>
          <w:color w:val="000000" w:themeColor="text1"/>
          <w:sz w:val="24"/>
          <w:szCs w:val="24"/>
          <w:lang w:val="sr-Latn-RS"/>
        </w:rPr>
        <w:t xml:space="preserve"> in grapevine. Phytopathologia Mediterranea. 55 (2): 293–300. DOI: 10.14601/Phytopathol_Mediterr-18048</w:t>
      </w:r>
    </w:p>
    <w:p w14:paraId="61632E6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Reisenzein, H., Berger, N., Nieder, G. (2000): Esca in Austria. Phytopathologia Mediterranea.    39 </w:t>
      </w:r>
      <w:r>
        <w:rPr>
          <w:rFonts w:ascii="Book Antiqua" w:hAnsi="Book Antiqua" w:cs="Times New Roman"/>
          <w:color w:val="000000" w:themeColor="text1"/>
          <w:sz w:val="24"/>
          <w:szCs w:val="24"/>
        </w:rPr>
        <w:t>(1)</w:t>
      </w:r>
      <w:r>
        <w:rPr>
          <w:rFonts w:ascii="Book Antiqua" w:hAnsi="Book Antiqua" w:cs="Times New Roman"/>
          <w:color w:val="000000" w:themeColor="text1"/>
          <w:sz w:val="24"/>
          <w:szCs w:val="24"/>
          <w:lang w:val="sr-Latn-RS"/>
        </w:rPr>
        <w:t>: 26–34. DOI: 10.14601/Phytopathol_Mediterr-1538</w:t>
      </w:r>
    </w:p>
    <w:p w14:paraId="34F74D3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Rezgui, A., Ben Ghnaya-Chakroun, A., Vallance, J., Bruez, E., Hajlaoui, M. R., Sadfi-Zouaoui, N., Rey, P. (2016): Endophytic bacteria with antagonistic traits inhabit the wood tissues of grapevines from Tunisian vineyards. Biological Control. 99 (2): 28-37. DOI: 10.1016/j.biocontrol.2016.04.005</w:t>
      </w:r>
    </w:p>
    <w:p w14:paraId="0E5A8BEE" w14:textId="77777777" w:rsidR="003801E8" w:rsidRDefault="00E44AAE">
      <w:pPr>
        <w:autoSpaceDE w:val="0"/>
        <w:autoSpaceDN w:val="0"/>
        <w:adjustRightInd w:val="0"/>
        <w:spacing w:after="0" w:line="360" w:lineRule="auto"/>
        <w:jc w:val="both"/>
        <w:rPr>
          <w:rStyle w:val="Hyperlink"/>
          <w:rFonts w:ascii="Book Antiqua" w:hAnsi="Book Antiqua" w:cs="Times New Roman"/>
          <w:sz w:val="24"/>
          <w:szCs w:val="24"/>
        </w:rPr>
      </w:pPr>
      <w:r>
        <w:rPr>
          <w:rFonts w:ascii="Book Antiqua" w:hAnsi="Book Antiqua" w:cs="Times New Roman"/>
          <w:sz w:val="24"/>
          <w:szCs w:val="24"/>
          <w:lang w:val="en-US"/>
        </w:rPr>
        <w:t xml:space="preserve">Rehner S. A., Samuels, G. J. (1994): Taxonomy and phylogeny of Gliocladium analysed from nuclear subunit ribosomal DNA sequences. </w:t>
      </w:r>
      <w:r>
        <w:rPr>
          <w:rFonts w:ascii="Book Antiqua" w:hAnsi="Book Antiqua" w:cs="Times New Roman"/>
          <w:iCs/>
          <w:sz w:val="24"/>
          <w:szCs w:val="24"/>
          <w:lang w:val="en-US"/>
        </w:rPr>
        <w:t>Mycological Research</w:t>
      </w:r>
      <w:r>
        <w:rPr>
          <w:rFonts w:ascii="Book Antiqua" w:hAnsi="Book Antiqua" w:cs="Times New Roman"/>
          <w:sz w:val="24"/>
          <w:szCs w:val="24"/>
          <w:lang w:val="en-US"/>
        </w:rPr>
        <w:t xml:space="preserve">. 95: 625–634. </w:t>
      </w:r>
      <w:hyperlink r:id="rId86" w:history="1">
        <w:r>
          <w:rPr>
            <w:rStyle w:val="Hyperlink"/>
            <w:rFonts w:ascii="Book Antiqua" w:hAnsi="Book Antiqua" w:cs="Times New Roman"/>
            <w:sz w:val="24"/>
            <w:szCs w:val="24"/>
            <w:lang w:val="en-US"/>
          </w:rPr>
          <w:t>DOI:</w:t>
        </w:r>
        <w:r>
          <w:rPr>
            <w:rStyle w:val="Hyperlink"/>
            <w:rFonts w:ascii="Book Antiqua" w:hAnsi="Book Antiqua" w:cs="Times New Roman"/>
            <w:sz w:val="24"/>
            <w:szCs w:val="24"/>
          </w:rPr>
          <w:t>10.1016/S0953-7562(09)80409-7</w:t>
        </w:r>
      </w:hyperlink>
    </w:p>
    <w:p w14:paraId="42B6E57B" w14:textId="77777777" w:rsidR="003801E8" w:rsidRDefault="003801E8">
      <w:pPr>
        <w:autoSpaceDE w:val="0"/>
        <w:autoSpaceDN w:val="0"/>
        <w:adjustRightInd w:val="0"/>
        <w:spacing w:after="0" w:line="360" w:lineRule="auto"/>
        <w:jc w:val="both"/>
        <w:rPr>
          <w:rStyle w:val="Strong"/>
          <w:rFonts w:ascii="Book Antiqua" w:hAnsi="Book Antiqua" w:cs="Times New Roman"/>
          <w:sz w:val="24"/>
          <w:szCs w:val="24"/>
        </w:rPr>
      </w:pPr>
    </w:p>
    <w:p w14:paraId="7D8E661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en-US"/>
        </w:rPr>
      </w:pPr>
      <w:r>
        <w:rPr>
          <w:rFonts w:ascii="Book Antiqua" w:hAnsi="Book Antiqua" w:cs="Times New Roman"/>
          <w:color w:val="000000" w:themeColor="text1"/>
          <w:sz w:val="24"/>
          <w:szCs w:val="24"/>
          <w:lang w:val="sr-Latn-RS"/>
        </w:rPr>
        <w:t xml:space="preserve">Riedle-Bauer, M., Bandian, D., Maderčić, M., Gorfer, M. (2023): Activity of biocontrol agents against the grapevine pathogen </w:t>
      </w:r>
      <w:r>
        <w:rPr>
          <w:rFonts w:ascii="Book Antiqua" w:hAnsi="Book Antiqua" w:cs="Times New Roman"/>
          <w:i/>
          <w:color w:val="000000" w:themeColor="text1"/>
          <w:sz w:val="24"/>
          <w:szCs w:val="24"/>
          <w:lang w:val="sr-Latn-RS"/>
        </w:rPr>
        <w:t>Fomitiporia mediterranea</w:t>
      </w:r>
      <w:r>
        <w:rPr>
          <w:rFonts w:ascii="Book Antiqua" w:hAnsi="Book Antiqua" w:cs="Times New Roman"/>
          <w:color w:val="000000" w:themeColor="text1"/>
          <w:sz w:val="24"/>
          <w:szCs w:val="24"/>
          <w:lang w:val="sr-Latn-RS"/>
        </w:rPr>
        <w:t xml:space="preserve">. Phytopathologia Mediterranea. </w:t>
      </w:r>
      <w:r>
        <w:rPr>
          <w:rFonts w:ascii="Book Antiqua" w:hAnsi="Book Antiqua" w:cs="Times New Roman"/>
          <w:color w:val="000000" w:themeColor="text1"/>
          <w:sz w:val="24"/>
          <w:szCs w:val="24"/>
          <w:lang w:val="en-US"/>
        </w:rPr>
        <w:t>62 (2): 213-226. DOI: 10.36253/phyto-14302</w:t>
      </w:r>
    </w:p>
    <w:p w14:paraId="5AF05CD8"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lang w:val="en-US"/>
        </w:rPr>
        <w:t xml:space="preserve">Ridgway, H. J., Sleight, B. E., Stewart, A. (2002): Molecular evidence for the presence of </w:t>
      </w:r>
      <w:r>
        <w:rPr>
          <w:rFonts w:ascii="Book Antiqua" w:hAnsi="Book Antiqua" w:cs="Times New Roman"/>
          <w:i/>
          <w:color w:val="000000" w:themeColor="text1"/>
          <w:sz w:val="24"/>
          <w:szCs w:val="24"/>
          <w:lang w:val="en-US"/>
        </w:rPr>
        <w:t>Phaeomoniella chlamydospora</w:t>
      </w:r>
      <w:r>
        <w:rPr>
          <w:rFonts w:ascii="Book Antiqua" w:hAnsi="Book Antiqua" w:cs="Times New Roman"/>
          <w:color w:val="000000" w:themeColor="text1"/>
          <w:sz w:val="24"/>
          <w:szCs w:val="24"/>
          <w:lang w:val="en-US"/>
        </w:rPr>
        <w:t xml:space="preserve"> in New Zealand nurseries, and its detection in rootstock mothervines using species-specific PCR. Australasian Plant Pathology. 31: 267–271. DOI: </w:t>
      </w:r>
      <w:r>
        <w:rPr>
          <w:rFonts w:ascii="Book Antiqua" w:hAnsi="Book Antiqua" w:cs="Times New Roman"/>
          <w:color w:val="000000" w:themeColor="text1"/>
          <w:sz w:val="24"/>
          <w:szCs w:val="24"/>
        </w:rPr>
        <w:t> </w:t>
      </w:r>
      <w:hyperlink r:id="rId87" w:tgtFrame="_blank" w:history="1">
        <w:r>
          <w:rPr>
            <w:rStyle w:val="Hyperlink"/>
            <w:rFonts w:ascii="Book Antiqua" w:hAnsi="Book Antiqua" w:cs="Times New Roman"/>
            <w:color w:val="000000" w:themeColor="text1"/>
            <w:sz w:val="24"/>
            <w:szCs w:val="24"/>
            <w:u w:val="none"/>
          </w:rPr>
          <w:t>10.1071/AP02021</w:t>
        </w:r>
      </w:hyperlink>
    </w:p>
    <w:p w14:paraId="5226C37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en-US"/>
        </w:rPr>
      </w:pPr>
      <w:r>
        <w:rPr>
          <w:rFonts w:ascii="Book Antiqua" w:hAnsi="Book Antiqua" w:cs="Times New Roman"/>
          <w:color w:val="000000" w:themeColor="text1"/>
          <w:sz w:val="24"/>
          <w:szCs w:val="24"/>
          <w:lang w:val="en-US"/>
        </w:rPr>
        <w:t>Riseh, R. S., Hassanisaadi, M., Vatankhah, M., Babaki, S. A., Barka, E. A. (2022): Chitosan as potential natural compound to manage plant diseases. International Journal of Biological Macromolecules. 220 (5): 998-1009. DOI:10.1016/j.ijbiomac.2022.08.109.</w:t>
      </w:r>
    </w:p>
    <w:p w14:paraId="3426069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en-US"/>
        </w:rPr>
      </w:pPr>
      <w:r>
        <w:rPr>
          <w:rFonts w:ascii="Book Antiqua" w:hAnsi="Book Antiqua" w:cs="Times New Roman"/>
          <w:color w:val="000000" w:themeColor="text1"/>
          <w:sz w:val="24"/>
          <w:szCs w:val="24"/>
          <w:lang w:val="en-US"/>
        </w:rPr>
        <w:t xml:space="preserve">Retief, E., Damm, U., van Niekerk, J. M., McLeod, A., Fourie, P. H. (2005): A protocol for molecular detection of </w:t>
      </w:r>
      <w:r>
        <w:rPr>
          <w:rFonts w:ascii="Book Antiqua" w:hAnsi="Book Antiqua" w:cs="Times New Roman"/>
          <w:i/>
          <w:iCs/>
          <w:color w:val="000000" w:themeColor="text1"/>
          <w:sz w:val="24"/>
          <w:szCs w:val="24"/>
          <w:lang w:val="en-US"/>
        </w:rPr>
        <w:t>Phaeomoniella chlamydospora</w:t>
      </w:r>
      <w:r>
        <w:rPr>
          <w:rFonts w:ascii="Book Antiqua" w:hAnsi="Book Antiqua" w:cs="Times New Roman"/>
          <w:color w:val="000000" w:themeColor="text1"/>
          <w:sz w:val="24"/>
          <w:szCs w:val="24"/>
          <w:lang w:val="en-US"/>
        </w:rPr>
        <w:t xml:space="preserve"> in grapevine wood. South African Journal of Science. 101 (3):139-142. </w:t>
      </w:r>
    </w:p>
    <w:p w14:paraId="31D6F46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en-US"/>
        </w:rPr>
      </w:pPr>
      <w:r>
        <w:rPr>
          <w:rFonts w:ascii="Book Antiqua" w:hAnsi="Book Antiqua" w:cs="Times New Roman"/>
          <w:color w:val="000000" w:themeColor="text1"/>
          <w:sz w:val="24"/>
          <w:szCs w:val="24"/>
          <w:lang w:val="en-US"/>
        </w:rPr>
        <w:t xml:space="preserve">Retief, E., McLeod, A., Fourie, P. H. (2006): Potential inoculum sources of </w:t>
      </w:r>
      <w:r>
        <w:rPr>
          <w:rFonts w:ascii="Book Antiqua" w:hAnsi="Book Antiqua" w:cs="Times New Roman"/>
          <w:i/>
          <w:iCs/>
          <w:color w:val="000000" w:themeColor="text1"/>
          <w:sz w:val="24"/>
          <w:szCs w:val="24"/>
          <w:lang w:val="en-US"/>
        </w:rPr>
        <w:t>Phaeomoniella chlamydospora</w:t>
      </w:r>
      <w:r>
        <w:rPr>
          <w:rFonts w:ascii="Book Antiqua" w:hAnsi="Book Antiqua" w:cs="Times New Roman"/>
          <w:color w:val="000000" w:themeColor="text1"/>
          <w:sz w:val="24"/>
          <w:szCs w:val="24"/>
          <w:lang w:val="en-US"/>
        </w:rPr>
        <w:t xml:space="preserve"> in South African grapevine nurseries.  European Journal of Plant Pathology. 115 (3): 331–339. DOI 10.1007/s10658-006-9025-4</w:t>
      </w:r>
    </w:p>
    <w:p w14:paraId="1E6B7D7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en-US"/>
        </w:rPr>
      </w:pPr>
      <w:r>
        <w:rPr>
          <w:rFonts w:ascii="Book Antiqua" w:hAnsi="Book Antiqua" w:cs="Times New Roman"/>
          <w:color w:val="000000" w:themeColor="text1"/>
          <w:sz w:val="24"/>
          <w:szCs w:val="24"/>
          <w:lang w:val="en-US"/>
        </w:rPr>
        <w:t>Reggiori, F., Aloi, C., Baleani, M., Benanchi, M., Bigot, G., Bortolotti, P., Bossio, D., Cotromino, M., Di Marco, S., Faccini, F., Freccero, A., Osti, F., Montermini, A., Nannini, R., Mugnai, L. (2014): Remedier® (</w:t>
      </w:r>
      <w:r>
        <w:rPr>
          <w:rFonts w:ascii="Book Antiqua" w:hAnsi="Book Antiqua" w:cs="Times New Roman"/>
          <w:i/>
          <w:iCs/>
          <w:color w:val="000000" w:themeColor="text1"/>
          <w:sz w:val="24"/>
          <w:szCs w:val="24"/>
          <w:lang w:val="en-US"/>
        </w:rPr>
        <w:t>Trichoderma asperellum</w:t>
      </w:r>
      <w:r>
        <w:rPr>
          <w:rFonts w:ascii="Book Antiqua" w:hAnsi="Book Antiqua" w:cs="Times New Roman"/>
          <w:color w:val="000000" w:themeColor="text1"/>
          <w:sz w:val="24"/>
          <w:szCs w:val="24"/>
          <w:lang w:val="en-US"/>
        </w:rPr>
        <w:t xml:space="preserve"> and </w:t>
      </w:r>
      <w:r>
        <w:rPr>
          <w:rFonts w:ascii="Book Antiqua" w:hAnsi="Book Antiqua" w:cs="Times New Roman"/>
          <w:i/>
          <w:iCs/>
          <w:color w:val="000000" w:themeColor="text1"/>
          <w:sz w:val="24"/>
          <w:szCs w:val="24"/>
          <w:lang w:val="en-US"/>
        </w:rPr>
        <w:t>Trichoderma gamsii</w:t>
      </w:r>
      <w:r>
        <w:rPr>
          <w:rFonts w:ascii="Book Antiqua" w:hAnsi="Book Antiqua" w:cs="Times New Roman"/>
          <w:color w:val="000000" w:themeColor="text1"/>
          <w:sz w:val="24"/>
          <w:szCs w:val="24"/>
          <w:lang w:val="en-US"/>
        </w:rPr>
        <w:t>): A new opportunity to control the esca disease complex. Four-year results of field trials in Italy. Giornate Fitopatologiche. 2: 363–372.</w:t>
      </w:r>
    </w:p>
    <w:p w14:paraId="1CBA35B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en-US"/>
        </w:rPr>
      </w:pPr>
      <w:r>
        <w:rPr>
          <w:rFonts w:ascii="Book Antiqua" w:hAnsi="Book Antiqua" w:cs="Times New Roman"/>
          <w:color w:val="000000" w:themeColor="text1"/>
          <w:sz w:val="24"/>
          <w:szCs w:val="24"/>
          <w:lang w:val="en-US"/>
        </w:rPr>
        <w:t>Robotic, V., Bosancic, R. (2007): Notes on the relationship of manifest Esca disease to vineyard slope. Phytopathologia Mediterranea. 46 (1): 124.</w:t>
      </w:r>
    </w:p>
    <w:p w14:paraId="2EAACF3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Rolshausen, P. E., Greve, L. C., Labavitch, J. M., Mahoney, N. E., Molyneux, R. J., Gubler, W. D. (2008): Pathogenesis of </w:t>
      </w:r>
      <w:r>
        <w:rPr>
          <w:rFonts w:ascii="Book Antiqua" w:hAnsi="Book Antiqua" w:cs="Times New Roman"/>
          <w:i/>
          <w:color w:val="000000" w:themeColor="text1"/>
          <w:sz w:val="24"/>
          <w:szCs w:val="24"/>
          <w:lang w:val="sr-Latn-RS"/>
        </w:rPr>
        <w:t>Eutypa lata</w:t>
      </w:r>
      <w:r>
        <w:rPr>
          <w:rFonts w:ascii="Book Antiqua" w:hAnsi="Book Antiqua" w:cs="Times New Roman"/>
          <w:color w:val="000000" w:themeColor="text1"/>
          <w:sz w:val="24"/>
          <w:szCs w:val="24"/>
          <w:lang w:val="sr-Latn-RS"/>
        </w:rPr>
        <w:t xml:space="preserve"> in grapevine: Identification of </w:t>
      </w:r>
      <w:r>
        <w:rPr>
          <w:rFonts w:ascii="Book Antiqua" w:hAnsi="Book Antiqua" w:cs="Times New Roman"/>
          <w:color w:val="000000" w:themeColor="text1"/>
          <w:sz w:val="24"/>
          <w:szCs w:val="24"/>
          <w:lang w:val="sr-Latn-RS"/>
        </w:rPr>
        <w:lastRenderedPageBreak/>
        <w:t>virulence factors and biochemical characterization of cordon dieback. Phytopathology. 98 (2): 222–229. DOI: 10.1094/PHYTO-98-2-0222</w:t>
      </w:r>
    </w:p>
    <w:p w14:paraId="69DC843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Rolshausen, P. E., Úrbez-Torres, J. R., Rooney-Latham, S., Eskalen, A., Smith, R. J., Gubler, W. D. (2010): Evaluation of pruning wound susceptibility and protection against fungi associated with grapevine trunk diseases. American Journal of Enology and Viticulture. 61: 113–119. DOI: 10.5344/ajev.2010.61.1.113</w:t>
      </w:r>
    </w:p>
    <w:p w14:paraId="4BC908E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Romanazzi, G., Murolo, S., Pizzichini, L., Nardi, S. (2009): Esca in young and mature vineyards, and molecular diagnosis of the associated fungi. European Journal of Plant Pathology. 125 (2): 277–290. DOI: 10.1007/s10658-009-9481-8</w:t>
      </w:r>
    </w:p>
    <w:p w14:paraId="7A672E0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Rosace, M.C., Legler, S.E., Salotti, I., Rossi, V. (2023): Susceptibility of pruning wounds to grapevine trunk diseases: A quantitative analysis of literature data. Frontiers in Plant Science. 14:1063932. DOI:10.3389/fpls.2023.1063932</w:t>
      </w:r>
    </w:p>
    <w:p w14:paraId="635CBD0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Romeo-Oliván, A., Pagès, M., Breton, C., Lagarde, F., Cros, H., Yobrégat, O., Violleau, F., Jacques, A. (2022): Ozone dissolved in water: An innovative tool for the production of young plants in grapevine nurseries? Ozone: Science &amp; Engineering. 44 (6): 521–535. </w:t>
      </w:r>
      <w:r>
        <w:rPr>
          <w:rFonts w:ascii="Book Antiqua" w:hAnsi="Book Antiqua"/>
          <w:color w:val="000000" w:themeColor="text1"/>
          <w:sz w:val="24"/>
          <w:szCs w:val="24"/>
        </w:rPr>
        <w:t xml:space="preserve">DOI: </w:t>
      </w:r>
      <w:r>
        <w:rPr>
          <w:rFonts w:ascii="Book Antiqua" w:hAnsi="Book Antiqua" w:cs="Times New Roman"/>
          <w:color w:val="000000" w:themeColor="text1"/>
          <w:sz w:val="24"/>
          <w:szCs w:val="24"/>
          <w:lang w:val="sr-Latn-RS"/>
        </w:rPr>
        <w:t>10.1080/01919512.2021.1984203.</w:t>
      </w:r>
    </w:p>
    <w:p w14:paraId="77CC4EF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Rooney – Latham, S., Eskalen, A., Gubler, W. D. (2005): Occurrence of </w:t>
      </w:r>
      <w:r>
        <w:rPr>
          <w:rFonts w:ascii="Book Antiqua" w:hAnsi="Book Antiqua" w:cs="Times New Roman"/>
          <w:i/>
          <w:iCs/>
          <w:color w:val="000000" w:themeColor="text1"/>
          <w:sz w:val="24"/>
          <w:szCs w:val="24"/>
          <w:lang w:val="sr-Latn-RS"/>
        </w:rPr>
        <w:t>Togninia minima</w:t>
      </w:r>
      <w:r>
        <w:rPr>
          <w:rFonts w:ascii="Book Antiqua" w:hAnsi="Book Antiqua" w:cs="Times New Roman"/>
          <w:color w:val="000000" w:themeColor="text1"/>
          <w:sz w:val="24"/>
          <w:szCs w:val="24"/>
          <w:lang w:val="sr-Latn-RS"/>
        </w:rPr>
        <w:t xml:space="preserve"> perithecia in esca-affected vineyards in California. Plant Disease. 89 (8): 867-871. DOI:10.1094/pd-89-0867</w:t>
      </w:r>
    </w:p>
    <w:p w14:paraId="73FD637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Rooney – Latham, S., Eskalen, A., Gubler, W. D. (2005): Ascospore release of </w:t>
      </w:r>
      <w:r>
        <w:rPr>
          <w:rFonts w:ascii="Book Antiqua" w:hAnsi="Book Antiqua" w:cs="Times New Roman"/>
          <w:i/>
          <w:iCs/>
          <w:color w:val="000000" w:themeColor="text1"/>
          <w:sz w:val="24"/>
          <w:szCs w:val="24"/>
          <w:lang w:val="sr-Latn-RS"/>
        </w:rPr>
        <w:t>Togninia minima</w:t>
      </w:r>
      <w:r>
        <w:rPr>
          <w:rFonts w:ascii="Book Antiqua" w:hAnsi="Book Antiqua" w:cs="Times New Roman"/>
          <w:color w:val="000000" w:themeColor="text1"/>
          <w:sz w:val="24"/>
          <w:szCs w:val="24"/>
          <w:lang w:val="sr-Latn-RS"/>
        </w:rPr>
        <w:t>, cause of esca and grapevine decline in California. Planth Health Progress. 6 (1): 1-6. DOI:10.1094/PHP-2005-0209-01-RS</w:t>
      </w:r>
    </w:p>
    <w:p w14:paraId="5ADEC0F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Rumbos, I. C. (2003): Young grapevine decline” associated with defected propagated material. IOBC/wprs Bulletin. 26 (8-1): 45-47. </w:t>
      </w:r>
    </w:p>
    <w:p w14:paraId="2E9EE9F4"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Russi, A., Almança, M. A. K., Grohs, D. S., Schwambach, J. (2020): Biocontrol of black foot disease on grapevine rootstocks using </w:t>
      </w:r>
      <w:r>
        <w:rPr>
          <w:rFonts w:ascii="Book Antiqua" w:hAnsi="Book Antiqua" w:cs="Times New Roman"/>
          <w:i/>
          <w:iCs/>
          <w:color w:val="000000" w:themeColor="text1"/>
          <w:sz w:val="24"/>
          <w:szCs w:val="24"/>
          <w:lang w:val="sr-Latn-RS"/>
        </w:rPr>
        <w:t>Bacillus subtilis</w:t>
      </w:r>
      <w:r>
        <w:rPr>
          <w:rFonts w:ascii="Book Antiqua" w:hAnsi="Book Antiqua" w:cs="Times New Roman"/>
          <w:color w:val="000000" w:themeColor="text1"/>
          <w:sz w:val="24"/>
          <w:szCs w:val="24"/>
          <w:lang w:val="sr-Latn-RS"/>
        </w:rPr>
        <w:t xml:space="preserve"> strain F62. Tropical Plant Pathology. 45, 103–111. DOI: 10.1590/0001-376520222021086</w:t>
      </w:r>
    </w:p>
    <w:p w14:paraId="2181FE0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rPr>
        <w:t xml:space="preserve">Sánchez-Torres, P., Hinarejos, R., González, V., Tuset, J. J. (2008): Identification and characterization of fungi associated  with  esca  in  vineyards  of  the  Comunidada  Valencia  (Spain). Spanish  Journal  of  Agricultural  Research. 6 (4): 650–660. </w:t>
      </w:r>
      <w:r>
        <w:rPr>
          <w:rFonts w:ascii="Book Antiqua" w:hAnsi="Book Antiqua" w:cs="Times New Roman"/>
          <w:sz w:val="24"/>
          <w:szCs w:val="24"/>
        </w:rPr>
        <w:t>DOI:</w:t>
      </w:r>
      <w:r>
        <w:t xml:space="preserve"> </w:t>
      </w:r>
      <w:hyperlink r:id="rId88" w:history="1">
        <w:r>
          <w:rPr>
            <w:rStyle w:val="Hyperlink"/>
            <w:rFonts w:ascii="Book Antiqua" w:hAnsi="Book Antiqua" w:cs="Times New Roman"/>
            <w:color w:val="auto"/>
            <w:sz w:val="24"/>
            <w:szCs w:val="24"/>
            <w:u w:val="none"/>
          </w:rPr>
          <w:t>10.5424/sjar/2008064-357</w:t>
        </w:r>
      </w:hyperlink>
    </w:p>
    <w:p w14:paraId="12FAF17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Sánchez-Hernández, E., Langa-Lomba, N., González-García, V., Casanova-Gascón, J., Martín-Gil, J., Santiago-Aliste, A., Torres Sanches, S., Martin Ramos, P. (2022): Lignin–Chitosan nanocarriers for the delivery of bioactive natural products against wood-decay phytopathogens. Agronomy. 12 (2): 461. DOI: 10.3390/agronomy12020461</w:t>
      </w:r>
    </w:p>
    <w:p w14:paraId="400F22E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Salifu, R., Chen, C., Sam, F. E., Jiang, Y. (2022): Application of elicitors in grapevine defense: Impact on volatile compounds. Horticulturae. 8 (5): 451. DOI: 10.3390/horticulturae8050451</w:t>
      </w:r>
    </w:p>
    <w:p w14:paraId="1FBBA1C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Saha, S., Pharate, S., Thosar, R. U., Chavan, V. (2023). Compatibility of </w:t>
      </w:r>
      <w:r>
        <w:rPr>
          <w:rFonts w:ascii="Book Antiqua" w:hAnsi="Book Antiqua" w:cs="Times New Roman"/>
          <w:i/>
          <w:iCs/>
          <w:color w:val="000000" w:themeColor="text1"/>
          <w:sz w:val="24"/>
          <w:szCs w:val="24"/>
          <w:lang w:val="sr-Latn-RS"/>
        </w:rPr>
        <w:t>Trichoderma asperelloides</w:t>
      </w:r>
      <w:r>
        <w:rPr>
          <w:rFonts w:ascii="Book Antiqua" w:hAnsi="Book Antiqua" w:cs="Times New Roman"/>
          <w:color w:val="000000" w:themeColor="text1"/>
          <w:sz w:val="24"/>
          <w:szCs w:val="24"/>
          <w:lang w:val="sr-Latn-RS"/>
        </w:rPr>
        <w:t xml:space="preserve"> with fungicides controlling downy mildew and powdery mildew in grapes. Grape Insight. 1 (1): 32-36. DOI:</w:t>
      </w:r>
      <w:r>
        <w:t xml:space="preserve"> </w:t>
      </w:r>
      <w:hyperlink r:id="rId89" w:history="1">
        <w:r>
          <w:rPr>
            <w:rStyle w:val="Hyperlink"/>
            <w:rFonts w:ascii="Book Antiqua" w:hAnsi="Book Antiqua" w:cs="Times New Roman"/>
            <w:color w:val="auto"/>
            <w:sz w:val="24"/>
            <w:szCs w:val="24"/>
            <w:u w:val="none"/>
          </w:rPr>
          <w:t>10.59904/gi.v1.i1.2023.9</w:t>
        </w:r>
      </w:hyperlink>
    </w:p>
    <w:p w14:paraId="7C396A2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Savocchia S., Ayres, M., Billones-Baaijens, R., Sosnowski, M.R. (2014): Remedial surgery for the management of </w:t>
      </w:r>
      <w:r>
        <w:rPr>
          <w:rFonts w:ascii="Book Antiqua" w:hAnsi="Book Antiqua" w:cs="Times New Roman"/>
          <w:i/>
          <w:color w:val="000000" w:themeColor="text1"/>
          <w:sz w:val="24"/>
          <w:szCs w:val="24"/>
          <w:lang w:val="sr-Latn-RS"/>
        </w:rPr>
        <w:t>Botryosphaeria dieback</w:t>
      </w:r>
      <w:r>
        <w:rPr>
          <w:rFonts w:ascii="Book Antiqua" w:hAnsi="Book Antiqua" w:cs="Times New Roman"/>
          <w:color w:val="000000" w:themeColor="text1"/>
          <w:sz w:val="24"/>
          <w:szCs w:val="24"/>
          <w:lang w:val="sr-Latn-RS"/>
        </w:rPr>
        <w:t xml:space="preserve"> in grapevines. Phytopathologia Mediterranea. 53: 587-588</w:t>
      </w:r>
    </w:p>
    <w:p w14:paraId="41A9B8A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Savić, S. (2010): Autohtone sorte vinove loze u Crnoj Gori. Matica Crnogorska. 43: 453-480</w:t>
      </w:r>
    </w:p>
    <w:p w14:paraId="271E9758" w14:textId="77777777" w:rsidR="003801E8" w:rsidRDefault="00E44AAE">
      <w:pPr>
        <w:tabs>
          <w:tab w:val="left" w:pos="3315"/>
        </w:tabs>
        <w:spacing w:line="360" w:lineRule="auto"/>
        <w:jc w:val="both"/>
      </w:pPr>
      <w:r>
        <w:rPr>
          <w:rFonts w:ascii="Book Antiqua" w:hAnsi="Book Antiqua" w:cs="Times New Roman"/>
          <w:color w:val="000000" w:themeColor="text1"/>
          <w:sz w:val="24"/>
          <w:szCs w:val="24"/>
          <w:lang w:val="sr-Latn-RS"/>
        </w:rPr>
        <w:t xml:space="preserve">Serra S., Mannoni,  M. A., Ligios, V. (2008): Studies on the susceptibility of pruning wounds to infection by fungi in-volved in grapevine wood diseases in Italy. Phytopathologia Mediterranea. 47 (3): 234–246. </w:t>
      </w:r>
      <w:hyperlink r:id="rId90" w:history="1">
        <w:r>
          <w:rPr>
            <w:rStyle w:val="Hyperlink"/>
            <w:rFonts w:ascii="Book Antiqua" w:hAnsi="Book Antiqua" w:cs="Times New Roman"/>
            <w:color w:val="000000" w:themeColor="text1"/>
            <w:sz w:val="24"/>
            <w:szCs w:val="24"/>
            <w:u w:val="none"/>
            <w:lang w:val="sr-Latn-RS"/>
          </w:rPr>
          <w:t>DOI: 10.14601/Phy-topathol_Mediterr-2727</w:t>
        </w:r>
      </w:hyperlink>
    </w:p>
    <w:p w14:paraId="5BA0E448" w14:textId="77777777" w:rsidR="003801E8" w:rsidRDefault="00E44AAE">
      <w:pPr>
        <w:tabs>
          <w:tab w:val="left" w:pos="3315"/>
        </w:tabs>
        <w:spacing w:line="360" w:lineRule="auto"/>
        <w:jc w:val="both"/>
        <w:rPr>
          <w:rFonts w:ascii="Book Antiqua" w:hAnsi="Book Antiqua" w:cs="Times New Roman"/>
          <w:color w:val="EE0000"/>
          <w:sz w:val="24"/>
          <w:szCs w:val="24"/>
        </w:rPr>
      </w:pPr>
      <w:r>
        <w:rPr>
          <w:rFonts w:ascii="Book Antiqua" w:hAnsi="Book Antiqua" w:cs="Times New Roman"/>
          <w:sz w:val="24"/>
          <w:szCs w:val="24"/>
        </w:rPr>
        <w:lastRenderedPageBreak/>
        <w:t>Serra, S., Ligios, V., Schianchi, N., Prota, V.A., Scanu, B. (2018): Expression of grapevine leaf stripe disease foliar symptoms in four cultivars in relation to grapevine phenology and climatic conditions. Phytopathologia Mediterranea. 57 (3): 557–568. DOI: 10.14601/Phytopathol_Mediterr-24088</w:t>
      </w:r>
      <w:r>
        <w:rPr>
          <w:rFonts w:ascii="Book Antiqua" w:hAnsi="Book Antiqua" w:cs="Times New Roman"/>
          <w:color w:val="EE0000"/>
          <w:sz w:val="24"/>
          <w:szCs w:val="24"/>
        </w:rPr>
        <w:t>.</w:t>
      </w:r>
    </w:p>
    <w:p w14:paraId="46628BC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Songy A., Fernandez O., Clément C., Larignon P., Fontaine F. (2019): Grapevine trunk diseases under thermal and water stresses. Planta. 249 (6): 1655–1679. DOI: 10.1007/s00425-019-03111-8</w:t>
      </w:r>
    </w:p>
    <w:p w14:paraId="4D99212B" w14:textId="77777777" w:rsidR="003801E8" w:rsidRPr="006913EB" w:rsidRDefault="00E44AAE">
      <w:pPr>
        <w:tabs>
          <w:tab w:val="left" w:pos="3315"/>
        </w:tabs>
        <w:spacing w:line="360" w:lineRule="auto"/>
        <w:jc w:val="both"/>
        <w:rPr>
          <w:rStyle w:val="Hyperlink"/>
          <w:rFonts w:ascii="Book Antiqua" w:hAnsi="Book Antiqua" w:cs="Times New Roman"/>
          <w:color w:val="auto"/>
          <w:sz w:val="24"/>
          <w:szCs w:val="24"/>
          <w:u w:val="none"/>
        </w:rPr>
      </w:pPr>
      <w:r>
        <w:rPr>
          <w:rFonts w:ascii="Book Antiqua" w:hAnsi="Book Antiqua" w:cs="Times New Roman"/>
          <w:color w:val="000000" w:themeColor="text1"/>
          <w:sz w:val="24"/>
          <w:szCs w:val="24"/>
        </w:rPr>
        <w:t xml:space="preserve">Sofia, J., Gonçalves, T., Oliveira, H. (2006): Spatial distribution of esca symptomatic plants in Dão vineyards (Centre Portugal)  and  isolation  of  associated  fungi. Phytopathologia Mediterranea. 45, 87–92. </w:t>
      </w:r>
      <w:r>
        <w:rPr>
          <w:rFonts w:ascii="Book Antiqua" w:hAnsi="Book Antiqua" w:cs="Times New Roman"/>
          <w:sz w:val="24"/>
          <w:szCs w:val="24"/>
        </w:rPr>
        <w:t>DOI:</w:t>
      </w:r>
      <w:hyperlink r:id="rId91" w:tgtFrame="_blank" w:history="1">
        <w:r>
          <w:rPr>
            <w:rStyle w:val="Hyperlink"/>
            <w:rFonts w:ascii="Book Antiqua" w:hAnsi="Book Antiqua" w:cs="Times New Roman"/>
            <w:color w:val="auto"/>
            <w:sz w:val="24"/>
            <w:szCs w:val="24"/>
            <w:u w:val="none"/>
          </w:rPr>
          <w:t>10.14601/Phytopathol_Mediterr-1842</w:t>
        </w:r>
      </w:hyperlink>
    </w:p>
    <w:p w14:paraId="069A3A3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Sofia, J., Nascimento, T., Goncalves, M.T., Rego, C. (2013): Contribution for a better understanding of grapevine fungal trunk diseases in the Portuguese Dao wine region. Phytopatologia Mediterranea. 52 (2): 324-334. DOI: 10.14601/Phytopathol_Mediterr-11740</w:t>
      </w:r>
    </w:p>
    <w:p w14:paraId="65B8811C"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Sofia, J. (2018): Esca complex in the Dao Wine region (Portugal). Doctoral thesis. Universidade de Coimbra. 122</w:t>
      </w:r>
    </w:p>
    <w:p w14:paraId="723DF84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Sofia, J., Mota, M., Goncalves, M. T., Rego, C. (2018): Response of four Portuguese grapevine cultivars to infection by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Phytopathologia Mediterranea. 57 (3): 506-518. DOI: 10.14601/Phytopathol_Mediterr-23485</w:t>
      </w:r>
    </w:p>
    <w:p w14:paraId="4E6B4F6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Schoch, C. L., Ciufo, S., Domrachev, M., Hotton, C. L., Kannan, S., Khovanskaya, R., Leipe, D., Mcveigh, R., O’Neill, K., Robbertse, B., Sharma, S., Soussov, V., Sullivan, J. P., Sun, L., Turner, S., Karsch-Mizrachi, I. (2020): NCBI Taxonomy: a com-prehensive update on curation, resources and tools.  Database (Oxford). </w:t>
      </w:r>
      <w:r>
        <w:rPr>
          <w:rFonts w:ascii="Book Antiqua" w:hAnsi="Book Antiqua" w:cs="Times New Roman"/>
          <w:color w:val="000000" w:themeColor="text1"/>
          <w:sz w:val="24"/>
          <w:szCs w:val="24"/>
        </w:rPr>
        <w:t xml:space="preserve"> 1:2020:baaa062. </w:t>
      </w:r>
      <w:r>
        <w:rPr>
          <w:rFonts w:ascii="Book Antiqua" w:hAnsi="Book Antiqua" w:cs="Times New Roman"/>
          <w:color w:val="000000" w:themeColor="text1"/>
          <w:sz w:val="24"/>
          <w:szCs w:val="24"/>
          <w:lang w:val="sr-Latn-RS"/>
        </w:rPr>
        <w:t xml:space="preserve">DOI: 10.1093/database/baaa062 </w:t>
      </w:r>
    </w:p>
    <w:p w14:paraId="05D11914"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Schmidt, O., Gaiser, O., Dujesiefken, D. (2012): Molecular identification of decay fungi in the wood of urban trees. European Journal of Forest Research. 131: 885– 891. DOI 10.1007/s10342-011-0562-9</w:t>
      </w:r>
    </w:p>
    <w:p w14:paraId="41BBC9C4"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Silva-Valderama, I., Toapanta, D., de los Angeles Micono, M., Lolas, M., Diaz, G.A., Cantu, D., Castro, A. (2021): Biocontrol potentional of grapevine endophytic and rhizospheric fungi against trunk pathogens. Frontiers in Microbiology. 11:614620. DOI:10.3389/fmicb.2020.614620</w:t>
      </w:r>
    </w:p>
    <w:p w14:paraId="5C383234"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Siebert J. B. (2001): </w:t>
      </w:r>
      <w:r>
        <w:rPr>
          <w:rFonts w:ascii="Book Antiqua" w:hAnsi="Book Antiqua" w:cs="Times New Roman"/>
          <w:i/>
          <w:color w:val="000000" w:themeColor="text1"/>
          <w:sz w:val="24"/>
          <w:szCs w:val="24"/>
          <w:lang w:val="sr-Latn-RS"/>
        </w:rPr>
        <w:t>Eutypa</w:t>
      </w:r>
      <w:r>
        <w:rPr>
          <w:rFonts w:ascii="Book Antiqua" w:hAnsi="Book Antiqua" w:cs="Times New Roman"/>
          <w:color w:val="000000" w:themeColor="text1"/>
          <w:sz w:val="24"/>
          <w:szCs w:val="24"/>
          <w:lang w:val="sr-Latn-RS"/>
        </w:rPr>
        <w:t>: The economic toll on vineyards. Wines &amp; Vines. 82 (4): 50-56.</w:t>
      </w:r>
    </w:p>
    <w:p w14:paraId="72EAD21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Surico, G., Marchi, G., Bracini, P.,  Mugnai, L. (2000): Epidemiology of Esca in some vineyards in Tuscany (Italy). Phytopathologia Mediterranea. 39 (1): 190-205. DOI: 10.14601/ Phytopathol_Mediterr-1536</w:t>
      </w:r>
    </w:p>
    <w:p w14:paraId="358B07C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Surico, G., Mugani, L., Marchi G. (2006): Older and more recent observations on esca: a critical overview. Phytopatholgia Mediterranea. 45, S68–S86. DOI: 10.14601/Phytopathol_Mediterr-1847</w:t>
      </w:r>
    </w:p>
    <w:p w14:paraId="31B689D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Sundram, S. (2013): First report: Isolation of endophytic trichoderma from oil palm (</w:t>
      </w:r>
      <w:r>
        <w:rPr>
          <w:rFonts w:ascii="Book Antiqua" w:hAnsi="Book Antiqua" w:cs="Times New Roman"/>
          <w:i/>
          <w:iCs/>
          <w:color w:val="000000" w:themeColor="text1"/>
          <w:sz w:val="24"/>
          <w:szCs w:val="24"/>
          <w:lang w:val="sr-Latn-RS"/>
        </w:rPr>
        <w:t>Elaeis guineensis</w:t>
      </w:r>
      <w:r>
        <w:rPr>
          <w:rFonts w:ascii="Book Antiqua" w:hAnsi="Book Antiqua" w:cs="Times New Roman"/>
          <w:color w:val="000000" w:themeColor="text1"/>
          <w:sz w:val="24"/>
          <w:szCs w:val="24"/>
          <w:lang w:val="sr-Latn-RS"/>
        </w:rPr>
        <w:t xml:space="preserve"> Jacq.) and their in vitro antagonistic assessment on </w:t>
      </w:r>
      <w:r>
        <w:rPr>
          <w:rFonts w:ascii="Book Antiqua" w:hAnsi="Book Antiqua" w:cs="Times New Roman"/>
          <w:i/>
          <w:iCs/>
          <w:color w:val="000000" w:themeColor="text1"/>
          <w:sz w:val="24"/>
          <w:szCs w:val="24"/>
          <w:lang w:val="sr-Latn-RS"/>
        </w:rPr>
        <w:t>Ganoderma boninense</w:t>
      </w:r>
      <w:r>
        <w:rPr>
          <w:rFonts w:ascii="Book Antiqua" w:hAnsi="Book Antiqua" w:cs="Times New Roman"/>
          <w:color w:val="000000" w:themeColor="text1"/>
          <w:sz w:val="24"/>
          <w:szCs w:val="24"/>
          <w:lang w:val="sr-Latn-RS"/>
        </w:rPr>
        <w:t xml:space="preserve">. Journal of Oil Palm Research. 25 (253): 368-372. </w:t>
      </w:r>
    </w:p>
    <w:p w14:paraId="42D3563F" w14:textId="77777777" w:rsidR="003801E8" w:rsidRDefault="00E44AAE">
      <w:pPr>
        <w:tabs>
          <w:tab w:val="left" w:pos="3315"/>
        </w:tabs>
        <w:spacing w:line="360" w:lineRule="auto"/>
        <w:jc w:val="both"/>
        <w:rPr>
          <w:rStyle w:val="Hyperlink"/>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Sosnowski, M. R., Lardner, R., Wicks, T. J., Scott, E. S. (2007): The influence of grapevine cultivar and isolate of </w:t>
      </w:r>
      <w:r>
        <w:rPr>
          <w:rFonts w:ascii="Book Antiqua" w:hAnsi="Book Antiqua" w:cs="Times New Roman"/>
          <w:i/>
          <w:color w:val="000000" w:themeColor="text1"/>
          <w:sz w:val="24"/>
          <w:szCs w:val="24"/>
          <w:lang w:val="sr-Latn-RS"/>
        </w:rPr>
        <w:t>Eutypa lata</w:t>
      </w:r>
      <w:r>
        <w:rPr>
          <w:rFonts w:ascii="Book Antiqua" w:hAnsi="Book Antiqua" w:cs="Times New Roman"/>
          <w:color w:val="000000" w:themeColor="text1"/>
          <w:sz w:val="24"/>
          <w:szCs w:val="24"/>
          <w:lang w:val="sr-Latn-RS"/>
        </w:rPr>
        <w:t xml:space="preserve"> on wood and foliar symptoms. Plant Disease. 91 (8): 924– 931. DOI: </w:t>
      </w:r>
      <w:hyperlink r:id="rId92" w:history="1">
        <w:r>
          <w:rPr>
            <w:rStyle w:val="Hyperlink"/>
            <w:rFonts w:ascii="Book Antiqua" w:hAnsi="Book Antiqua" w:cs="Times New Roman"/>
            <w:color w:val="000000" w:themeColor="text1"/>
            <w:sz w:val="24"/>
            <w:szCs w:val="24"/>
            <w:u w:val="none"/>
            <w:lang w:val="sr-Latn-RS"/>
          </w:rPr>
          <w:t>10.1094/Pdis-91-8-0924</w:t>
        </w:r>
      </w:hyperlink>
    </w:p>
    <w:p w14:paraId="40A097DD" w14:textId="77777777" w:rsidR="003801E8" w:rsidRDefault="00E44AAE">
      <w:pPr>
        <w:tabs>
          <w:tab w:val="left" w:pos="3315"/>
        </w:tabs>
        <w:spacing w:line="360" w:lineRule="auto"/>
        <w:jc w:val="both"/>
        <w:rPr>
          <w:rStyle w:val="Hyperlink"/>
          <w:rFonts w:ascii="Book Antiqua" w:hAnsi="Book Antiqua" w:cs="Times New Roman"/>
          <w:color w:val="000000" w:themeColor="text1"/>
          <w:sz w:val="24"/>
          <w:szCs w:val="24"/>
          <w:u w:val="none"/>
          <w:lang w:val="sr-Latn-RS"/>
        </w:rPr>
      </w:pPr>
      <w:r>
        <w:rPr>
          <w:rStyle w:val="Hyperlink"/>
          <w:rFonts w:ascii="Book Antiqua" w:hAnsi="Book Antiqua" w:cs="Times New Roman"/>
          <w:color w:val="000000" w:themeColor="text1"/>
          <w:sz w:val="24"/>
          <w:szCs w:val="24"/>
          <w:u w:val="none"/>
          <w:lang w:val="sr-Latn-RS"/>
        </w:rPr>
        <w:t xml:space="preserve">Sosnowski, M. R., Creaser, M. L., Wicks, T. J., Lardner, R., Scott, E. S. (2008): Protection of grapevine pruning wounds from infection by </w:t>
      </w:r>
      <w:r>
        <w:rPr>
          <w:rStyle w:val="Hyperlink"/>
          <w:rFonts w:ascii="Book Antiqua" w:hAnsi="Book Antiqua" w:cs="Times New Roman"/>
          <w:i/>
          <w:color w:val="000000" w:themeColor="text1"/>
          <w:sz w:val="24"/>
          <w:szCs w:val="24"/>
          <w:u w:val="none"/>
          <w:lang w:val="sr-Latn-RS"/>
        </w:rPr>
        <w:t>Eutypa lata</w:t>
      </w:r>
      <w:r>
        <w:rPr>
          <w:rStyle w:val="Hyperlink"/>
          <w:rFonts w:ascii="Book Antiqua" w:hAnsi="Book Antiqua" w:cs="Times New Roman"/>
          <w:color w:val="000000" w:themeColor="text1"/>
          <w:sz w:val="24"/>
          <w:szCs w:val="24"/>
          <w:u w:val="none"/>
          <w:lang w:val="sr-Latn-RS"/>
        </w:rPr>
        <w:t>. Australian Journal of Grape and Wine Research. 14 (2): 134-142. DOI:10.1111/j.1755-0238.2008.00015.x Crossref</w:t>
      </w:r>
    </w:p>
    <w:p w14:paraId="6BEEBF1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Sosnowski, M., Mc Carthy, G. (2017): Economic impact of grapevine trunk disease management in Sauvignon Blanc vineyards of New Zealand. Wine &amp; Viticulture Journal. 32:42-48.</w:t>
      </w:r>
    </w:p>
    <w:p w14:paraId="4126C6D4"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Sparapano L., Bruno G., Ciccarone C., Graniti A. (2000): Infection of grapevines by some fungi associated with esca. I. </w:t>
      </w:r>
      <w:r>
        <w:rPr>
          <w:rFonts w:ascii="Book Antiqua" w:hAnsi="Book Antiqua" w:cs="Times New Roman"/>
          <w:i/>
          <w:color w:val="000000" w:themeColor="text1"/>
          <w:sz w:val="24"/>
          <w:szCs w:val="24"/>
          <w:lang w:val="sr-Latn-RS"/>
        </w:rPr>
        <w:t>Fomitiporia punctata</w:t>
      </w:r>
      <w:r>
        <w:rPr>
          <w:rFonts w:ascii="Book Antiqua" w:hAnsi="Book Antiqua" w:cs="Times New Roman"/>
          <w:color w:val="000000" w:themeColor="text1"/>
          <w:sz w:val="24"/>
          <w:szCs w:val="24"/>
          <w:lang w:val="sr-Latn-RS"/>
        </w:rPr>
        <w:t xml:space="preserve"> as a wood-rot inducer. Phytopathologia Mediterranea. 39 (1): 46–52. DOI: 10.14601/Phytopathol_Mediterr-1542</w:t>
      </w:r>
    </w:p>
    <w:p w14:paraId="07A6804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Sparapano L., Bruno G., Ciccarone C., Graniti A. (2000): Infection of grapevines by some fungi associated with esca. II. Interaction among </w:t>
      </w:r>
      <w:r>
        <w:rPr>
          <w:rFonts w:ascii="Book Antiqua" w:hAnsi="Book Antiqua" w:cs="Times New Roman"/>
          <w:i/>
          <w:color w:val="000000" w:themeColor="text1"/>
          <w:sz w:val="24"/>
          <w:szCs w:val="24"/>
          <w:lang w:val="sr-Latn-RS"/>
        </w:rPr>
        <w:t>Phaeoacremonium chlamydosporum</w:t>
      </w:r>
      <w:r>
        <w:rPr>
          <w:rFonts w:ascii="Book Antiqua" w:hAnsi="Book Antiqua" w:cs="Times New Roman"/>
          <w:color w:val="000000" w:themeColor="text1"/>
          <w:sz w:val="24"/>
          <w:szCs w:val="24"/>
          <w:lang w:val="sr-Latn-RS"/>
        </w:rPr>
        <w:t xml:space="preserve">, </w:t>
      </w:r>
      <w:r>
        <w:rPr>
          <w:rFonts w:ascii="Book Antiqua" w:hAnsi="Book Antiqua" w:cs="Times New Roman"/>
          <w:bCs/>
          <w:i/>
          <w:iCs/>
          <w:color w:val="000000" w:themeColor="text1"/>
          <w:sz w:val="24"/>
          <w:szCs w:val="24"/>
          <w:lang w:val="sr-Latn-RS"/>
        </w:rPr>
        <w:t>P. aleophilum</w:t>
      </w:r>
      <w:r>
        <w:rPr>
          <w:rFonts w:ascii="Book Antiqua" w:hAnsi="Book Antiqua" w:cs="Times New Roman"/>
          <w:color w:val="000000" w:themeColor="text1"/>
          <w:sz w:val="24"/>
          <w:szCs w:val="24"/>
          <w:lang w:val="sr-Latn-RS"/>
        </w:rPr>
        <w:t xml:space="preserve"> and </w:t>
      </w:r>
      <w:r>
        <w:rPr>
          <w:rFonts w:ascii="Book Antiqua" w:hAnsi="Book Antiqua" w:cs="Times New Roman"/>
          <w:i/>
          <w:color w:val="000000" w:themeColor="text1"/>
          <w:sz w:val="24"/>
          <w:szCs w:val="24"/>
          <w:lang w:val="sr-Latn-RS"/>
        </w:rPr>
        <w:t>Fomitiporia punctata</w:t>
      </w:r>
      <w:r>
        <w:rPr>
          <w:rFonts w:ascii="Book Antiqua" w:hAnsi="Book Antiqua" w:cs="Times New Roman"/>
          <w:color w:val="000000" w:themeColor="text1"/>
          <w:sz w:val="24"/>
          <w:szCs w:val="24"/>
          <w:lang w:val="sr-Latn-RS"/>
        </w:rPr>
        <w:t xml:space="preserve">. Phytopathologia Mediterranea 39: 53–58. </w:t>
      </w:r>
    </w:p>
    <w:p w14:paraId="199394F6"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Sparapano, L., G. Bruno, Graniti, A. (2001): Three-year observation of grapevines cross-inoculated with escaassociated fungi. Phytopathologia Mediterranea. 40, Supplement, S376–S386. DOI: 10.14601/Phytopathol_Mediterr-1643</w:t>
      </w:r>
    </w:p>
    <w:p w14:paraId="4DC6563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Srobarova, A., Kakalikova, L. (2007): Fungal disease of grapevines. The European Journal of Plant Science and Biotechnology. 1 (1): 84-90.</w:t>
      </w:r>
    </w:p>
    <w:p w14:paraId="4CE571D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Stempien, E., Pierron, R. J. G., Adendorff, I., Van Jaarsveld, W. J., Halleen, F., Mostert, L. (2020): Host defence activation and root colonization of grapevine rootstocks by the biological control fungus </w:t>
      </w:r>
      <w:r>
        <w:rPr>
          <w:rFonts w:ascii="Book Antiqua" w:hAnsi="Book Antiqua" w:cs="Times New Roman"/>
          <w:i/>
          <w:iCs/>
          <w:color w:val="000000" w:themeColor="text1"/>
          <w:sz w:val="24"/>
          <w:szCs w:val="24"/>
          <w:lang w:val="sr-Latn-RS"/>
        </w:rPr>
        <w:t>Trichoderma atroviride.</w:t>
      </w:r>
      <w:r>
        <w:rPr>
          <w:rFonts w:ascii="Book Antiqua" w:hAnsi="Book Antiqua" w:cs="Times New Roman"/>
          <w:color w:val="000000" w:themeColor="text1"/>
          <w:sz w:val="24"/>
          <w:szCs w:val="24"/>
          <w:lang w:val="sr-Latn-RS"/>
        </w:rPr>
        <w:t xml:space="preserve"> Phytopathologia Mediterranea. 59 (3): 615-626. DOI: 10.14601/Phyto-11137</w:t>
      </w:r>
    </w:p>
    <w:p w14:paraId="194C148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Szegedi, E., Civerolo, E.L. (2011): Bacterial diseases of grapevine. International Journal of Horticultural Science. 17 (3): 45–49. DOI: 10.31421/IJHS/17/3/956</w:t>
      </w:r>
    </w:p>
    <w:p w14:paraId="16BB4779"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Tamura, K., Stecher, G., Kumar, S. (2021): MEGA11: Molecular Evolutionary Genetics Analysis Version 11. Molecular Biology Evolution. 38 (7): 3022-3027. DOI: 10.1093/molbev/msab120</w:t>
      </w:r>
    </w:p>
    <w:p w14:paraId="29B19FA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Todd, C., Garcia, J. F., Jacques, A., Cantu, D., Rolshausen, P. (2022): Tracking the fungal pathobiome associated with young grapevine decline in California nurseries. Phytopathologia Mediterranea. 61 (2): 330. DOI: 10.36253/phyto-13818</w:t>
      </w:r>
    </w:p>
    <w:p w14:paraId="1E47D54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Tey-Rulh, P., Philippe, I., Renaud, J.M., Tsoupras, G., de Angelis, P., Fallot J., Tabacchi, R. (1991): Eutypine, a phytotoxin produced by </w:t>
      </w:r>
      <w:r>
        <w:rPr>
          <w:rFonts w:ascii="Book Antiqua" w:hAnsi="Book Antiqua" w:cs="Times New Roman"/>
          <w:i/>
          <w:color w:val="000000" w:themeColor="text1"/>
          <w:sz w:val="24"/>
          <w:szCs w:val="24"/>
          <w:lang w:val="sr-Latn-RS"/>
        </w:rPr>
        <w:t>Eutypa lata</w:t>
      </w:r>
      <w:r>
        <w:rPr>
          <w:rFonts w:ascii="Book Antiqua" w:hAnsi="Book Antiqua" w:cs="Times New Roman"/>
          <w:color w:val="000000" w:themeColor="text1"/>
          <w:sz w:val="24"/>
          <w:szCs w:val="24"/>
          <w:lang w:val="sr-Latn-RS"/>
        </w:rPr>
        <w:t xml:space="preserve"> the causal agent of dying-arm disease of grapevine. Phytochemistry. 30 (2): 471–473. DOI: 10.1016/0031-9422(91)83707-R   </w:t>
      </w:r>
    </w:p>
    <w:p w14:paraId="44CE541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Tegli, S., Bertelli, E., Surico, G. (2000): Sequence analysis of ITS ribosomal DNA in five </w:t>
      </w:r>
      <w:r>
        <w:rPr>
          <w:rFonts w:ascii="Book Antiqua" w:hAnsi="Book Antiqua" w:cs="Times New Roman"/>
          <w:i/>
          <w:iCs/>
          <w:color w:val="000000" w:themeColor="text1"/>
          <w:sz w:val="24"/>
          <w:szCs w:val="24"/>
          <w:lang w:val="sr-Latn-RS"/>
        </w:rPr>
        <w:t xml:space="preserve">Phaeocremonium </w:t>
      </w:r>
      <w:r>
        <w:rPr>
          <w:rFonts w:ascii="Book Antiqua" w:hAnsi="Book Antiqua" w:cs="Times New Roman"/>
          <w:color w:val="000000" w:themeColor="text1"/>
          <w:sz w:val="24"/>
          <w:szCs w:val="24"/>
          <w:lang w:val="sr-Latn-RS"/>
        </w:rPr>
        <w:t xml:space="preserve">species and development of a PCR based assay for the detection pf. </w:t>
      </w:r>
      <w:r>
        <w:rPr>
          <w:rFonts w:ascii="Book Antiqua" w:hAnsi="Book Antiqua" w:cs="Times New Roman"/>
          <w:i/>
          <w:iCs/>
          <w:color w:val="000000" w:themeColor="text1"/>
          <w:sz w:val="24"/>
          <w:szCs w:val="24"/>
          <w:lang w:val="sr-Latn-RS"/>
        </w:rPr>
        <w:t>P. chlamydosporum</w:t>
      </w:r>
      <w:r>
        <w:rPr>
          <w:rFonts w:ascii="Book Antiqua" w:hAnsi="Book Antiqua" w:cs="Times New Roman"/>
          <w:color w:val="000000" w:themeColor="text1"/>
          <w:sz w:val="24"/>
          <w:szCs w:val="24"/>
          <w:lang w:val="sr-Latn-RS"/>
        </w:rPr>
        <w:t xml:space="preserve"> and </w:t>
      </w:r>
      <w:r>
        <w:rPr>
          <w:rFonts w:ascii="Book Antiqua" w:hAnsi="Book Antiqua" w:cs="Times New Roman"/>
          <w:i/>
          <w:iCs/>
          <w:color w:val="000000" w:themeColor="text1"/>
          <w:sz w:val="24"/>
          <w:szCs w:val="24"/>
          <w:lang w:val="sr-Latn-RS"/>
        </w:rPr>
        <w:t>P. aleophilum</w:t>
      </w:r>
      <w:r>
        <w:rPr>
          <w:rFonts w:ascii="Book Antiqua" w:hAnsi="Book Antiqua" w:cs="Times New Roman"/>
          <w:color w:val="000000" w:themeColor="text1"/>
          <w:sz w:val="24"/>
          <w:szCs w:val="24"/>
          <w:lang w:val="sr-Latn-RS"/>
        </w:rPr>
        <w:t xml:space="preserve"> in grapevine tissue. Phytopathologia Mediterranea. 39 (1): 134-149. DOI:10.14601/Phytopathol_Mediterr-1555</w:t>
      </w:r>
    </w:p>
    <w:p w14:paraId="3A7DF3B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This, P., Lacombe, T., Thomas, M. R. (2006): Historical origins and genetic diversity of wine grapes. Trends in Genetics. 22 (9): 511-9. DOI:  10.1016/j.tig.2006.07.008.</w:t>
      </w:r>
    </w:p>
    <w:p w14:paraId="0CFC88A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Thibault, M. (2015): Le curetage. In: Les maladies du Bois de la Vigne - Réunion du groupe national Maladies du Bois de la Vigne. Université de Haute-Alsace, Colmar, France, 55–57.</w:t>
      </w:r>
    </w:p>
    <w:p w14:paraId="4F1262B4"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Tombesi, S., Johnson, R. S., Day, K. R., De Jong, T. M. (2010): Interactions between rootstock, inter stem and scion xylem vessel characteristics of peach trees growing on rootstocks with contrasting size controlling characteristics. AoB Plants.  2010: plq013. DOI:10.1093/aobpla/plq013</w:t>
      </w:r>
    </w:p>
    <w:p w14:paraId="0F61618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Tombesi, S., Almehdi, A., De Jong, T. M. (2011): Phenotyping vigour control capacity of new peach rootstocks by xylem vessel analysis. Scientia Horticulturae. 127 (3): 353– 357. DOI:10.1016/j.scienta.2010.11.007</w:t>
      </w:r>
    </w:p>
    <w:p w14:paraId="25E7D648"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lastRenderedPageBreak/>
        <w:t>Tramontini, S., Vitali, M., Centioni, L., Schubert, A., Lovisolo, C. (2013): Rootstock control of sci on response to water stress in grapevine. Environmental and Experimental Botany. 93, 20–26. DOI:10.1016/j.envexpbot.2013.04.001</w:t>
      </w:r>
    </w:p>
    <w:p w14:paraId="4A145841"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Segoe UI"/>
          <w:color w:val="212121"/>
          <w:sz w:val="24"/>
          <w:szCs w:val="24"/>
          <w:shd w:val="clear" w:color="auto" w:fill="FFFFFF"/>
        </w:rPr>
        <w:t>Travadon, R., Lawrence, D. P., Rooney-Lathamm, S., Gubler, W. D., Wilcox, W. F, Rolshausen, P. E., Baumgartner, K. (2015): Cadophora species associated with wood-decay of grapevine in North America. Fungal Biology. 119(1):53-66. DOI: 10.1016/j.funbio.2014.11.002</w:t>
      </w:r>
    </w:p>
    <w:p w14:paraId="098A9620"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Travadon, R., Lawrence, D. P., Moyer, M. M., Fujiyoshi, P. T., Baumgartner, K. (2022): Fungal species associated with grapevine trunk diseases in Washington wine grapes and California table grapes, with novelties in the genera Cadophora, Cytospora and Sporocadus. Frontiers of Fungal Biology. 3:1018140. DOI: 10.3389//ffunb.2022.1018140 </w:t>
      </w:r>
    </w:p>
    <w:p w14:paraId="24ADFB4E"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Trouvelot, S., Bonneau, L., Redecker, D., van Tuinen, D., Adrian, M., Wipf, D. (2015): Arbuscular mycorrhiza symbiosis in viticulture: A review. Agronomy for Sustainable Development. 35 (4): 1449–1467. DOI: 10.1007/s13593-015-0329-7</w:t>
      </w:r>
    </w:p>
    <w:p w14:paraId="418EA339"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Tsoukas, C., Tzima, A., Paplomatas, E. (2022): Grapevine rootstock and scion canes as an important inoculum source of Petri disease associted pathogens. Plant Health in Sustainable Agriculture: Hot Spots and Solution Perspectives. Book of Abstracts. Novi Sad, Serbia</w:t>
      </w:r>
    </w:p>
    <w:p w14:paraId="18188AEA"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Tsoukas, C., Stavrianos, G.,  Paplomatas, E. (2025): Resolving Diaporthe Species Diversity Associated with Grapevine Propagation Material: An Emerging Threat to Grapevine Sustainability. Microbiology Research. 16(11): 224. DOI: 10.3390/microbiolres16110224</w:t>
      </w:r>
    </w:p>
    <w:p w14:paraId="0095F83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Štuskova, K., Mondello, V., Hakalova, E., Tekielska, D., Fontaine, F., Eichmeier, A. (2023): Phenolic compounds inhibit viability and infectivity of the grapevine pathogens </w:t>
      </w:r>
      <w:r>
        <w:rPr>
          <w:rFonts w:ascii="Book Antiqua" w:hAnsi="Book Antiqua" w:cs="Times New Roman"/>
          <w:i/>
          <w:iCs/>
          <w:color w:val="000000" w:themeColor="text1"/>
          <w:sz w:val="24"/>
          <w:szCs w:val="24"/>
          <w:lang w:val="sr-Latn-RS"/>
        </w:rPr>
        <w:t>Diplodia seriata</w:t>
      </w:r>
      <w:r>
        <w:rPr>
          <w:rFonts w:ascii="Book Antiqua" w:hAnsi="Book Antiqua" w:cs="Times New Roman"/>
          <w:color w:val="000000" w:themeColor="text1"/>
          <w:sz w:val="24"/>
          <w:szCs w:val="24"/>
          <w:lang w:val="sr-Latn-RS"/>
        </w:rPr>
        <w:t xml:space="preserve">, </w:t>
      </w:r>
      <w:r>
        <w:rPr>
          <w:rFonts w:ascii="Book Antiqua" w:hAnsi="Book Antiqua" w:cs="Times New Roman"/>
          <w:i/>
          <w:iCs/>
          <w:color w:val="000000" w:themeColor="text1"/>
          <w:sz w:val="24"/>
          <w:szCs w:val="24"/>
          <w:lang w:val="sr-Latn-RS"/>
        </w:rPr>
        <w:t>Eutypa lata</w:t>
      </w:r>
      <w:r>
        <w:rPr>
          <w:rFonts w:ascii="Book Antiqua" w:hAnsi="Book Antiqua" w:cs="Times New Roman"/>
          <w:color w:val="000000" w:themeColor="text1"/>
          <w:sz w:val="24"/>
          <w:szCs w:val="24"/>
          <w:lang w:val="sr-Latn-RS"/>
        </w:rPr>
        <w:t xml:space="preserve">, </w:t>
      </w:r>
      <w:r>
        <w:rPr>
          <w:rFonts w:ascii="Book Antiqua" w:hAnsi="Book Antiqua" w:cs="Times New Roman"/>
          <w:i/>
          <w:iCs/>
          <w:color w:val="000000" w:themeColor="text1"/>
          <w:sz w:val="24"/>
          <w:szCs w:val="24"/>
          <w:lang w:val="sr-Latn-RS"/>
        </w:rPr>
        <w:t>Fomitiporia mediterranea</w:t>
      </w:r>
      <w:r>
        <w:rPr>
          <w:rFonts w:ascii="Book Antiqua" w:hAnsi="Book Antiqua" w:cs="Times New Roman"/>
          <w:color w:val="000000" w:themeColor="text1"/>
          <w:sz w:val="24"/>
          <w:szCs w:val="24"/>
          <w:lang w:val="sr-Latn-RS"/>
        </w:rPr>
        <w:t xml:space="preserve"> and </w:t>
      </w:r>
      <w:r>
        <w:rPr>
          <w:rFonts w:ascii="Book Antiqua" w:hAnsi="Book Antiqua" w:cs="Times New Roman"/>
          <w:i/>
          <w:iCs/>
          <w:color w:val="000000" w:themeColor="text1"/>
          <w:sz w:val="24"/>
          <w:szCs w:val="24"/>
          <w:lang w:val="sr-Latn-RS"/>
        </w:rPr>
        <w:lastRenderedPageBreak/>
        <w:t>Neofusiococcum parvum</w:t>
      </w:r>
      <w:r>
        <w:rPr>
          <w:rFonts w:ascii="Book Antiqua" w:hAnsi="Book Antiqua" w:cs="Times New Roman"/>
          <w:color w:val="000000" w:themeColor="text1"/>
          <w:sz w:val="24"/>
          <w:szCs w:val="24"/>
          <w:lang w:val="sr-Latn-RS"/>
        </w:rPr>
        <w:t>. Phytopathologia Meditterranea. 62 (2): 307-319. DOI: 10.36253/phyto-14716</w:t>
      </w:r>
    </w:p>
    <w:p w14:paraId="14613612"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Ulićević M., 1966. Results of tests in SR Montenegro of early ripening table grape varieties.  </w:t>
      </w:r>
      <w:r>
        <w:rPr>
          <w:rFonts w:ascii="Book Antiqua" w:hAnsi="Book Antiqua" w:cs="Times New Roman"/>
          <w:i/>
          <w:color w:val="000000" w:themeColor="text1"/>
          <w:sz w:val="24"/>
          <w:szCs w:val="24"/>
        </w:rPr>
        <w:t>Agriculture and Forestry</w:t>
      </w:r>
      <w:r>
        <w:rPr>
          <w:rFonts w:ascii="Book Antiqua" w:hAnsi="Book Antiqua" w:cs="Times New Roman"/>
          <w:color w:val="000000" w:themeColor="text1"/>
          <w:sz w:val="24"/>
          <w:szCs w:val="24"/>
        </w:rPr>
        <w:t xml:space="preserve"> 12 (4): 1-19.</w:t>
      </w:r>
    </w:p>
    <w:p w14:paraId="7064185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Úrbez-Torres, J. R., Battany, M., Bettiga, L. J., Gispert, C., McGourty, G., Roncoroni, J., Smith, R.J., Verdegaal, P., Gubler, W. D. (2010): </w:t>
      </w:r>
      <w:r>
        <w:rPr>
          <w:rFonts w:ascii="Book Antiqua" w:hAnsi="Book Antiqua" w:cs="Times New Roman"/>
          <w:i/>
          <w:color w:val="000000" w:themeColor="text1"/>
          <w:sz w:val="24"/>
          <w:szCs w:val="24"/>
          <w:lang w:val="sr-Latn-RS"/>
        </w:rPr>
        <w:t>Botryosphaeriaceae</w:t>
      </w:r>
      <w:r>
        <w:rPr>
          <w:rFonts w:ascii="Book Antiqua" w:hAnsi="Book Antiqua" w:cs="Times New Roman"/>
          <w:color w:val="000000" w:themeColor="text1"/>
          <w:sz w:val="24"/>
          <w:szCs w:val="24"/>
          <w:lang w:val="sr-Latn-RS"/>
        </w:rPr>
        <w:t xml:space="preserve"> species spore-trapping studies in California Vineyards. Plant Disease. 94 (6): 717–724. DOI: 10.1094/PDIS-94-6-0717</w:t>
      </w:r>
    </w:p>
    <w:p w14:paraId="4B05E794"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Úrbez-Torres, J. R., Haag, P., Bowen, P., O’Gorman, D. T. (2014): Grapevine trunk diseases in British Columbia: Incidence and characterization of the fungal pathogens associated with esca and Petri diseases of grapevine. Plant Disease. 98 (4): 456-468. DOI: 10.1094/PDIS-05-13-0524F</w:t>
      </w:r>
    </w:p>
    <w:p w14:paraId="3C91FCA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Úrbez-Torres, J. R., Tomaselli, E., Pollard-Flamand, J., Boule, J., Gerin, D., Pollastro, S. (2020): Characterization of </w:t>
      </w:r>
      <w:r>
        <w:rPr>
          <w:rFonts w:ascii="Book Antiqua" w:hAnsi="Book Antiqua" w:cs="Times New Roman"/>
          <w:i/>
          <w:iCs/>
          <w:color w:val="000000" w:themeColor="text1"/>
          <w:sz w:val="24"/>
          <w:szCs w:val="24"/>
          <w:lang w:val="sr-Latn-RS"/>
        </w:rPr>
        <w:t>Trichoderma</w:t>
      </w:r>
      <w:r>
        <w:rPr>
          <w:rFonts w:ascii="Book Antiqua" w:hAnsi="Book Antiqua" w:cs="Times New Roman"/>
          <w:color w:val="000000" w:themeColor="text1"/>
          <w:sz w:val="24"/>
          <w:szCs w:val="24"/>
          <w:lang w:val="sr-Latn-RS"/>
        </w:rPr>
        <w:t xml:space="preserve"> isolates from southern Italy, and their potential biocontrol activity against grapevine trunk disease fungi. Phytopathologia Mediterranea. 59 (3): 425–439. DOI: 10.14601/Phyto-11273</w:t>
      </w:r>
    </w:p>
    <w:p w14:paraId="479624A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Urbez Torres, J. R., Boule J., Hrycan, J., Ogorman, D. T. (2023): Potentional role of </w:t>
      </w:r>
      <w:r>
        <w:rPr>
          <w:rFonts w:ascii="Book Antiqua" w:hAnsi="Book Antiqua" w:cs="Times New Roman"/>
          <w:i/>
          <w:iCs/>
          <w:color w:val="000000" w:themeColor="text1"/>
          <w:sz w:val="24"/>
          <w:szCs w:val="24"/>
          <w:lang w:val="sr-Latn-RS"/>
        </w:rPr>
        <w:t xml:space="preserve">Fusarium </w:t>
      </w:r>
      <w:r>
        <w:rPr>
          <w:rFonts w:ascii="Book Antiqua" w:hAnsi="Book Antiqua" w:cs="Times New Roman"/>
          <w:color w:val="000000" w:themeColor="text1"/>
          <w:sz w:val="24"/>
          <w:szCs w:val="24"/>
          <w:lang w:val="sr-Latn-RS"/>
        </w:rPr>
        <w:t>spp in grapevine decline. Phytopathologia mediterranea. 62 (2): 269-281. DOI:10.36253/phyto-14679</w:t>
      </w:r>
    </w:p>
    <w:p w14:paraId="6608E4EB"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Valtaud, C., Larignon, P., Roblin, G., Fleurat-Lessard, P. (2009): Develop mental and ultra structural features of </w:t>
      </w:r>
      <w:r>
        <w:rPr>
          <w:rFonts w:ascii="Book Antiqua" w:hAnsi="Book Antiqua" w:cs="Times New Roman"/>
          <w:i/>
          <w:iCs/>
          <w:color w:val="000000" w:themeColor="text1"/>
          <w:sz w:val="24"/>
          <w:szCs w:val="24"/>
        </w:rPr>
        <w:t>Phaeomoniella chlamydospora</w:t>
      </w:r>
      <w:r>
        <w:rPr>
          <w:rFonts w:ascii="Book Antiqua" w:hAnsi="Book Antiqua" w:cs="Times New Roman"/>
          <w:color w:val="000000" w:themeColor="text1"/>
          <w:sz w:val="24"/>
          <w:szCs w:val="24"/>
        </w:rPr>
        <w:t xml:space="preserve"> and </w:t>
      </w:r>
      <w:r>
        <w:rPr>
          <w:rFonts w:ascii="Book Antiqua" w:hAnsi="Book Antiqua" w:cs="Times New Roman"/>
          <w:i/>
          <w:iCs/>
          <w:color w:val="000000" w:themeColor="text1"/>
          <w:sz w:val="24"/>
          <w:szCs w:val="24"/>
        </w:rPr>
        <w:t>Phaeoacremonium aleophilum</w:t>
      </w:r>
      <w:r>
        <w:rPr>
          <w:rFonts w:ascii="Book Antiqua" w:hAnsi="Book Antiqua" w:cs="Times New Roman"/>
          <w:color w:val="000000" w:themeColor="text1"/>
          <w:sz w:val="24"/>
          <w:szCs w:val="24"/>
        </w:rPr>
        <w:t xml:space="preserve"> in relation to xylem degradation in esca disease of the grapevine. Journal of Plant Pathology</w:t>
      </w:r>
      <w:r>
        <w:rPr>
          <w:rFonts w:ascii="Book Antiqua" w:hAnsi="Book Antiqua" w:cs="Times New Roman"/>
          <w:i/>
          <w:iCs/>
          <w:color w:val="000000" w:themeColor="text1"/>
          <w:sz w:val="24"/>
          <w:szCs w:val="24"/>
        </w:rPr>
        <w:t xml:space="preserve">. </w:t>
      </w:r>
      <w:r>
        <w:rPr>
          <w:rFonts w:ascii="Book Antiqua" w:hAnsi="Book Antiqua" w:cs="Times New Roman"/>
          <w:color w:val="000000" w:themeColor="text1"/>
          <w:sz w:val="24"/>
          <w:szCs w:val="24"/>
        </w:rPr>
        <w:t>91 (1): 37-5. DOI: 10.4454/jpp.v91i1.622</w:t>
      </w:r>
    </w:p>
    <w:p w14:paraId="7E430BCB"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Vallance, J., Le Floch, G., Déniel, F., Barbier, G., Lévesque, C. A., Rey, P. (2009): Influence of </w:t>
      </w:r>
      <w:r>
        <w:rPr>
          <w:rFonts w:ascii="Book Antiqua" w:hAnsi="Book Antiqua" w:cs="Times New Roman"/>
          <w:i/>
          <w:iCs/>
          <w:color w:val="000000" w:themeColor="text1"/>
          <w:sz w:val="24"/>
          <w:szCs w:val="24"/>
        </w:rPr>
        <w:t>Pythium oligandrum</w:t>
      </w:r>
      <w:r>
        <w:rPr>
          <w:rFonts w:ascii="Book Antiqua" w:hAnsi="Book Antiqua" w:cs="Times New Roman"/>
          <w:color w:val="000000" w:themeColor="text1"/>
          <w:sz w:val="24"/>
          <w:szCs w:val="24"/>
        </w:rPr>
        <w:t xml:space="preserve"> biocontrol on fungal and oomycete population dynamics in the rhizosphere. Applied and Environmental Microbiology. 75 (14): 4790–4800. DOI: 10.1128/AEM.02643-08</w:t>
      </w:r>
    </w:p>
    <w:p w14:paraId="6D2877AF"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Van Niekerk, J. M., Halleen, F., Fourie, P.H. (2011): Temporal susceptibility of grapevine pruning wounds to trunk path-ogen infection in South African grapevines. Phytopathologia Mediterranea. 50: 139–150. DOI:10.14601/Phytopathol_Mediterr-8575   </w:t>
      </w:r>
    </w:p>
    <w:p w14:paraId="4484680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Van Niekerk, J. M., Bester, W., Hallen, F., Crous, P. W., Fourie, P. H. (2011): The distribution and symptomathology of grapevine trunk disease pathogens are influenced by climate. Phytopathologia Mediterranea. 50: 98-111. DOI:10.14601 /Phytopathol_Mediterr-1543</w:t>
      </w:r>
    </w:p>
    <w:p w14:paraId="26981E07"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Verma, M. Brar, S. K., Tyagi, R. D., Surampalli, R. Y., Valéro, J. R. (2007): Antagonistic fungi, </w:t>
      </w:r>
      <w:r>
        <w:rPr>
          <w:rFonts w:ascii="Book Antiqua" w:hAnsi="Book Antiqua" w:cs="Times New Roman"/>
          <w:i/>
          <w:iCs/>
          <w:color w:val="000000" w:themeColor="text1"/>
          <w:sz w:val="24"/>
          <w:szCs w:val="24"/>
        </w:rPr>
        <w:t xml:space="preserve">Trichoderma </w:t>
      </w:r>
      <w:r>
        <w:rPr>
          <w:rFonts w:ascii="Book Antiqua" w:hAnsi="Book Antiqua" w:cs="Times New Roman"/>
          <w:color w:val="000000" w:themeColor="text1"/>
          <w:sz w:val="24"/>
          <w:szCs w:val="24"/>
        </w:rPr>
        <w:t>spp.: panoply of biological control. Biochemical Engineering Journal.</w:t>
      </w:r>
      <w:r>
        <w:rPr>
          <w:rFonts w:ascii="Book Antiqua" w:hAnsi="Book Antiqua" w:cs="Times New Roman"/>
          <w:i/>
          <w:iCs/>
          <w:color w:val="000000" w:themeColor="text1"/>
          <w:sz w:val="24"/>
          <w:szCs w:val="24"/>
        </w:rPr>
        <w:t xml:space="preserve"> </w:t>
      </w:r>
      <w:r>
        <w:rPr>
          <w:rFonts w:ascii="Book Antiqua" w:hAnsi="Book Antiqua" w:cs="Times New Roman"/>
          <w:color w:val="000000" w:themeColor="text1"/>
          <w:sz w:val="24"/>
          <w:szCs w:val="24"/>
        </w:rPr>
        <w:t>37 (1): 1–20. DOI: 10.1016/j.bej.2007.05.012</w:t>
      </w:r>
    </w:p>
    <w:p w14:paraId="34C4B694" w14:textId="77777777" w:rsidR="003801E8" w:rsidRDefault="00E44AAE">
      <w:pPr>
        <w:autoSpaceDE w:val="0"/>
        <w:autoSpaceDN w:val="0"/>
        <w:adjustRightInd w:val="0"/>
        <w:spacing w:after="0" w:line="360" w:lineRule="auto"/>
        <w:jc w:val="both"/>
        <w:rPr>
          <w:rFonts w:ascii="Book Antiqua" w:hAnsi="Book Antiqua" w:cs="Times New Roman"/>
          <w:sz w:val="24"/>
          <w:szCs w:val="24"/>
          <w:lang w:val="en-US"/>
        </w:rPr>
      </w:pPr>
      <w:r>
        <w:rPr>
          <w:rFonts w:ascii="Book Antiqua" w:hAnsi="Book Antiqua" w:cs="Times New Roman"/>
          <w:sz w:val="24"/>
          <w:szCs w:val="24"/>
          <w:lang w:val="en-US"/>
        </w:rPr>
        <w:t xml:space="preserve">Viala, P. (1926): Recherces sur les maladies de la vigne. Esca. </w:t>
      </w:r>
      <w:r>
        <w:rPr>
          <w:rFonts w:ascii="Book Antiqua" w:hAnsi="Book Antiqua"/>
          <w:sz w:val="24"/>
          <w:szCs w:val="24"/>
        </w:rPr>
        <w:t>Annales des Épiphyties</w:t>
      </w:r>
      <w:r>
        <w:rPr>
          <w:rFonts w:ascii="Book Antiqua" w:hAnsi="Book Antiqua" w:cs="Times New Roman"/>
          <w:sz w:val="24"/>
          <w:szCs w:val="24"/>
          <w:lang w:val="en-US"/>
        </w:rPr>
        <w:t>. 12:5-108.</w:t>
      </w:r>
    </w:p>
    <w:p w14:paraId="799D22E7" w14:textId="77777777" w:rsidR="003801E8" w:rsidRDefault="003801E8">
      <w:pPr>
        <w:autoSpaceDE w:val="0"/>
        <w:autoSpaceDN w:val="0"/>
        <w:adjustRightInd w:val="0"/>
        <w:spacing w:after="0" w:line="360" w:lineRule="auto"/>
        <w:jc w:val="both"/>
        <w:rPr>
          <w:rFonts w:ascii="Book Antiqua" w:hAnsi="Book Antiqua" w:cs="Times New Roman"/>
          <w:sz w:val="24"/>
          <w:szCs w:val="24"/>
          <w:lang w:val="en-US"/>
        </w:rPr>
      </w:pPr>
    </w:p>
    <w:p w14:paraId="1C5101A4" w14:textId="77777777" w:rsidR="003801E8" w:rsidRDefault="00E44AAE">
      <w:pPr>
        <w:autoSpaceDE w:val="0"/>
        <w:autoSpaceDN w:val="0"/>
        <w:adjustRightInd w:val="0"/>
        <w:spacing w:after="0" w:line="360" w:lineRule="auto"/>
        <w:jc w:val="both"/>
        <w:rPr>
          <w:rFonts w:ascii="Book Antiqua" w:hAnsi="Book Antiqua" w:cs="Times New Roman"/>
          <w:sz w:val="24"/>
          <w:szCs w:val="24"/>
        </w:rPr>
      </w:pPr>
      <w:r>
        <w:rPr>
          <w:rFonts w:ascii="Book Antiqua" w:hAnsi="Book Antiqua" w:cs="Times New Roman"/>
          <w:sz w:val="24"/>
          <w:szCs w:val="24"/>
          <w:lang w:val="en-US"/>
        </w:rPr>
        <w:t xml:space="preserve">Vilgalys, R., Hester, M. (1990): Rapid genetic identification and mapping of enzymatically amplified ribosomal DNA from several Cryptococcus species. </w:t>
      </w:r>
      <w:r>
        <w:rPr>
          <w:rFonts w:ascii="Book Antiqua" w:hAnsi="Book Antiqua" w:cs="Times New Roman"/>
          <w:iCs/>
          <w:sz w:val="24"/>
          <w:szCs w:val="24"/>
          <w:lang w:val="en-US"/>
        </w:rPr>
        <w:t>Journal of Bacteriology</w:t>
      </w:r>
      <w:r>
        <w:rPr>
          <w:rFonts w:ascii="Book Antiqua" w:hAnsi="Book Antiqua" w:cs="Times New Roman"/>
          <w:sz w:val="24"/>
          <w:szCs w:val="24"/>
          <w:lang w:val="en-US"/>
        </w:rPr>
        <w:t xml:space="preserve">. 172: 4238–4246. DOI: </w:t>
      </w:r>
      <w:r>
        <w:rPr>
          <w:rFonts w:ascii="Book Antiqua" w:hAnsi="Book Antiqua" w:cs="Times New Roman"/>
          <w:sz w:val="24"/>
          <w:szCs w:val="24"/>
        </w:rPr>
        <w:t>10.1128/jb.172.8.4238</w:t>
      </w:r>
      <w:r>
        <w:rPr>
          <w:rFonts w:ascii="Book Antiqua" w:hAnsi="Book Antiqua" w:cs="Times New Roman"/>
          <w:sz w:val="24"/>
          <w:szCs w:val="24"/>
        </w:rPr>
        <w:noBreakHyphen/>
        <w:t>4246.1990</w:t>
      </w:r>
    </w:p>
    <w:p w14:paraId="6AB89EA8" w14:textId="77777777" w:rsidR="003801E8" w:rsidRDefault="003801E8">
      <w:pPr>
        <w:autoSpaceDE w:val="0"/>
        <w:autoSpaceDN w:val="0"/>
        <w:adjustRightInd w:val="0"/>
        <w:spacing w:after="0" w:line="240" w:lineRule="auto"/>
        <w:jc w:val="both"/>
        <w:rPr>
          <w:rFonts w:ascii="Book Antiqua" w:hAnsi="Book Antiqua" w:cs="Times New Roman"/>
          <w:sz w:val="24"/>
          <w:szCs w:val="24"/>
          <w:lang w:val="en-US"/>
        </w:rPr>
      </w:pPr>
    </w:p>
    <w:p w14:paraId="47AB881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Yan, J. Y., Xie, Y., Zhang, W., Wang, Y., Liu, J. K., Hyde, K. D. (2013): Species of </w:t>
      </w:r>
      <w:r>
        <w:rPr>
          <w:rFonts w:ascii="Book Antiqua" w:hAnsi="Book Antiqua" w:cs="Times New Roman"/>
          <w:i/>
          <w:color w:val="000000" w:themeColor="text1"/>
          <w:sz w:val="24"/>
          <w:szCs w:val="24"/>
          <w:lang w:val="sr-Latn-RS"/>
        </w:rPr>
        <w:t>Botryosphaeriaceae</w:t>
      </w:r>
      <w:r>
        <w:rPr>
          <w:rFonts w:ascii="Book Antiqua" w:hAnsi="Book Antiqua" w:cs="Times New Roman"/>
          <w:color w:val="000000" w:themeColor="text1"/>
          <w:sz w:val="24"/>
          <w:szCs w:val="24"/>
          <w:lang w:val="sr-Latn-RS"/>
        </w:rPr>
        <w:t xml:space="preserve"> involved in grapevine dieback in China. Fungal Diversity. 61 (1): 221– 236. DOI:10.1007/s13225-013-0251-8.</w:t>
      </w:r>
    </w:p>
    <w:p w14:paraId="1A8FE9B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Yacoub,  A.,  Gerbore,  J.,  Magnin,  N.,  Chambon,  P.,  Dufour,  M. C., Corio -  Costet, M. F., Guyoneaud, R., Rey P. (2016): Ability  of  </w:t>
      </w:r>
      <w:r>
        <w:rPr>
          <w:rFonts w:ascii="Book Antiqua" w:hAnsi="Book Antiqua" w:cs="Times New Roman"/>
          <w:i/>
          <w:iCs/>
          <w:color w:val="000000" w:themeColor="text1"/>
          <w:sz w:val="24"/>
          <w:szCs w:val="24"/>
          <w:lang w:val="sr-Latn-RS"/>
        </w:rPr>
        <w:t>Pythium  oligandrum</w:t>
      </w:r>
      <w:r>
        <w:rPr>
          <w:rFonts w:ascii="Book Antiqua" w:hAnsi="Book Antiqua" w:cs="Times New Roman"/>
          <w:color w:val="000000" w:themeColor="text1"/>
          <w:sz w:val="24"/>
          <w:szCs w:val="24"/>
          <w:lang w:val="sr-Latn-RS"/>
        </w:rPr>
        <w:t xml:space="preserve">  strains  to  protect  </w:t>
      </w:r>
      <w:r>
        <w:rPr>
          <w:rFonts w:ascii="Book Antiqua" w:hAnsi="Book Antiqua" w:cs="Times New Roman"/>
          <w:i/>
          <w:iCs/>
          <w:color w:val="000000" w:themeColor="text1"/>
          <w:sz w:val="24"/>
          <w:szCs w:val="24"/>
          <w:lang w:val="sr-Latn-RS"/>
        </w:rPr>
        <w:t>Vitis  vinifera</w:t>
      </w:r>
      <w:r>
        <w:rPr>
          <w:rFonts w:ascii="Book Antiqua" w:hAnsi="Book Antiqua" w:cs="Times New Roman"/>
          <w:color w:val="000000" w:themeColor="text1"/>
          <w:sz w:val="24"/>
          <w:szCs w:val="24"/>
          <w:lang w:val="sr-Latn-RS"/>
        </w:rPr>
        <w:t xml:space="preserve">  L.,  by  inducing  plant  resistance  against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a  pathogen involved in Esca, a grapevine trunk disease. Biological  Control.  92:  7–16.  DOI:  10.5897/AJB11.290.  </w:t>
      </w:r>
    </w:p>
    <w:p w14:paraId="1E06D147"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06974D9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Yacoub, A., Haidar, R., Gerbore, J., Masson, C., Dufour, M.-C., Guyoneaud, R., Rey, P. (2020): </w:t>
      </w:r>
      <w:r>
        <w:rPr>
          <w:rFonts w:ascii="Book Antiqua" w:hAnsi="Book Antiqua" w:cs="Times New Roman"/>
          <w:i/>
          <w:iCs/>
          <w:color w:val="000000" w:themeColor="text1"/>
          <w:sz w:val="24"/>
          <w:szCs w:val="24"/>
          <w:lang w:val="sr-Latn-RS"/>
        </w:rPr>
        <w:t>Pythium oligandrum</w:t>
      </w:r>
      <w:r>
        <w:rPr>
          <w:rFonts w:ascii="Book Antiqua" w:hAnsi="Book Antiqua" w:cs="Times New Roman"/>
          <w:color w:val="000000" w:themeColor="text1"/>
          <w:sz w:val="24"/>
          <w:szCs w:val="24"/>
          <w:lang w:val="sr-Latn-RS"/>
        </w:rPr>
        <w:t xml:space="preserve"> induces grapevine defence mechanisms against the trunk pathogen </w:t>
      </w:r>
      <w:r>
        <w:rPr>
          <w:rFonts w:ascii="Book Antiqua" w:hAnsi="Book Antiqua" w:cs="Times New Roman"/>
          <w:i/>
          <w:iCs/>
          <w:color w:val="000000" w:themeColor="text1"/>
          <w:sz w:val="24"/>
          <w:szCs w:val="24"/>
          <w:lang w:val="sr-Latn-RS"/>
        </w:rPr>
        <w:t>Neofusicoccum parvum</w:t>
      </w:r>
      <w:r>
        <w:rPr>
          <w:rFonts w:ascii="Book Antiqua" w:hAnsi="Book Antiqua" w:cs="Times New Roman"/>
          <w:color w:val="000000" w:themeColor="text1"/>
          <w:sz w:val="24"/>
          <w:szCs w:val="24"/>
          <w:lang w:val="sr-Latn-RS"/>
        </w:rPr>
        <w:t>. Phytopathologia Mediterranea. 59 (3): 565–580. DOI: 10.14601/Phyto-11270</w:t>
      </w:r>
    </w:p>
    <w:p w14:paraId="75874CB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Ye, Q., Jia, J., Manawasinghe, I. S., Li, X., Zhang, W., Yan, J. (2021): </w:t>
      </w:r>
      <w:r>
        <w:rPr>
          <w:rFonts w:ascii="Book Antiqua" w:hAnsi="Book Antiqua" w:cs="Times New Roman"/>
          <w:i/>
          <w:color w:val="000000" w:themeColor="text1"/>
          <w:sz w:val="24"/>
          <w:szCs w:val="24"/>
          <w:lang w:val="sr-Latn-RS"/>
        </w:rPr>
        <w:t>Fomitiporia punicata</w:t>
      </w:r>
      <w:r>
        <w:rPr>
          <w:rFonts w:ascii="Book Antiqua" w:hAnsi="Book Antiqua" w:cs="Times New Roman"/>
          <w:color w:val="000000" w:themeColor="text1"/>
          <w:sz w:val="24"/>
          <w:szCs w:val="24"/>
          <w:lang w:val="sr-Latn-RS"/>
        </w:rPr>
        <w:t xml:space="preserve"> and </w:t>
      </w:r>
      <w:r>
        <w:rPr>
          <w:rFonts w:ascii="Book Antiqua" w:hAnsi="Book Antiqua" w:cs="Times New Roman"/>
          <w:i/>
          <w:color w:val="000000" w:themeColor="text1"/>
          <w:sz w:val="24"/>
          <w:szCs w:val="24"/>
          <w:lang w:val="sr-Latn-RS"/>
        </w:rPr>
        <w:t>Phaeoacremonium minimum</w:t>
      </w:r>
      <w:r>
        <w:rPr>
          <w:rFonts w:ascii="Book Antiqua" w:hAnsi="Book Antiqua" w:cs="Times New Roman"/>
          <w:color w:val="000000" w:themeColor="text1"/>
          <w:sz w:val="24"/>
          <w:szCs w:val="24"/>
          <w:lang w:val="sr-Latn-RS"/>
        </w:rPr>
        <w:t xml:space="preserve"> associated with Esca complex of grapevine in China. Phytopathology Research. 3 (1): 11. DOI:10.1186/s42483-021-00087-w</w:t>
      </w:r>
    </w:p>
    <w:p w14:paraId="6296627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Yobo, K. S., Laing, M. D., Hunter, C. H. (2009): Effects of single and dual applications of selected </w:t>
      </w:r>
      <w:r>
        <w:rPr>
          <w:rFonts w:ascii="Book Antiqua" w:hAnsi="Book Antiqua" w:cs="Times New Roman"/>
          <w:i/>
          <w:iCs/>
          <w:color w:val="000000" w:themeColor="text1"/>
          <w:sz w:val="24"/>
          <w:szCs w:val="24"/>
          <w:lang w:val="sr-Latn-RS"/>
        </w:rPr>
        <w:t>Trichoderma</w:t>
      </w:r>
      <w:r>
        <w:rPr>
          <w:rFonts w:ascii="Book Antiqua" w:hAnsi="Book Antiqua" w:cs="Times New Roman"/>
          <w:color w:val="000000" w:themeColor="text1"/>
          <w:sz w:val="24"/>
          <w:szCs w:val="24"/>
          <w:lang w:val="sr-Latn-RS"/>
        </w:rPr>
        <w:t xml:space="preserve"> and </w:t>
      </w:r>
      <w:r>
        <w:rPr>
          <w:rFonts w:ascii="Book Antiqua" w:hAnsi="Book Antiqua" w:cs="Times New Roman"/>
          <w:i/>
          <w:iCs/>
          <w:color w:val="000000" w:themeColor="text1"/>
          <w:sz w:val="24"/>
          <w:szCs w:val="24"/>
          <w:lang w:val="sr-Latn-RS"/>
        </w:rPr>
        <w:t>Bacillus</w:t>
      </w:r>
      <w:r>
        <w:rPr>
          <w:rFonts w:ascii="Book Antiqua" w:hAnsi="Book Antiqua" w:cs="Times New Roman"/>
          <w:color w:val="000000" w:themeColor="text1"/>
          <w:sz w:val="24"/>
          <w:szCs w:val="24"/>
          <w:lang w:val="sr-Latn-RS"/>
        </w:rPr>
        <w:t xml:space="preserve"> isolates on performance of dry bean seedlings grown in composted pine bark growth medium under shadehouse conditions. Journal of Plant Nutrition. 32 (8): 1271–1289. DOI: 10.1080/01904160903005996</w:t>
      </w:r>
    </w:p>
    <w:p w14:paraId="3E4D522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Quaglia, M., Covrelli, L., Zazzerini A. (2009): Epidemiological survey on esca disease in Umbria, central Italy. Phytopathologia Mediterranea. 48 (1): 84-91. DOI: 10.14601/Phytopathol_Mediterr-2877</w:t>
      </w:r>
    </w:p>
    <w:p w14:paraId="3755FFA8"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Zabalgogeazcoa, I. (2008): Fungal endophytes and their interaction with plant pathogens. Spanish Journal of Agricultural Research. 6: 138</w:t>
      </w:r>
      <w:r>
        <w:rPr>
          <w:rFonts w:ascii="Book Antiqua" w:hAnsi="Book Antiqua" w:cs="Times New Roman" w:hint="eastAsia"/>
          <w:color w:val="000000" w:themeColor="text1"/>
          <w:sz w:val="24"/>
          <w:szCs w:val="24"/>
        </w:rPr>
        <w:t>–</w:t>
      </w:r>
      <w:r>
        <w:rPr>
          <w:rFonts w:ascii="Book Antiqua" w:hAnsi="Book Antiqua" w:cs="Times New Roman"/>
          <w:color w:val="000000" w:themeColor="text1"/>
          <w:sz w:val="24"/>
          <w:szCs w:val="24"/>
        </w:rPr>
        <w:t>146. DOI:</w:t>
      </w:r>
      <w:hyperlink r:id="rId93" w:history="1">
        <w:r>
          <w:rPr>
            <w:rStyle w:val="Hyperlink"/>
            <w:rFonts w:ascii="Book Antiqua" w:hAnsi="Book Antiqua" w:cs="Times New Roman"/>
            <w:color w:val="auto"/>
            <w:sz w:val="24"/>
            <w:szCs w:val="24"/>
            <w:u w:val="none"/>
          </w:rPr>
          <w:t>10.5424/sjar/200806S1-382</w:t>
        </w:r>
      </w:hyperlink>
    </w:p>
    <w:p w14:paraId="793DA72B"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Zanzotto, A., Serra, S., Viel, W., Borgo, M. (2001): Investigation into the occurrence of esca-associated fungi in cuttings and bench-grafted vines. Phytopathologia Mediterranea. 40: S311–316. DOI: 10.14601/Phytopathol_Mediterr-1627</w:t>
      </w:r>
    </w:p>
    <w:p w14:paraId="4D43265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Zanzotto, A., Autiero, F., Bellotto, D., Dal Cortivo, G., Lucchetta, G., Borgo, M. (2007): Occurrence of </w:t>
      </w:r>
      <w:r>
        <w:rPr>
          <w:rFonts w:ascii="Book Antiqua" w:hAnsi="Book Antiqua" w:cs="Times New Roman"/>
          <w:i/>
          <w:color w:val="000000" w:themeColor="text1"/>
          <w:sz w:val="24"/>
          <w:szCs w:val="24"/>
          <w:lang w:val="sr-Latn-RS"/>
        </w:rPr>
        <w:t>Phaeoacremonium</w:t>
      </w:r>
      <w:r>
        <w:rPr>
          <w:rFonts w:ascii="Book Antiqua" w:hAnsi="Book Antiqua" w:cs="Times New Roman"/>
          <w:color w:val="000000" w:themeColor="text1"/>
          <w:sz w:val="24"/>
          <w:szCs w:val="24"/>
          <w:lang w:val="sr-Latn-RS"/>
        </w:rPr>
        <w:t xml:space="preserve"> spp. and </w:t>
      </w:r>
      <w:r>
        <w:rPr>
          <w:rFonts w:ascii="Book Antiqua" w:hAnsi="Book Antiqua" w:cs="Times New Roman"/>
          <w:i/>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in grape propagation materials and young grapevines. European Journal of Plant Pathology. 119: 183–192. DOI 10.1007/s10658-007-9160-6       </w:t>
      </w:r>
    </w:p>
    <w:p w14:paraId="2422AC0D"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Zhang, K., Su, L., Duan, X., Liu, L., Wu, J. (2017): High-level extracellular protein production in </w:t>
      </w:r>
      <w:r>
        <w:rPr>
          <w:rFonts w:ascii="Book Antiqua" w:hAnsi="Book Antiqua" w:cs="Times New Roman"/>
          <w:i/>
          <w:iCs/>
          <w:color w:val="000000" w:themeColor="text1"/>
          <w:sz w:val="24"/>
          <w:szCs w:val="24"/>
          <w:lang w:val="sr-Latn-RS"/>
        </w:rPr>
        <w:t>Bacillus subtilis</w:t>
      </w:r>
      <w:r>
        <w:rPr>
          <w:rFonts w:ascii="Book Antiqua" w:hAnsi="Book Antiqua" w:cs="Times New Roman"/>
          <w:color w:val="000000" w:themeColor="text1"/>
          <w:sz w:val="24"/>
          <w:szCs w:val="24"/>
          <w:lang w:val="sr-Latn-RS"/>
        </w:rPr>
        <w:t xml:space="preserve"> using an optimized dual-promoter expression system. Microbial Cell Factories. 16 (1): 1–15. DOI: 10.1186/s12934-017-0649-1</w:t>
      </w:r>
    </w:p>
    <w:p w14:paraId="612F3D65"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Zhang, M., Lin, S., He, W., Zhang, Y. (2017): </w:t>
      </w:r>
      <w:r>
        <w:rPr>
          <w:rFonts w:ascii="Book Antiqua" w:hAnsi="Book Antiqua" w:cs="Times New Roman"/>
          <w:color w:val="000000" w:themeColor="text1"/>
          <w:sz w:val="24"/>
          <w:szCs w:val="24"/>
        </w:rPr>
        <w:t>Three species of Neofusicoccum (Botryosphaeriaceae, Botryosphaeriales) associated with woody plants from southern China. Mycosphere. 8(2): 797–808. DOI: 10.5943/mycosphere/8/2/4</w:t>
      </w:r>
    </w:p>
    <w:p w14:paraId="6C53414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Waite, H., May, P. (2005): The effects of hot water treatment, hydration and order of nursery operations on cuttings of </w:t>
      </w:r>
      <w:r>
        <w:rPr>
          <w:rFonts w:ascii="Book Antiqua" w:hAnsi="Book Antiqua" w:cs="Times New Roman"/>
          <w:i/>
          <w:iCs/>
          <w:color w:val="000000" w:themeColor="text1"/>
          <w:sz w:val="24"/>
          <w:szCs w:val="24"/>
          <w:lang w:val="sr-Latn-RS"/>
        </w:rPr>
        <w:t>Vitis vinifera</w:t>
      </w:r>
      <w:r>
        <w:rPr>
          <w:rFonts w:ascii="Book Antiqua" w:hAnsi="Book Antiqua" w:cs="Times New Roman"/>
          <w:color w:val="000000" w:themeColor="text1"/>
          <w:sz w:val="24"/>
          <w:szCs w:val="24"/>
          <w:lang w:val="sr-Latn-RS"/>
        </w:rPr>
        <w:t xml:space="preserve"> cultivars. Phytopathologia Mediterranea. 44 (2):144-152. DOI: 10.14601/Phytopathol_Mediterr-1791</w:t>
      </w:r>
    </w:p>
    <w:p w14:paraId="50FB343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Wallis, C. M. (2021). Nutritional niche overlap analysis as a method to identify potentialbiocontrol fungi against trunk pathogens. Biocontrol, 66 (4): 559–571. DOI: </w:t>
      </w:r>
      <w:r>
        <w:rPr>
          <w:rFonts w:ascii="Book Antiqua" w:hAnsi="Book Antiqua" w:cs="Times New Roman"/>
          <w:color w:val="000000" w:themeColor="text1"/>
          <w:sz w:val="24"/>
          <w:szCs w:val="24"/>
        </w:rPr>
        <w:t>10.1007/s10526-021-10091-w</w:t>
      </w:r>
    </w:p>
    <w:p w14:paraId="500F7833"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Westover, F. (2019): Ozone damage of grapevines. Grapes. </w:t>
      </w:r>
      <w:hyperlink r:id="rId94" w:history="1">
        <w:r>
          <w:rPr>
            <w:rStyle w:val="Hyperlink"/>
            <w:rFonts w:ascii="Book Antiqua" w:hAnsi="Book Antiqua" w:cs="Times New Roman"/>
            <w:color w:val="000000" w:themeColor="text1"/>
            <w:sz w:val="24"/>
            <w:szCs w:val="24"/>
            <w:lang w:val="sr-Latn-RS"/>
          </w:rPr>
          <w:t>https://grapes.extension.org/</w:t>
        </w:r>
      </w:hyperlink>
      <w:r>
        <w:rPr>
          <w:rFonts w:ascii="Book Antiqua" w:hAnsi="Book Antiqua" w:cs="Times New Roman"/>
          <w:color w:val="000000" w:themeColor="text1"/>
          <w:sz w:val="24"/>
          <w:szCs w:val="24"/>
          <w:lang w:val="sr-Latn-RS"/>
        </w:rPr>
        <w:t xml:space="preserve"> ozone-damage-of-grapevines/.</w:t>
      </w:r>
    </w:p>
    <w:p w14:paraId="7C832247"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Wightwick, A., Walters, R., Allinson, G., Reichman, S., Menzies, N. (2010): Environmental risks of fungicides used in horticultural production systems. Fungicides. 14: 272-303. DOI: 10.5772/13032 </w:t>
      </w:r>
    </w:p>
    <w:p w14:paraId="4DC6F142"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White, T. J., Bruns, T. D., Lee, S. B., Taylor, J. W. (1990): Ampli-fication and direct sequencing of fungal ribosomal RNA Genes for Phylogenetics. Academic Press. 31: 315-322. DOI:10.1016/B978-0-12-372180-8.50042-1</w:t>
      </w:r>
    </w:p>
    <w:p w14:paraId="6422475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White, C. L., Halleen, F., Fischer, M., Mostert, L. (2011): Characterisation of the fungi associated with esca diseased grapevines in South Africa. Phytopathologia Mediterranea. 50 (4): 204-223. DOI:10.14601/Phytopathol_Mediterr-8983</w:t>
      </w:r>
    </w:p>
    <w:p w14:paraId="1218CB8D"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lang w:val="sr-Latn-RS"/>
        </w:rPr>
        <w:t xml:space="preserve">White, C. L., Hallen, F., Mostert, L. (2011): </w:t>
      </w:r>
      <w:r>
        <w:rPr>
          <w:rFonts w:ascii="Book Antiqua" w:hAnsi="Book Antiqua" w:cs="Times New Roman"/>
          <w:color w:val="000000" w:themeColor="text1"/>
          <w:sz w:val="24"/>
          <w:szCs w:val="24"/>
        </w:rPr>
        <w:t>Symptoms and fungi associated with esca in South African vineyards. Phytopathologia Mediterranea. 50: 236-246. DOI:10.14601/Phytopathol_Mediterr-8982</w:t>
      </w:r>
    </w:p>
    <w:p w14:paraId="5C459100"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lastRenderedPageBreak/>
        <w:t xml:space="preserve">Whiteman, S.A., Jaspers, M.V., Stewart, A., Ridgway, H.J. (2002): Detection of </w:t>
      </w:r>
      <w:r>
        <w:rPr>
          <w:rFonts w:ascii="Book Antiqua" w:hAnsi="Book Antiqua" w:cs="Times New Roman"/>
          <w:i/>
          <w:iCs/>
          <w:color w:val="000000" w:themeColor="text1"/>
          <w:sz w:val="24"/>
          <w:szCs w:val="24"/>
          <w:lang w:val="sr-Latn-RS"/>
        </w:rPr>
        <w:t>Phaeomoniella chlamydospora</w:t>
      </w:r>
      <w:r>
        <w:rPr>
          <w:rFonts w:ascii="Book Antiqua" w:hAnsi="Book Antiqua" w:cs="Times New Roman"/>
          <w:color w:val="000000" w:themeColor="text1"/>
          <w:sz w:val="24"/>
          <w:szCs w:val="24"/>
          <w:lang w:val="sr-Latn-RS"/>
        </w:rPr>
        <w:t xml:space="preserve"> in soil using species-specific PCR. New Zealand Plant Protection. 55:139-145. DOI: 10.30843/nzpp.2002.55.3943</w:t>
      </w:r>
    </w:p>
    <w:p w14:paraId="73D8905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Whitelaw-Weckert, M. A., Rahman, L., Appleby, L. M., Hall, A., Clark, A. C., Hardie, W. J. (2013): Co-infection by </w:t>
      </w:r>
      <w:r>
        <w:rPr>
          <w:rFonts w:ascii="Book Antiqua" w:hAnsi="Book Antiqua" w:cs="Times New Roman"/>
          <w:i/>
          <w:color w:val="000000" w:themeColor="text1"/>
          <w:sz w:val="24"/>
          <w:szCs w:val="24"/>
          <w:lang w:val="sr-Latn-RS"/>
        </w:rPr>
        <w:t>Botryosphaeriaceae</w:t>
      </w:r>
      <w:r>
        <w:rPr>
          <w:rFonts w:ascii="Book Antiqua" w:hAnsi="Book Antiqua" w:cs="Times New Roman"/>
          <w:color w:val="000000" w:themeColor="text1"/>
          <w:sz w:val="24"/>
          <w:szCs w:val="24"/>
          <w:lang w:val="sr-Latn-RS"/>
        </w:rPr>
        <w:t xml:space="preserve"> and </w:t>
      </w:r>
      <w:r>
        <w:rPr>
          <w:rFonts w:ascii="Book Antiqua" w:hAnsi="Book Antiqua" w:cs="Times New Roman"/>
          <w:i/>
          <w:color w:val="000000" w:themeColor="text1"/>
          <w:sz w:val="24"/>
          <w:szCs w:val="24"/>
          <w:lang w:val="sr-Latn-RS"/>
        </w:rPr>
        <w:t>Ilyonectria</w:t>
      </w:r>
      <w:r>
        <w:rPr>
          <w:rFonts w:ascii="Book Antiqua" w:hAnsi="Book Antiqua" w:cs="Times New Roman"/>
          <w:color w:val="000000" w:themeColor="text1"/>
          <w:sz w:val="24"/>
          <w:szCs w:val="24"/>
          <w:lang w:val="sr-Latn-RS"/>
        </w:rPr>
        <w:t xml:space="preserve"> spp. fungi during propagation causes decline of young grafted grapevines. Plant Pathology. 62 (6): 1226-1237. DOI: 10.1111/ppa.12059</w:t>
      </w:r>
    </w:p>
    <w:p w14:paraId="5626C75A"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Weber,  E. A.,  Trouillas, F. P., Gubler, W. D. (2007):  Double pruning of grapevines: a cultural practice to reduce infec-tions by </w:t>
      </w:r>
      <w:r>
        <w:rPr>
          <w:rFonts w:ascii="Book Antiqua" w:hAnsi="Book Antiqua" w:cs="Times New Roman"/>
          <w:i/>
          <w:iCs/>
          <w:color w:val="000000" w:themeColor="text1"/>
          <w:sz w:val="24"/>
          <w:szCs w:val="24"/>
          <w:lang w:val="sr-Latn-RS"/>
        </w:rPr>
        <w:t>Eutypa lata</w:t>
      </w:r>
      <w:r>
        <w:rPr>
          <w:rFonts w:ascii="Book Antiqua" w:hAnsi="Book Antiqua" w:cs="Times New Roman"/>
          <w:color w:val="000000" w:themeColor="text1"/>
          <w:sz w:val="24"/>
          <w:szCs w:val="24"/>
          <w:lang w:val="sr-Latn-RS"/>
        </w:rPr>
        <w:t>. American Journal of Enology and Viticulture. 58 (1): 61-66. DOI: 10.5344/ajev.2007.58.1.61</w:t>
      </w:r>
    </w:p>
    <w:p w14:paraId="28BAAEE0"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1CD37F6D"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78CC26FA"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4B002F5E"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61260E60"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0C0261EE"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52738DE6"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3617915D"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41306A56" w14:textId="77777777" w:rsidR="00021EA6" w:rsidRDefault="00021EA6">
      <w:pPr>
        <w:tabs>
          <w:tab w:val="left" w:pos="3315"/>
        </w:tabs>
        <w:spacing w:line="360" w:lineRule="auto"/>
        <w:jc w:val="both"/>
        <w:rPr>
          <w:rFonts w:ascii="Book Antiqua" w:hAnsi="Book Antiqua" w:cs="Times New Roman"/>
          <w:color w:val="000000" w:themeColor="text1"/>
          <w:sz w:val="24"/>
          <w:szCs w:val="24"/>
          <w:lang w:val="sr-Latn-RS"/>
        </w:rPr>
      </w:pPr>
    </w:p>
    <w:p w14:paraId="796C3F01" w14:textId="77777777" w:rsidR="00021EA6" w:rsidRDefault="00021EA6">
      <w:pPr>
        <w:tabs>
          <w:tab w:val="left" w:pos="3315"/>
        </w:tabs>
        <w:spacing w:line="360" w:lineRule="auto"/>
        <w:jc w:val="both"/>
        <w:rPr>
          <w:rFonts w:ascii="Book Antiqua" w:hAnsi="Book Antiqua" w:cs="Times New Roman"/>
          <w:color w:val="000000" w:themeColor="text1"/>
          <w:sz w:val="24"/>
          <w:szCs w:val="24"/>
          <w:lang w:val="sr-Latn-RS"/>
        </w:rPr>
      </w:pPr>
    </w:p>
    <w:p w14:paraId="48B9FA6E"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21C92B8C"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3D986EAE"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1BDAD45E" w14:textId="77777777" w:rsidR="003801E8" w:rsidRDefault="00E44AAE">
      <w:pPr>
        <w:tabs>
          <w:tab w:val="left" w:pos="3315"/>
        </w:tabs>
        <w:spacing w:line="360" w:lineRule="auto"/>
        <w:jc w:val="both"/>
        <w:rPr>
          <w:rFonts w:ascii="Book Antiqua" w:hAnsi="Book Antiqua" w:cs="Times New Roman"/>
          <w:b/>
          <w:bCs/>
          <w:color w:val="000000" w:themeColor="text1"/>
          <w:sz w:val="24"/>
          <w:szCs w:val="24"/>
        </w:rPr>
      </w:pPr>
      <w:r>
        <w:rPr>
          <w:rFonts w:ascii="Book Antiqua" w:hAnsi="Book Antiqua" w:cs="Times New Roman"/>
          <w:b/>
          <w:bCs/>
          <w:color w:val="000000" w:themeColor="text1"/>
          <w:sz w:val="24"/>
          <w:szCs w:val="24"/>
        </w:rPr>
        <w:lastRenderedPageBreak/>
        <w:t>Biografija autora</w:t>
      </w:r>
    </w:p>
    <w:p w14:paraId="3511D4BE" w14:textId="77777777" w:rsidR="003801E8" w:rsidRDefault="00E44AAE">
      <w:pPr>
        <w:tabs>
          <w:tab w:val="left" w:pos="3315"/>
        </w:tabs>
        <w:spacing w:line="360" w:lineRule="auto"/>
        <w:jc w:val="both"/>
        <w:rPr>
          <w:rFonts w:ascii="Book Antiqua" w:hAnsi="Book Antiqua" w:cs="Times New Roman"/>
          <w:color w:val="000000" w:themeColor="text1"/>
          <w:sz w:val="24"/>
          <w:szCs w:val="24"/>
          <w:lang w:val="sr-Latn-RS"/>
        </w:rPr>
      </w:pPr>
      <w:r>
        <w:rPr>
          <w:rFonts w:ascii="Book Antiqua" w:hAnsi="Book Antiqua" w:cs="Times New Roman"/>
          <w:color w:val="000000" w:themeColor="text1"/>
          <w:sz w:val="24"/>
          <w:szCs w:val="24"/>
          <w:lang w:val="sr-Latn-RS"/>
        </w:rPr>
        <w:t xml:space="preserve">Bogoljub Kandić, od oca Milana i majke Slavke, rođen je u Nikšiću u Crnoj Gori 06.03.1990. godine. Osnovnu školu „Mileva Lajović Lalatović“ završio je u Nikšiću, a Srednju medicinsku školu u Podgorici. Osnovne akademske studije na smjeru biljna proizvodnja završio na Biotehničkom fakultetu u Podgorici. Specijalističke akademske studije na smjeru zaštita bilja završio sa prosječnom ocjenom „A“, na Biotehničkom fakultetu u Podgorici 2014. godine. Magistarske studije na smjeru zaštita bilja završio na Biotehničkom fakultetu u Podgorici sa prosječnom ocjenom „A“. Magistarski rad pod naslovom „Prilog proučavanju bakterije </w:t>
      </w:r>
      <w:r>
        <w:rPr>
          <w:rFonts w:ascii="Book Antiqua" w:hAnsi="Book Antiqua" w:cs="Times New Roman"/>
          <w:i/>
          <w:iCs/>
          <w:color w:val="000000" w:themeColor="text1"/>
          <w:sz w:val="24"/>
          <w:szCs w:val="24"/>
          <w:lang w:val="sr-Latn-RS"/>
        </w:rPr>
        <w:t>Erwinia amylovora</w:t>
      </w:r>
      <w:r>
        <w:rPr>
          <w:rFonts w:ascii="Book Antiqua" w:hAnsi="Book Antiqua" w:cs="Times New Roman"/>
          <w:color w:val="000000" w:themeColor="text1"/>
          <w:sz w:val="24"/>
          <w:szCs w:val="24"/>
          <w:lang w:val="sr-Latn-RS"/>
        </w:rPr>
        <w:t xml:space="preserve"> (Burril) Winslow et al., prouzrokovača bakteriozne plamenjače jabučastih voćnih vrsta u Crnoj Gori“ uspješno je odbranio 2016. godine. Trenutno je student doktorskih studija na Biotehničkom fakultetu, smjer-Biotehnika. Bio je na studijskim boravcima u Grčkoj i Francuskoj i usavršavao se iz oblasti molekularne dijagnostike biljnih patogena, sekvencioniranja genoma i primjene bioloških mjera zaštite. Po završetku fakulteta odradio je pripravnički staž na Biotehničkom fakultetu. Saradnju sa matičnim fakultetom nastavio radom na više projekata finansiranih od strane uprave za bezbjednost hrane veterinu i fitosanitarne poslove u dijelu posebnog nadzora karantinski štetnih organizama. Aktivno učestvovao na projektu „LOVCEN“ – </w:t>
      </w:r>
      <w:r>
        <w:rPr>
          <w:rFonts w:ascii="Book Antiqua" w:hAnsi="Book Antiqua" w:cs="Times New Roman"/>
          <w:i/>
          <w:iCs/>
          <w:color w:val="000000" w:themeColor="text1"/>
          <w:sz w:val="24"/>
          <w:szCs w:val="24"/>
          <w:lang w:val="sr-Latn-RS"/>
        </w:rPr>
        <w:t>Surveillance of invasive and native mosquito vectors and pathogens they transmit in Montenegro</w:t>
      </w:r>
      <w:r>
        <w:rPr>
          <w:rFonts w:ascii="Book Antiqua" w:hAnsi="Book Antiqua" w:cs="Times New Roman"/>
          <w:color w:val="000000" w:themeColor="text1"/>
          <w:sz w:val="24"/>
          <w:szCs w:val="24"/>
          <w:lang w:val="sr-Latn-RS"/>
        </w:rPr>
        <w:t xml:space="preserve">. U periodu od 2016 do 2023. godine radio kao generalni menadžer i rukovodilac proizvodnje sadnog materijala voća, vinove loze i ukrasnog bilja rasadnika „Centro Garden“ koji je u vlasništvu privatne kompanije Centrometal. Od 09. 2023. je Saradnik u nastavi na Biotehničkom fakultetu u Podgorici na smjerovima biljna proizvodnja, zaštita bilja i bezbjednost hrane. Imao je učešće na više domaćih i međunarodnih konferencija, simpozijuma i radionicama. Služi se engleskim jezikom. Oženjen, otac jednog djeteta. </w:t>
      </w:r>
    </w:p>
    <w:p w14:paraId="081B5884" w14:textId="77777777" w:rsidR="003801E8" w:rsidRDefault="003801E8">
      <w:pPr>
        <w:tabs>
          <w:tab w:val="left" w:pos="3315"/>
        </w:tabs>
        <w:spacing w:line="360" w:lineRule="auto"/>
        <w:jc w:val="both"/>
        <w:rPr>
          <w:rFonts w:ascii="Book Antiqua" w:hAnsi="Book Antiqua" w:cs="Times New Roman"/>
          <w:color w:val="000000" w:themeColor="text1"/>
          <w:sz w:val="24"/>
          <w:szCs w:val="24"/>
          <w:lang w:val="sr-Latn-RS"/>
        </w:rPr>
      </w:pPr>
    </w:p>
    <w:p w14:paraId="1C1F6B1D" w14:textId="77777777" w:rsidR="00021EA6" w:rsidRDefault="00021EA6">
      <w:pPr>
        <w:tabs>
          <w:tab w:val="left" w:pos="3315"/>
        </w:tabs>
        <w:spacing w:line="360" w:lineRule="auto"/>
        <w:jc w:val="both"/>
        <w:rPr>
          <w:rFonts w:ascii="Book Antiqua" w:hAnsi="Book Antiqua" w:cs="Times New Roman"/>
          <w:color w:val="000000" w:themeColor="text1"/>
          <w:sz w:val="24"/>
          <w:szCs w:val="24"/>
          <w:lang w:val="sr-Latn-RS"/>
        </w:rPr>
      </w:pPr>
    </w:p>
    <w:p w14:paraId="0FB11D15" w14:textId="2E50ED9F" w:rsidR="003801E8" w:rsidRDefault="00274873">
      <w:pPr>
        <w:tabs>
          <w:tab w:val="left" w:pos="3315"/>
        </w:tabs>
        <w:spacing w:line="240" w:lineRule="auto"/>
        <w:jc w:val="both"/>
        <w:rPr>
          <w:rFonts w:ascii="Book Antiqua" w:hAnsi="Book Antiqua" w:cs="Times New Roman"/>
          <w:color w:val="000000" w:themeColor="text1"/>
          <w:sz w:val="24"/>
          <w:szCs w:val="24"/>
        </w:rPr>
      </w:pPr>
      <w:r>
        <w:rPr>
          <w:rFonts w:ascii="Book Antiqua" w:hAnsi="Book Antiqua" w:cs="Times New Roman"/>
          <w:noProof/>
          <w:color w:val="000000" w:themeColor="text1"/>
          <w:sz w:val="24"/>
          <w:szCs w:val="24"/>
        </w:rPr>
        <w:lastRenderedPageBreak/>
        <w:drawing>
          <wp:inline distT="0" distB="0" distL="0" distR="0" wp14:anchorId="71B8C4CD" wp14:editId="672E6DCE">
            <wp:extent cx="6002374" cy="9216390"/>
            <wp:effectExtent l="0" t="0" r="0" b="3810"/>
            <wp:docPr id="11816347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34733" name="Picture 1181634733"/>
                    <pic:cNvPicPr/>
                  </pic:nvPicPr>
                  <pic:blipFill>
                    <a:blip r:embed="rId95">
                      <a:extLst>
                        <a:ext uri="{28A0092B-C50C-407E-A947-70E740481C1C}">
                          <a14:useLocalDpi xmlns:a14="http://schemas.microsoft.com/office/drawing/2010/main" val="0"/>
                        </a:ext>
                      </a:extLst>
                    </a:blip>
                    <a:stretch>
                      <a:fillRect/>
                    </a:stretch>
                  </pic:blipFill>
                  <pic:spPr>
                    <a:xfrm>
                      <a:off x="0" y="0"/>
                      <a:ext cx="6040225" cy="9274509"/>
                    </a:xfrm>
                    <a:prstGeom prst="rect">
                      <a:avLst/>
                    </a:prstGeom>
                  </pic:spPr>
                </pic:pic>
              </a:graphicData>
            </a:graphic>
          </wp:inline>
        </w:drawing>
      </w:r>
    </w:p>
    <w:p w14:paraId="18B56FBF" w14:textId="0E98B926" w:rsidR="003801E8" w:rsidRDefault="00032E47">
      <w:pPr>
        <w:tabs>
          <w:tab w:val="left" w:pos="3315"/>
        </w:tabs>
        <w:spacing w:line="240" w:lineRule="auto"/>
        <w:jc w:val="both"/>
        <w:rPr>
          <w:rFonts w:ascii="Book Antiqua" w:hAnsi="Book Antiqua" w:cs="Times New Roman"/>
          <w:color w:val="000000" w:themeColor="text1"/>
          <w:sz w:val="24"/>
          <w:szCs w:val="24"/>
        </w:rPr>
      </w:pPr>
      <w:r>
        <w:rPr>
          <w:rFonts w:ascii="Book Antiqua" w:hAnsi="Book Antiqua" w:cs="Times New Roman"/>
          <w:noProof/>
          <w:color w:val="000000" w:themeColor="text1"/>
          <w:sz w:val="24"/>
          <w:szCs w:val="24"/>
        </w:rPr>
        <w:lastRenderedPageBreak/>
        <w:drawing>
          <wp:inline distT="0" distB="0" distL="0" distR="0" wp14:anchorId="1403A7CF" wp14:editId="368FC2ED">
            <wp:extent cx="6201397" cy="9044305"/>
            <wp:effectExtent l="0" t="0" r="9525" b="4445"/>
            <wp:docPr id="2556955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95507" name="Picture 255695507"/>
                    <pic:cNvPicPr/>
                  </pic:nvPicPr>
                  <pic:blipFill>
                    <a:blip r:embed="rId96">
                      <a:extLst>
                        <a:ext uri="{28A0092B-C50C-407E-A947-70E740481C1C}">
                          <a14:useLocalDpi xmlns:a14="http://schemas.microsoft.com/office/drawing/2010/main" val="0"/>
                        </a:ext>
                      </a:extLst>
                    </a:blip>
                    <a:stretch>
                      <a:fillRect/>
                    </a:stretch>
                  </pic:blipFill>
                  <pic:spPr>
                    <a:xfrm>
                      <a:off x="0" y="0"/>
                      <a:ext cx="6229246" cy="9084921"/>
                    </a:xfrm>
                    <a:prstGeom prst="rect">
                      <a:avLst/>
                    </a:prstGeom>
                  </pic:spPr>
                </pic:pic>
              </a:graphicData>
            </a:graphic>
          </wp:inline>
        </w:drawing>
      </w:r>
    </w:p>
    <w:p w14:paraId="038C9FF2" w14:textId="0A7F2D09" w:rsidR="003801E8" w:rsidRDefault="00032E47">
      <w:pPr>
        <w:tabs>
          <w:tab w:val="left" w:pos="3315"/>
        </w:tabs>
        <w:spacing w:line="240" w:lineRule="auto"/>
        <w:jc w:val="both"/>
        <w:rPr>
          <w:rFonts w:ascii="Book Antiqua" w:hAnsi="Book Antiqua" w:cs="Times New Roman"/>
          <w:color w:val="000000" w:themeColor="text1"/>
          <w:sz w:val="24"/>
          <w:szCs w:val="24"/>
        </w:rPr>
      </w:pPr>
      <w:r>
        <w:rPr>
          <w:rFonts w:ascii="Book Antiqua" w:hAnsi="Book Antiqua" w:cs="Times New Roman"/>
          <w:noProof/>
          <w:color w:val="000000" w:themeColor="text1"/>
          <w:sz w:val="24"/>
          <w:szCs w:val="24"/>
        </w:rPr>
        <w:lastRenderedPageBreak/>
        <w:drawing>
          <wp:inline distT="0" distB="0" distL="0" distR="0" wp14:anchorId="4BEF5629" wp14:editId="5DDA0012">
            <wp:extent cx="6030595" cy="8990967"/>
            <wp:effectExtent l="0" t="0" r="8255" b="635"/>
            <wp:docPr id="9340473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47393" name="Picture 934047393"/>
                    <pic:cNvPicPr/>
                  </pic:nvPicPr>
                  <pic:blipFill>
                    <a:blip r:embed="rId97">
                      <a:extLst>
                        <a:ext uri="{28A0092B-C50C-407E-A947-70E740481C1C}">
                          <a14:useLocalDpi xmlns:a14="http://schemas.microsoft.com/office/drawing/2010/main" val="0"/>
                        </a:ext>
                      </a:extLst>
                    </a:blip>
                    <a:stretch>
                      <a:fillRect/>
                    </a:stretch>
                  </pic:blipFill>
                  <pic:spPr>
                    <a:xfrm>
                      <a:off x="0" y="0"/>
                      <a:ext cx="6042730" cy="9009059"/>
                    </a:xfrm>
                    <a:prstGeom prst="rect">
                      <a:avLst/>
                    </a:prstGeom>
                  </pic:spPr>
                </pic:pic>
              </a:graphicData>
            </a:graphic>
          </wp:inline>
        </w:drawing>
      </w:r>
    </w:p>
    <w:p w14:paraId="6EC2787E"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lastRenderedPageBreak/>
        <w:t>1. Autorstvo - Dozvoljavate umnožavanje, distribuciju i javno saopštavanje djela, i prerade, ako se navede ime autora na način određen od strane autora ili davaoca licence, čak i u komercijalne svrhe. Ovo je najslobodnija od svih licenci.</w:t>
      </w:r>
    </w:p>
    <w:p w14:paraId="359568D1"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2. Autorstvo - nekomercijalno. Dozvoljavate umnožavanje, distribuciju i javno saopštavanje djela, i prerade, ako se navede ime autora na način određen od strane autora ili davaoca licence. Ova licenca ne dozvoljava komercijalnu upotrebu djela.</w:t>
      </w:r>
    </w:p>
    <w:p w14:paraId="3FE2FB42"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3. Autorstvo - nekomercijalno - bez prerade. Dozvoljavate umnožavanje, distribuciju i javno saopštavanje djela, bez promjena, preoblikovanja ili upotrebe djela u svom djelu, ako se navede ime autora na način određen od strane autora ili davaoca licence. Ova licenca ne dozvoljava komercijalnu upotrebu djela. U odnosu na sve ostale licence, ovom licencom se ograničava najveći obim prava korišćenja djela.</w:t>
      </w:r>
    </w:p>
    <w:p w14:paraId="01CDEAF2"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4. Autorstvo - nekomercijalno - dijeliti pod istim uslovima. Dozvoljavate umnožavanje, distribuciju i javno saopštavanje djela, i prerade, ako se navede ime autora na način određen od strane autora ili davaoca licence i ako se prerada distribuira pod istom ili sličnom licencom. Ova licenca ne dozvoljava komercijalnu upotrebu djela i prerade.</w:t>
      </w:r>
    </w:p>
    <w:p w14:paraId="53BB02D4"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5. Autorstvo - bez prerade. Dozvoljavate umnožavanje, distribuciju i javno saopštavanje djela, bez promjena, preoblikovanja ili upotrebe djela u svom djelu, ako se navede ime autora na način određen od strane autora ili davaoca licence. Ova licenca dozvoljava komercijalnu upotrebu djela.</w:t>
      </w:r>
    </w:p>
    <w:p w14:paraId="486872B5" w14:textId="77777777" w:rsidR="003801E8" w:rsidRDefault="00E44AAE">
      <w:pPr>
        <w:tabs>
          <w:tab w:val="left" w:pos="3315"/>
        </w:tabs>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6. Autorstvo - dijeliti pod istim uslovima. Dozvoljavate umnožavanje, distribuciju i javno saopštavanje djela, i prerade, ako se navede ime autora na način određen od strane autora ili davaoca licence i ako se prerada distribuira pod istom ili sličnom licencom. Ova licenca dozvoljava komercijalnu upotrebu djela i prerada. Slična je softverskim licencama, odnosno licencama otvorenog koda.</w:t>
      </w:r>
    </w:p>
    <w:sectPr w:rsidR="003801E8">
      <w:footerReference w:type="default" r:id="rId98"/>
      <w:pgSz w:w="11906" w:h="16838"/>
      <w:pgMar w:top="1701" w:right="1701" w:bottom="1701"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5509AB" w14:textId="77777777" w:rsidR="00E44AAE" w:rsidRDefault="00E44AAE">
      <w:pPr>
        <w:spacing w:line="240" w:lineRule="auto"/>
      </w:pPr>
      <w:r>
        <w:separator/>
      </w:r>
    </w:p>
  </w:endnote>
  <w:endnote w:type="continuationSeparator" w:id="0">
    <w:p w14:paraId="0967062D" w14:textId="77777777" w:rsidR="00E44AAE" w:rsidRDefault="00E44AA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等线 Light">
    <w:altName w:val="Liberation Mono"/>
    <w:charset w:val="00"/>
    <w:family w:val="auto"/>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2552897"/>
      <w:docPartObj>
        <w:docPartGallery w:val="AutoText"/>
      </w:docPartObj>
    </w:sdtPr>
    <w:sdtEndPr/>
    <w:sdtContent>
      <w:p w14:paraId="3DB36614" w14:textId="77777777" w:rsidR="003801E8" w:rsidRDefault="00E44AAE">
        <w:pPr>
          <w:pStyle w:val="Footer"/>
          <w:jc w:val="right"/>
        </w:pPr>
        <w:r>
          <w:fldChar w:fldCharType="begin"/>
        </w:r>
        <w:r>
          <w:instrText xml:space="preserve"> PAGE   \* MERGEFORMAT </w:instrText>
        </w:r>
        <w:r>
          <w:fldChar w:fldCharType="separate"/>
        </w:r>
        <w:r w:rsidR="00021EA6">
          <w:rPr>
            <w:noProof/>
          </w:rPr>
          <w:t>4</w:t>
        </w:r>
        <w:r>
          <w:fldChar w:fldCharType="end"/>
        </w:r>
      </w:p>
    </w:sdtContent>
  </w:sdt>
  <w:p w14:paraId="265FD666" w14:textId="77777777" w:rsidR="003801E8" w:rsidRDefault="003801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D948D0" w14:textId="77777777" w:rsidR="00E44AAE" w:rsidRDefault="00E44AAE">
      <w:pPr>
        <w:spacing w:after="0"/>
      </w:pPr>
      <w:r>
        <w:separator/>
      </w:r>
    </w:p>
  </w:footnote>
  <w:footnote w:type="continuationSeparator" w:id="0">
    <w:p w14:paraId="7D1B76CC" w14:textId="77777777" w:rsidR="00E44AAE" w:rsidRDefault="00E44AAE">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73F05"/>
    <w:multiLevelType w:val="multilevel"/>
    <w:tmpl w:val="07A73F05"/>
    <w:lvl w:ilvl="0">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76FD21FB"/>
    <w:multiLevelType w:val="multilevel"/>
    <w:tmpl w:val="76FD21FB"/>
    <w:lvl w:ilvl="0">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48177252">
    <w:abstractNumId w:val="1"/>
  </w:num>
  <w:num w:numId="2" w16cid:durableId="1103645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defaultTabStop w:val="706"/>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7C04"/>
    <w:rsid w:val="000003EC"/>
    <w:rsid w:val="0000056C"/>
    <w:rsid w:val="0000060F"/>
    <w:rsid w:val="00001AFE"/>
    <w:rsid w:val="00002F62"/>
    <w:rsid w:val="000031BC"/>
    <w:rsid w:val="000031C8"/>
    <w:rsid w:val="000033F4"/>
    <w:rsid w:val="000037B0"/>
    <w:rsid w:val="00003CB4"/>
    <w:rsid w:val="000043F2"/>
    <w:rsid w:val="00004745"/>
    <w:rsid w:val="000047DD"/>
    <w:rsid w:val="00004BCF"/>
    <w:rsid w:val="0000524F"/>
    <w:rsid w:val="0000567D"/>
    <w:rsid w:val="000067CE"/>
    <w:rsid w:val="00006B92"/>
    <w:rsid w:val="00007394"/>
    <w:rsid w:val="000076DF"/>
    <w:rsid w:val="00007C8C"/>
    <w:rsid w:val="00007E0B"/>
    <w:rsid w:val="000100A0"/>
    <w:rsid w:val="000104CE"/>
    <w:rsid w:val="00010A85"/>
    <w:rsid w:val="00011E95"/>
    <w:rsid w:val="000122E4"/>
    <w:rsid w:val="00013137"/>
    <w:rsid w:val="00013402"/>
    <w:rsid w:val="00013432"/>
    <w:rsid w:val="000139AA"/>
    <w:rsid w:val="00013C9A"/>
    <w:rsid w:val="00013D44"/>
    <w:rsid w:val="00014B3C"/>
    <w:rsid w:val="00014B54"/>
    <w:rsid w:val="000156DC"/>
    <w:rsid w:val="000158E2"/>
    <w:rsid w:val="00015AB2"/>
    <w:rsid w:val="000160F1"/>
    <w:rsid w:val="000166C5"/>
    <w:rsid w:val="00016795"/>
    <w:rsid w:val="00016AC9"/>
    <w:rsid w:val="00016B72"/>
    <w:rsid w:val="00016C2B"/>
    <w:rsid w:val="00016FEE"/>
    <w:rsid w:val="00020290"/>
    <w:rsid w:val="0002066B"/>
    <w:rsid w:val="000207C2"/>
    <w:rsid w:val="00021097"/>
    <w:rsid w:val="0002126D"/>
    <w:rsid w:val="00021377"/>
    <w:rsid w:val="00021433"/>
    <w:rsid w:val="00021898"/>
    <w:rsid w:val="00021CD8"/>
    <w:rsid w:val="00021EA6"/>
    <w:rsid w:val="000229E3"/>
    <w:rsid w:val="00022C9D"/>
    <w:rsid w:val="00022F2F"/>
    <w:rsid w:val="00022FF3"/>
    <w:rsid w:val="00023241"/>
    <w:rsid w:val="000237AA"/>
    <w:rsid w:val="000238B4"/>
    <w:rsid w:val="00024547"/>
    <w:rsid w:val="000248C1"/>
    <w:rsid w:val="00024FE2"/>
    <w:rsid w:val="000250C1"/>
    <w:rsid w:val="0002552E"/>
    <w:rsid w:val="000255A6"/>
    <w:rsid w:val="000255B6"/>
    <w:rsid w:val="00025AE7"/>
    <w:rsid w:val="00025C18"/>
    <w:rsid w:val="00025E8D"/>
    <w:rsid w:val="000266A2"/>
    <w:rsid w:val="00026EA7"/>
    <w:rsid w:val="00027270"/>
    <w:rsid w:val="00027839"/>
    <w:rsid w:val="00027A70"/>
    <w:rsid w:val="00027EC3"/>
    <w:rsid w:val="00030178"/>
    <w:rsid w:val="0003041D"/>
    <w:rsid w:val="00030F55"/>
    <w:rsid w:val="000316CC"/>
    <w:rsid w:val="000323DD"/>
    <w:rsid w:val="00032932"/>
    <w:rsid w:val="00032ACD"/>
    <w:rsid w:val="00032BB1"/>
    <w:rsid w:val="00032E47"/>
    <w:rsid w:val="00033516"/>
    <w:rsid w:val="00033FB0"/>
    <w:rsid w:val="00034161"/>
    <w:rsid w:val="000346DF"/>
    <w:rsid w:val="00034E28"/>
    <w:rsid w:val="00035DA9"/>
    <w:rsid w:val="000364F2"/>
    <w:rsid w:val="000369CD"/>
    <w:rsid w:val="00036C8A"/>
    <w:rsid w:val="0003767D"/>
    <w:rsid w:val="000379C7"/>
    <w:rsid w:val="00040988"/>
    <w:rsid w:val="000409E5"/>
    <w:rsid w:val="00040F07"/>
    <w:rsid w:val="0004145D"/>
    <w:rsid w:val="000415D6"/>
    <w:rsid w:val="0004270F"/>
    <w:rsid w:val="00042B58"/>
    <w:rsid w:val="00042BF0"/>
    <w:rsid w:val="00043182"/>
    <w:rsid w:val="000433C0"/>
    <w:rsid w:val="00043470"/>
    <w:rsid w:val="00043523"/>
    <w:rsid w:val="0004363D"/>
    <w:rsid w:val="00043D2F"/>
    <w:rsid w:val="00044DE0"/>
    <w:rsid w:val="0004512A"/>
    <w:rsid w:val="000452F9"/>
    <w:rsid w:val="00045A89"/>
    <w:rsid w:val="00045EB6"/>
    <w:rsid w:val="000465DC"/>
    <w:rsid w:val="00046C9E"/>
    <w:rsid w:val="00046DEA"/>
    <w:rsid w:val="000470B1"/>
    <w:rsid w:val="000476E8"/>
    <w:rsid w:val="00047CAA"/>
    <w:rsid w:val="0005001D"/>
    <w:rsid w:val="0005039F"/>
    <w:rsid w:val="0005075C"/>
    <w:rsid w:val="00051105"/>
    <w:rsid w:val="000513E8"/>
    <w:rsid w:val="0005227C"/>
    <w:rsid w:val="000523F6"/>
    <w:rsid w:val="00052BF1"/>
    <w:rsid w:val="00052FE8"/>
    <w:rsid w:val="00053918"/>
    <w:rsid w:val="00053975"/>
    <w:rsid w:val="00054893"/>
    <w:rsid w:val="000549F8"/>
    <w:rsid w:val="00055330"/>
    <w:rsid w:val="000553CF"/>
    <w:rsid w:val="00055539"/>
    <w:rsid w:val="00055553"/>
    <w:rsid w:val="00055712"/>
    <w:rsid w:val="00056023"/>
    <w:rsid w:val="00056EFC"/>
    <w:rsid w:val="0005787D"/>
    <w:rsid w:val="00060459"/>
    <w:rsid w:val="000605FA"/>
    <w:rsid w:val="0006092C"/>
    <w:rsid w:val="00060A76"/>
    <w:rsid w:val="00060C0F"/>
    <w:rsid w:val="0006159D"/>
    <w:rsid w:val="0006255A"/>
    <w:rsid w:val="000629DC"/>
    <w:rsid w:val="00062BFD"/>
    <w:rsid w:val="00063CD3"/>
    <w:rsid w:val="00063F6F"/>
    <w:rsid w:val="00063FB9"/>
    <w:rsid w:val="00066E4B"/>
    <w:rsid w:val="00067449"/>
    <w:rsid w:val="000702D8"/>
    <w:rsid w:val="00070DA2"/>
    <w:rsid w:val="0007106F"/>
    <w:rsid w:val="00071456"/>
    <w:rsid w:val="00071BDB"/>
    <w:rsid w:val="00071E87"/>
    <w:rsid w:val="00072071"/>
    <w:rsid w:val="000724E8"/>
    <w:rsid w:val="00072C56"/>
    <w:rsid w:val="00072DE8"/>
    <w:rsid w:val="00072E26"/>
    <w:rsid w:val="00074A78"/>
    <w:rsid w:val="000755A0"/>
    <w:rsid w:val="00076562"/>
    <w:rsid w:val="0007709C"/>
    <w:rsid w:val="00077E89"/>
    <w:rsid w:val="0008006B"/>
    <w:rsid w:val="0008062C"/>
    <w:rsid w:val="000806F9"/>
    <w:rsid w:val="0008087D"/>
    <w:rsid w:val="00080AF8"/>
    <w:rsid w:val="00080B2D"/>
    <w:rsid w:val="00080DA0"/>
    <w:rsid w:val="00081193"/>
    <w:rsid w:val="000813F2"/>
    <w:rsid w:val="00082027"/>
    <w:rsid w:val="0008216E"/>
    <w:rsid w:val="00082502"/>
    <w:rsid w:val="000827E2"/>
    <w:rsid w:val="000838F9"/>
    <w:rsid w:val="00084175"/>
    <w:rsid w:val="00084A1F"/>
    <w:rsid w:val="00084B79"/>
    <w:rsid w:val="00084E6F"/>
    <w:rsid w:val="0008559F"/>
    <w:rsid w:val="000867DA"/>
    <w:rsid w:val="00086AE0"/>
    <w:rsid w:val="00086CF8"/>
    <w:rsid w:val="00090297"/>
    <w:rsid w:val="0009035E"/>
    <w:rsid w:val="000903AE"/>
    <w:rsid w:val="0009085D"/>
    <w:rsid w:val="00090AD0"/>
    <w:rsid w:val="000913D0"/>
    <w:rsid w:val="000915B2"/>
    <w:rsid w:val="000916DE"/>
    <w:rsid w:val="000934AF"/>
    <w:rsid w:val="000938EA"/>
    <w:rsid w:val="00093FF0"/>
    <w:rsid w:val="00095605"/>
    <w:rsid w:val="000961AC"/>
    <w:rsid w:val="000963AE"/>
    <w:rsid w:val="00096666"/>
    <w:rsid w:val="00096934"/>
    <w:rsid w:val="00096969"/>
    <w:rsid w:val="000975F6"/>
    <w:rsid w:val="000979A2"/>
    <w:rsid w:val="000979B4"/>
    <w:rsid w:val="00097D5F"/>
    <w:rsid w:val="000A08CB"/>
    <w:rsid w:val="000A11F6"/>
    <w:rsid w:val="000A1219"/>
    <w:rsid w:val="000A1654"/>
    <w:rsid w:val="000A1A35"/>
    <w:rsid w:val="000A1B7D"/>
    <w:rsid w:val="000A1FF8"/>
    <w:rsid w:val="000A204B"/>
    <w:rsid w:val="000A2294"/>
    <w:rsid w:val="000A2877"/>
    <w:rsid w:val="000A3120"/>
    <w:rsid w:val="000A3664"/>
    <w:rsid w:val="000A3870"/>
    <w:rsid w:val="000A3B7A"/>
    <w:rsid w:val="000A3ED7"/>
    <w:rsid w:val="000A43BF"/>
    <w:rsid w:val="000A56FD"/>
    <w:rsid w:val="000A6356"/>
    <w:rsid w:val="000A6402"/>
    <w:rsid w:val="000A6783"/>
    <w:rsid w:val="000A7116"/>
    <w:rsid w:val="000A7459"/>
    <w:rsid w:val="000B03A1"/>
    <w:rsid w:val="000B06CC"/>
    <w:rsid w:val="000B0BAA"/>
    <w:rsid w:val="000B0D53"/>
    <w:rsid w:val="000B16EB"/>
    <w:rsid w:val="000B20B8"/>
    <w:rsid w:val="000B26E0"/>
    <w:rsid w:val="000B2978"/>
    <w:rsid w:val="000B32BD"/>
    <w:rsid w:val="000B3384"/>
    <w:rsid w:val="000B33A3"/>
    <w:rsid w:val="000B3F96"/>
    <w:rsid w:val="000B41EA"/>
    <w:rsid w:val="000B4692"/>
    <w:rsid w:val="000B4C51"/>
    <w:rsid w:val="000B4D73"/>
    <w:rsid w:val="000B51F1"/>
    <w:rsid w:val="000B5420"/>
    <w:rsid w:val="000B589C"/>
    <w:rsid w:val="000B6392"/>
    <w:rsid w:val="000B6748"/>
    <w:rsid w:val="000B681E"/>
    <w:rsid w:val="000B7384"/>
    <w:rsid w:val="000B75DF"/>
    <w:rsid w:val="000C00C9"/>
    <w:rsid w:val="000C05B1"/>
    <w:rsid w:val="000C0713"/>
    <w:rsid w:val="000C0CB5"/>
    <w:rsid w:val="000C0D98"/>
    <w:rsid w:val="000C0F39"/>
    <w:rsid w:val="000C249F"/>
    <w:rsid w:val="000C290B"/>
    <w:rsid w:val="000C2982"/>
    <w:rsid w:val="000C2DAC"/>
    <w:rsid w:val="000C2E0F"/>
    <w:rsid w:val="000C36A7"/>
    <w:rsid w:val="000C3822"/>
    <w:rsid w:val="000C4577"/>
    <w:rsid w:val="000C49F7"/>
    <w:rsid w:val="000C4E30"/>
    <w:rsid w:val="000C504C"/>
    <w:rsid w:val="000C5223"/>
    <w:rsid w:val="000C542A"/>
    <w:rsid w:val="000C553A"/>
    <w:rsid w:val="000C5680"/>
    <w:rsid w:val="000C5722"/>
    <w:rsid w:val="000C5BFD"/>
    <w:rsid w:val="000C70C7"/>
    <w:rsid w:val="000C7CCC"/>
    <w:rsid w:val="000D03FE"/>
    <w:rsid w:val="000D070C"/>
    <w:rsid w:val="000D097A"/>
    <w:rsid w:val="000D0AC4"/>
    <w:rsid w:val="000D20B8"/>
    <w:rsid w:val="000D2502"/>
    <w:rsid w:val="000D2608"/>
    <w:rsid w:val="000D2F26"/>
    <w:rsid w:val="000D318C"/>
    <w:rsid w:val="000D3353"/>
    <w:rsid w:val="000D3694"/>
    <w:rsid w:val="000D3B44"/>
    <w:rsid w:val="000D4425"/>
    <w:rsid w:val="000D45EE"/>
    <w:rsid w:val="000D4954"/>
    <w:rsid w:val="000D4967"/>
    <w:rsid w:val="000D4A59"/>
    <w:rsid w:val="000D4C64"/>
    <w:rsid w:val="000D5565"/>
    <w:rsid w:val="000D5A62"/>
    <w:rsid w:val="000D6286"/>
    <w:rsid w:val="000D633B"/>
    <w:rsid w:val="000D7159"/>
    <w:rsid w:val="000D72EF"/>
    <w:rsid w:val="000D7B8C"/>
    <w:rsid w:val="000D7DCE"/>
    <w:rsid w:val="000E1306"/>
    <w:rsid w:val="000E155C"/>
    <w:rsid w:val="000E1560"/>
    <w:rsid w:val="000E1E93"/>
    <w:rsid w:val="000E21D3"/>
    <w:rsid w:val="000E256B"/>
    <w:rsid w:val="000E2F92"/>
    <w:rsid w:val="000E3737"/>
    <w:rsid w:val="000E3A1A"/>
    <w:rsid w:val="000E4B88"/>
    <w:rsid w:val="000E4BDA"/>
    <w:rsid w:val="000E4E81"/>
    <w:rsid w:val="000E53AC"/>
    <w:rsid w:val="000E5449"/>
    <w:rsid w:val="000E5DE9"/>
    <w:rsid w:val="000E6106"/>
    <w:rsid w:val="000E729C"/>
    <w:rsid w:val="000E7451"/>
    <w:rsid w:val="000E7923"/>
    <w:rsid w:val="000E7A50"/>
    <w:rsid w:val="000E7B9C"/>
    <w:rsid w:val="000F0497"/>
    <w:rsid w:val="000F05B5"/>
    <w:rsid w:val="000F0872"/>
    <w:rsid w:val="000F0AEA"/>
    <w:rsid w:val="000F0E6A"/>
    <w:rsid w:val="000F1062"/>
    <w:rsid w:val="000F13FF"/>
    <w:rsid w:val="000F1490"/>
    <w:rsid w:val="000F1618"/>
    <w:rsid w:val="000F167D"/>
    <w:rsid w:val="000F16EA"/>
    <w:rsid w:val="000F190F"/>
    <w:rsid w:val="000F2317"/>
    <w:rsid w:val="000F2590"/>
    <w:rsid w:val="000F27F2"/>
    <w:rsid w:val="000F3666"/>
    <w:rsid w:val="000F40E1"/>
    <w:rsid w:val="000F518B"/>
    <w:rsid w:val="000F52EF"/>
    <w:rsid w:val="000F5667"/>
    <w:rsid w:val="000F5AA0"/>
    <w:rsid w:val="000F5ACD"/>
    <w:rsid w:val="000F5C58"/>
    <w:rsid w:val="000F666B"/>
    <w:rsid w:val="000F7194"/>
    <w:rsid w:val="000F7C81"/>
    <w:rsid w:val="00100107"/>
    <w:rsid w:val="00100402"/>
    <w:rsid w:val="001004C6"/>
    <w:rsid w:val="00100A92"/>
    <w:rsid w:val="00101A13"/>
    <w:rsid w:val="001027B0"/>
    <w:rsid w:val="001028C3"/>
    <w:rsid w:val="00102AFD"/>
    <w:rsid w:val="001035A9"/>
    <w:rsid w:val="001038A1"/>
    <w:rsid w:val="0010396E"/>
    <w:rsid w:val="00103E32"/>
    <w:rsid w:val="00103FD9"/>
    <w:rsid w:val="00104753"/>
    <w:rsid w:val="001049F6"/>
    <w:rsid w:val="00104FBB"/>
    <w:rsid w:val="00105165"/>
    <w:rsid w:val="00105A6D"/>
    <w:rsid w:val="0010613A"/>
    <w:rsid w:val="00106B5C"/>
    <w:rsid w:val="00110571"/>
    <w:rsid w:val="0011069D"/>
    <w:rsid w:val="00110F11"/>
    <w:rsid w:val="001113CF"/>
    <w:rsid w:val="0011152D"/>
    <w:rsid w:val="00111BD2"/>
    <w:rsid w:val="00111F09"/>
    <w:rsid w:val="00112488"/>
    <w:rsid w:val="00112547"/>
    <w:rsid w:val="0011255B"/>
    <w:rsid w:val="001128FC"/>
    <w:rsid w:val="00113050"/>
    <w:rsid w:val="00113519"/>
    <w:rsid w:val="001136A0"/>
    <w:rsid w:val="00113FA4"/>
    <w:rsid w:val="00114181"/>
    <w:rsid w:val="00114924"/>
    <w:rsid w:val="00114D1B"/>
    <w:rsid w:val="0011505F"/>
    <w:rsid w:val="00115A9D"/>
    <w:rsid w:val="0011672E"/>
    <w:rsid w:val="001171E0"/>
    <w:rsid w:val="0012075B"/>
    <w:rsid w:val="001207F6"/>
    <w:rsid w:val="00120DEE"/>
    <w:rsid w:val="00120F37"/>
    <w:rsid w:val="00121699"/>
    <w:rsid w:val="001216BE"/>
    <w:rsid w:val="00121F4A"/>
    <w:rsid w:val="00122AEA"/>
    <w:rsid w:val="001230ED"/>
    <w:rsid w:val="001234A5"/>
    <w:rsid w:val="00123C7E"/>
    <w:rsid w:val="00124642"/>
    <w:rsid w:val="00124708"/>
    <w:rsid w:val="00124F4A"/>
    <w:rsid w:val="00125E9F"/>
    <w:rsid w:val="0012652B"/>
    <w:rsid w:val="00126DFF"/>
    <w:rsid w:val="00126E73"/>
    <w:rsid w:val="0012776B"/>
    <w:rsid w:val="0012798F"/>
    <w:rsid w:val="00127D4D"/>
    <w:rsid w:val="0013005F"/>
    <w:rsid w:val="001301D0"/>
    <w:rsid w:val="001301E4"/>
    <w:rsid w:val="00130260"/>
    <w:rsid w:val="00130CF2"/>
    <w:rsid w:val="00131138"/>
    <w:rsid w:val="001313C5"/>
    <w:rsid w:val="00131C64"/>
    <w:rsid w:val="00131D91"/>
    <w:rsid w:val="00132D92"/>
    <w:rsid w:val="00133263"/>
    <w:rsid w:val="00133506"/>
    <w:rsid w:val="0013358B"/>
    <w:rsid w:val="00133E21"/>
    <w:rsid w:val="0013435E"/>
    <w:rsid w:val="0013436E"/>
    <w:rsid w:val="001345EF"/>
    <w:rsid w:val="00134987"/>
    <w:rsid w:val="001350C6"/>
    <w:rsid w:val="00135387"/>
    <w:rsid w:val="001354BD"/>
    <w:rsid w:val="001354C2"/>
    <w:rsid w:val="001355B3"/>
    <w:rsid w:val="00135718"/>
    <w:rsid w:val="00135F7E"/>
    <w:rsid w:val="001364CB"/>
    <w:rsid w:val="00136B90"/>
    <w:rsid w:val="00137476"/>
    <w:rsid w:val="001375DF"/>
    <w:rsid w:val="001400E6"/>
    <w:rsid w:val="00140256"/>
    <w:rsid w:val="00140450"/>
    <w:rsid w:val="001408A1"/>
    <w:rsid w:val="00140A6E"/>
    <w:rsid w:val="00140EF9"/>
    <w:rsid w:val="00141336"/>
    <w:rsid w:val="0014189F"/>
    <w:rsid w:val="00142E8D"/>
    <w:rsid w:val="00143091"/>
    <w:rsid w:val="00143738"/>
    <w:rsid w:val="00143C74"/>
    <w:rsid w:val="00143D66"/>
    <w:rsid w:val="00143E52"/>
    <w:rsid w:val="00144038"/>
    <w:rsid w:val="00144050"/>
    <w:rsid w:val="00144744"/>
    <w:rsid w:val="001448C5"/>
    <w:rsid w:val="0014492E"/>
    <w:rsid w:val="00144A55"/>
    <w:rsid w:val="00145279"/>
    <w:rsid w:val="00145833"/>
    <w:rsid w:val="00146016"/>
    <w:rsid w:val="0014638C"/>
    <w:rsid w:val="00147637"/>
    <w:rsid w:val="0014770D"/>
    <w:rsid w:val="001477D2"/>
    <w:rsid w:val="00147AE7"/>
    <w:rsid w:val="00147BAA"/>
    <w:rsid w:val="00147F00"/>
    <w:rsid w:val="0015008E"/>
    <w:rsid w:val="001505DC"/>
    <w:rsid w:val="0015159A"/>
    <w:rsid w:val="00152D48"/>
    <w:rsid w:val="001531E8"/>
    <w:rsid w:val="001535F3"/>
    <w:rsid w:val="0015370B"/>
    <w:rsid w:val="001538B2"/>
    <w:rsid w:val="00153DE0"/>
    <w:rsid w:val="0015428F"/>
    <w:rsid w:val="001546BC"/>
    <w:rsid w:val="00154736"/>
    <w:rsid w:val="00154BF9"/>
    <w:rsid w:val="00154D4E"/>
    <w:rsid w:val="0015503E"/>
    <w:rsid w:val="00155D7F"/>
    <w:rsid w:val="001562CD"/>
    <w:rsid w:val="001566B0"/>
    <w:rsid w:val="001568D5"/>
    <w:rsid w:val="00156B08"/>
    <w:rsid w:val="00156C0E"/>
    <w:rsid w:val="00157632"/>
    <w:rsid w:val="00157903"/>
    <w:rsid w:val="0015794B"/>
    <w:rsid w:val="00160242"/>
    <w:rsid w:val="001603C0"/>
    <w:rsid w:val="001604E7"/>
    <w:rsid w:val="00161555"/>
    <w:rsid w:val="001615EA"/>
    <w:rsid w:val="00161915"/>
    <w:rsid w:val="001628AD"/>
    <w:rsid w:val="00162E39"/>
    <w:rsid w:val="00162EC6"/>
    <w:rsid w:val="00163163"/>
    <w:rsid w:val="00163B69"/>
    <w:rsid w:val="0016436C"/>
    <w:rsid w:val="00164468"/>
    <w:rsid w:val="00164762"/>
    <w:rsid w:val="0016489B"/>
    <w:rsid w:val="00164A03"/>
    <w:rsid w:val="001654F2"/>
    <w:rsid w:val="0016592D"/>
    <w:rsid w:val="00165FE9"/>
    <w:rsid w:val="00166067"/>
    <w:rsid w:val="00166F39"/>
    <w:rsid w:val="00167483"/>
    <w:rsid w:val="001676F4"/>
    <w:rsid w:val="00167974"/>
    <w:rsid w:val="00167C03"/>
    <w:rsid w:val="00170077"/>
    <w:rsid w:val="00170431"/>
    <w:rsid w:val="00170529"/>
    <w:rsid w:val="001707BA"/>
    <w:rsid w:val="001707F7"/>
    <w:rsid w:val="00171815"/>
    <w:rsid w:val="00171AD9"/>
    <w:rsid w:val="00172935"/>
    <w:rsid w:val="00172B65"/>
    <w:rsid w:val="00172C78"/>
    <w:rsid w:val="001733AB"/>
    <w:rsid w:val="00174007"/>
    <w:rsid w:val="00174F8C"/>
    <w:rsid w:val="00175A5F"/>
    <w:rsid w:val="00175E35"/>
    <w:rsid w:val="0017629F"/>
    <w:rsid w:val="00176396"/>
    <w:rsid w:val="001767F8"/>
    <w:rsid w:val="00176B73"/>
    <w:rsid w:val="00176D16"/>
    <w:rsid w:val="00177D6F"/>
    <w:rsid w:val="00177DE5"/>
    <w:rsid w:val="001800B2"/>
    <w:rsid w:val="00180604"/>
    <w:rsid w:val="001819E5"/>
    <w:rsid w:val="00181D26"/>
    <w:rsid w:val="00181F92"/>
    <w:rsid w:val="00182017"/>
    <w:rsid w:val="00182117"/>
    <w:rsid w:val="0018373A"/>
    <w:rsid w:val="0018408A"/>
    <w:rsid w:val="001844D6"/>
    <w:rsid w:val="00184583"/>
    <w:rsid w:val="00184664"/>
    <w:rsid w:val="0018598B"/>
    <w:rsid w:val="00185A3F"/>
    <w:rsid w:val="00185D40"/>
    <w:rsid w:val="00185E0F"/>
    <w:rsid w:val="00185FC8"/>
    <w:rsid w:val="001868C5"/>
    <w:rsid w:val="00186969"/>
    <w:rsid w:val="001870B0"/>
    <w:rsid w:val="001875F6"/>
    <w:rsid w:val="0018780E"/>
    <w:rsid w:val="00187821"/>
    <w:rsid w:val="00190429"/>
    <w:rsid w:val="00190AB9"/>
    <w:rsid w:val="00190B86"/>
    <w:rsid w:val="00190D2D"/>
    <w:rsid w:val="001918E1"/>
    <w:rsid w:val="001919FC"/>
    <w:rsid w:val="0019259D"/>
    <w:rsid w:val="00192782"/>
    <w:rsid w:val="001927C3"/>
    <w:rsid w:val="00192BC0"/>
    <w:rsid w:val="00193B2F"/>
    <w:rsid w:val="00193BE6"/>
    <w:rsid w:val="001941AA"/>
    <w:rsid w:val="0019472C"/>
    <w:rsid w:val="00194E70"/>
    <w:rsid w:val="00194F19"/>
    <w:rsid w:val="001950D5"/>
    <w:rsid w:val="00195B8D"/>
    <w:rsid w:val="0019644E"/>
    <w:rsid w:val="0019666E"/>
    <w:rsid w:val="0019683D"/>
    <w:rsid w:val="00196FE5"/>
    <w:rsid w:val="00197104"/>
    <w:rsid w:val="00197A1B"/>
    <w:rsid w:val="00197AC7"/>
    <w:rsid w:val="001A0AD0"/>
    <w:rsid w:val="001A0F8B"/>
    <w:rsid w:val="001A1144"/>
    <w:rsid w:val="001A1DE9"/>
    <w:rsid w:val="001A258A"/>
    <w:rsid w:val="001A2640"/>
    <w:rsid w:val="001A2A83"/>
    <w:rsid w:val="001A2B17"/>
    <w:rsid w:val="001A2D35"/>
    <w:rsid w:val="001A4480"/>
    <w:rsid w:val="001A44AE"/>
    <w:rsid w:val="001A4A52"/>
    <w:rsid w:val="001A57B6"/>
    <w:rsid w:val="001A5C9C"/>
    <w:rsid w:val="001A5E54"/>
    <w:rsid w:val="001A5E55"/>
    <w:rsid w:val="001A6248"/>
    <w:rsid w:val="001A6742"/>
    <w:rsid w:val="001A699C"/>
    <w:rsid w:val="001A6E38"/>
    <w:rsid w:val="001A6F2D"/>
    <w:rsid w:val="001A7023"/>
    <w:rsid w:val="001A7455"/>
    <w:rsid w:val="001B049F"/>
    <w:rsid w:val="001B04D8"/>
    <w:rsid w:val="001B05C6"/>
    <w:rsid w:val="001B0D8B"/>
    <w:rsid w:val="001B10EE"/>
    <w:rsid w:val="001B11E2"/>
    <w:rsid w:val="001B126E"/>
    <w:rsid w:val="001B17AF"/>
    <w:rsid w:val="001B17B3"/>
    <w:rsid w:val="001B206E"/>
    <w:rsid w:val="001B2B0D"/>
    <w:rsid w:val="001B3399"/>
    <w:rsid w:val="001B348D"/>
    <w:rsid w:val="001B350A"/>
    <w:rsid w:val="001B36C8"/>
    <w:rsid w:val="001B3C5F"/>
    <w:rsid w:val="001B4666"/>
    <w:rsid w:val="001B5AFD"/>
    <w:rsid w:val="001B5E32"/>
    <w:rsid w:val="001B60C6"/>
    <w:rsid w:val="001B6404"/>
    <w:rsid w:val="001B640F"/>
    <w:rsid w:val="001B6591"/>
    <w:rsid w:val="001B6BF5"/>
    <w:rsid w:val="001B70F7"/>
    <w:rsid w:val="001B77CB"/>
    <w:rsid w:val="001B77DC"/>
    <w:rsid w:val="001C0365"/>
    <w:rsid w:val="001C0440"/>
    <w:rsid w:val="001C1252"/>
    <w:rsid w:val="001C1D8D"/>
    <w:rsid w:val="001C256F"/>
    <w:rsid w:val="001C2613"/>
    <w:rsid w:val="001C2D34"/>
    <w:rsid w:val="001C31F7"/>
    <w:rsid w:val="001C3893"/>
    <w:rsid w:val="001C3D2F"/>
    <w:rsid w:val="001C41FD"/>
    <w:rsid w:val="001C448B"/>
    <w:rsid w:val="001C4971"/>
    <w:rsid w:val="001C4F2A"/>
    <w:rsid w:val="001C500A"/>
    <w:rsid w:val="001C5238"/>
    <w:rsid w:val="001C5498"/>
    <w:rsid w:val="001C5AC2"/>
    <w:rsid w:val="001C5B55"/>
    <w:rsid w:val="001C67E4"/>
    <w:rsid w:val="001C6F1A"/>
    <w:rsid w:val="001C6F7A"/>
    <w:rsid w:val="001D0A19"/>
    <w:rsid w:val="001D0BBD"/>
    <w:rsid w:val="001D0E33"/>
    <w:rsid w:val="001D1140"/>
    <w:rsid w:val="001D115B"/>
    <w:rsid w:val="001D1F6D"/>
    <w:rsid w:val="001D2E04"/>
    <w:rsid w:val="001D319E"/>
    <w:rsid w:val="001D348F"/>
    <w:rsid w:val="001D36CD"/>
    <w:rsid w:val="001D4274"/>
    <w:rsid w:val="001D4A38"/>
    <w:rsid w:val="001D4BD8"/>
    <w:rsid w:val="001D4FB6"/>
    <w:rsid w:val="001D52B5"/>
    <w:rsid w:val="001D55A9"/>
    <w:rsid w:val="001D55D4"/>
    <w:rsid w:val="001D5771"/>
    <w:rsid w:val="001D5793"/>
    <w:rsid w:val="001D57A7"/>
    <w:rsid w:val="001D58AB"/>
    <w:rsid w:val="001D5F83"/>
    <w:rsid w:val="001D7064"/>
    <w:rsid w:val="001D71EC"/>
    <w:rsid w:val="001D742D"/>
    <w:rsid w:val="001D7C8F"/>
    <w:rsid w:val="001D7E28"/>
    <w:rsid w:val="001D7FC3"/>
    <w:rsid w:val="001E0056"/>
    <w:rsid w:val="001E047B"/>
    <w:rsid w:val="001E12A0"/>
    <w:rsid w:val="001E1880"/>
    <w:rsid w:val="001E1CA4"/>
    <w:rsid w:val="001E2670"/>
    <w:rsid w:val="001E286A"/>
    <w:rsid w:val="001E2E25"/>
    <w:rsid w:val="001E3FEB"/>
    <w:rsid w:val="001E416B"/>
    <w:rsid w:val="001E41BB"/>
    <w:rsid w:val="001E41E4"/>
    <w:rsid w:val="001E4265"/>
    <w:rsid w:val="001E473C"/>
    <w:rsid w:val="001E48BF"/>
    <w:rsid w:val="001E4933"/>
    <w:rsid w:val="001E4991"/>
    <w:rsid w:val="001E5220"/>
    <w:rsid w:val="001E5BD6"/>
    <w:rsid w:val="001E6370"/>
    <w:rsid w:val="001E6423"/>
    <w:rsid w:val="001E6E0A"/>
    <w:rsid w:val="001E70EE"/>
    <w:rsid w:val="001E758A"/>
    <w:rsid w:val="001E76D6"/>
    <w:rsid w:val="001E790A"/>
    <w:rsid w:val="001F043E"/>
    <w:rsid w:val="001F089C"/>
    <w:rsid w:val="001F0AD4"/>
    <w:rsid w:val="001F0BFF"/>
    <w:rsid w:val="001F0C07"/>
    <w:rsid w:val="001F132B"/>
    <w:rsid w:val="001F1907"/>
    <w:rsid w:val="001F1DA8"/>
    <w:rsid w:val="001F2099"/>
    <w:rsid w:val="001F2324"/>
    <w:rsid w:val="001F32B1"/>
    <w:rsid w:val="001F3C2D"/>
    <w:rsid w:val="001F3C2E"/>
    <w:rsid w:val="001F45B7"/>
    <w:rsid w:val="001F4896"/>
    <w:rsid w:val="001F5C28"/>
    <w:rsid w:val="001F5CD7"/>
    <w:rsid w:val="001F5FCA"/>
    <w:rsid w:val="001F6166"/>
    <w:rsid w:val="001F6A7B"/>
    <w:rsid w:val="001F7847"/>
    <w:rsid w:val="001F796A"/>
    <w:rsid w:val="00200716"/>
    <w:rsid w:val="00200731"/>
    <w:rsid w:val="00200F51"/>
    <w:rsid w:val="00201153"/>
    <w:rsid w:val="002016C4"/>
    <w:rsid w:val="002016E4"/>
    <w:rsid w:val="00201E7A"/>
    <w:rsid w:val="002022FB"/>
    <w:rsid w:val="00202766"/>
    <w:rsid w:val="002029C8"/>
    <w:rsid w:val="00202C9F"/>
    <w:rsid w:val="00202D80"/>
    <w:rsid w:val="00202FD4"/>
    <w:rsid w:val="00203091"/>
    <w:rsid w:val="0020359A"/>
    <w:rsid w:val="002044F6"/>
    <w:rsid w:val="00204FB1"/>
    <w:rsid w:val="002054FA"/>
    <w:rsid w:val="00205774"/>
    <w:rsid w:val="002065CB"/>
    <w:rsid w:val="002077E5"/>
    <w:rsid w:val="002078B9"/>
    <w:rsid w:val="00207939"/>
    <w:rsid w:val="002108FA"/>
    <w:rsid w:val="00211769"/>
    <w:rsid w:val="002118E8"/>
    <w:rsid w:val="00211DD3"/>
    <w:rsid w:val="002124A1"/>
    <w:rsid w:val="00212BAA"/>
    <w:rsid w:val="002137A4"/>
    <w:rsid w:val="00213B04"/>
    <w:rsid w:val="00213E05"/>
    <w:rsid w:val="00214673"/>
    <w:rsid w:val="002146D2"/>
    <w:rsid w:val="0021551B"/>
    <w:rsid w:val="00215587"/>
    <w:rsid w:val="002157A6"/>
    <w:rsid w:val="002157DA"/>
    <w:rsid w:val="00215890"/>
    <w:rsid w:val="00215C80"/>
    <w:rsid w:val="00215D60"/>
    <w:rsid w:val="00216127"/>
    <w:rsid w:val="00216320"/>
    <w:rsid w:val="00216329"/>
    <w:rsid w:val="002168E6"/>
    <w:rsid w:val="00216F27"/>
    <w:rsid w:val="00217091"/>
    <w:rsid w:val="00217AF8"/>
    <w:rsid w:val="00217F23"/>
    <w:rsid w:val="00217F6D"/>
    <w:rsid w:val="00221730"/>
    <w:rsid w:val="00221AE5"/>
    <w:rsid w:val="00222A94"/>
    <w:rsid w:val="00222AA8"/>
    <w:rsid w:val="00222C01"/>
    <w:rsid w:val="00222FC1"/>
    <w:rsid w:val="00223678"/>
    <w:rsid w:val="00223BD9"/>
    <w:rsid w:val="00224040"/>
    <w:rsid w:val="00224E8E"/>
    <w:rsid w:val="00225E87"/>
    <w:rsid w:val="00225EF8"/>
    <w:rsid w:val="0022665F"/>
    <w:rsid w:val="002266EB"/>
    <w:rsid w:val="00226870"/>
    <w:rsid w:val="00226894"/>
    <w:rsid w:val="00226AB0"/>
    <w:rsid w:val="002302A1"/>
    <w:rsid w:val="00230A08"/>
    <w:rsid w:val="00230BAF"/>
    <w:rsid w:val="00230BB6"/>
    <w:rsid w:val="002310B7"/>
    <w:rsid w:val="00231C98"/>
    <w:rsid w:val="00231CED"/>
    <w:rsid w:val="0023218A"/>
    <w:rsid w:val="002322E9"/>
    <w:rsid w:val="00232346"/>
    <w:rsid w:val="002328A0"/>
    <w:rsid w:val="00232ABC"/>
    <w:rsid w:val="002330FB"/>
    <w:rsid w:val="00233B3D"/>
    <w:rsid w:val="00233EA5"/>
    <w:rsid w:val="00234CE1"/>
    <w:rsid w:val="002354EB"/>
    <w:rsid w:val="002356F5"/>
    <w:rsid w:val="00235ABE"/>
    <w:rsid w:val="00235D49"/>
    <w:rsid w:val="00235FD6"/>
    <w:rsid w:val="00236070"/>
    <w:rsid w:val="002360B4"/>
    <w:rsid w:val="00236167"/>
    <w:rsid w:val="002363BC"/>
    <w:rsid w:val="00237023"/>
    <w:rsid w:val="002374A7"/>
    <w:rsid w:val="00237DF8"/>
    <w:rsid w:val="00241809"/>
    <w:rsid w:val="00241D03"/>
    <w:rsid w:val="00241FC2"/>
    <w:rsid w:val="002421FE"/>
    <w:rsid w:val="00242900"/>
    <w:rsid w:val="002433B1"/>
    <w:rsid w:val="00243D68"/>
    <w:rsid w:val="00243FA8"/>
    <w:rsid w:val="0024486B"/>
    <w:rsid w:val="00244C8F"/>
    <w:rsid w:val="002462B4"/>
    <w:rsid w:val="0024652B"/>
    <w:rsid w:val="0024680D"/>
    <w:rsid w:val="00246E89"/>
    <w:rsid w:val="00246FFE"/>
    <w:rsid w:val="0024717A"/>
    <w:rsid w:val="00247969"/>
    <w:rsid w:val="00250015"/>
    <w:rsid w:val="00250A79"/>
    <w:rsid w:val="0025105F"/>
    <w:rsid w:val="00251289"/>
    <w:rsid w:val="002521F3"/>
    <w:rsid w:val="00252245"/>
    <w:rsid w:val="002532CB"/>
    <w:rsid w:val="00253ABF"/>
    <w:rsid w:val="00255369"/>
    <w:rsid w:val="00255EB3"/>
    <w:rsid w:val="00256B19"/>
    <w:rsid w:val="00256F24"/>
    <w:rsid w:val="0025749E"/>
    <w:rsid w:val="002600C6"/>
    <w:rsid w:val="0026041C"/>
    <w:rsid w:val="00260780"/>
    <w:rsid w:val="002615BE"/>
    <w:rsid w:val="00261E97"/>
    <w:rsid w:val="002626D8"/>
    <w:rsid w:val="002634B6"/>
    <w:rsid w:val="00263B78"/>
    <w:rsid w:val="00264708"/>
    <w:rsid w:val="00265850"/>
    <w:rsid w:val="00265D4C"/>
    <w:rsid w:val="00266235"/>
    <w:rsid w:val="00266CCF"/>
    <w:rsid w:val="002677A8"/>
    <w:rsid w:val="002713CC"/>
    <w:rsid w:val="0027140D"/>
    <w:rsid w:val="00271762"/>
    <w:rsid w:val="00271827"/>
    <w:rsid w:val="00271BBC"/>
    <w:rsid w:val="00271C91"/>
    <w:rsid w:val="0027215F"/>
    <w:rsid w:val="002725F2"/>
    <w:rsid w:val="00272B72"/>
    <w:rsid w:val="00272DBB"/>
    <w:rsid w:val="00273A68"/>
    <w:rsid w:val="0027452A"/>
    <w:rsid w:val="00274733"/>
    <w:rsid w:val="00274873"/>
    <w:rsid w:val="002751E4"/>
    <w:rsid w:val="00275981"/>
    <w:rsid w:val="00275A3E"/>
    <w:rsid w:val="00275D0A"/>
    <w:rsid w:val="00275ED5"/>
    <w:rsid w:val="00275FB4"/>
    <w:rsid w:val="00276A0E"/>
    <w:rsid w:val="00276D65"/>
    <w:rsid w:val="002773B1"/>
    <w:rsid w:val="00277E80"/>
    <w:rsid w:val="0028016A"/>
    <w:rsid w:val="002802CB"/>
    <w:rsid w:val="00280783"/>
    <w:rsid w:val="00280DE9"/>
    <w:rsid w:val="00280EA4"/>
    <w:rsid w:val="002816EE"/>
    <w:rsid w:val="00281864"/>
    <w:rsid w:val="00281DDF"/>
    <w:rsid w:val="00282477"/>
    <w:rsid w:val="00282E23"/>
    <w:rsid w:val="00282F70"/>
    <w:rsid w:val="002836C9"/>
    <w:rsid w:val="00283A70"/>
    <w:rsid w:val="00283AE0"/>
    <w:rsid w:val="00283B3F"/>
    <w:rsid w:val="0028485F"/>
    <w:rsid w:val="002848F0"/>
    <w:rsid w:val="00284CA7"/>
    <w:rsid w:val="00284EDE"/>
    <w:rsid w:val="00285005"/>
    <w:rsid w:val="00285339"/>
    <w:rsid w:val="002854EF"/>
    <w:rsid w:val="00286B5E"/>
    <w:rsid w:val="00286BC6"/>
    <w:rsid w:val="002873FC"/>
    <w:rsid w:val="0028741D"/>
    <w:rsid w:val="002875BF"/>
    <w:rsid w:val="0029061F"/>
    <w:rsid w:val="00290A38"/>
    <w:rsid w:val="00290B97"/>
    <w:rsid w:val="00290BF8"/>
    <w:rsid w:val="00291540"/>
    <w:rsid w:val="00291555"/>
    <w:rsid w:val="00292880"/>
    <w:rsid w:val="00292909"/>
    <w:rsid w:val="00293F8E"/>
    <w:rsid w:val="00294578"/>
    <w:rsid w:val="002948D0"/>
    <w:rsid w:val="002950B2"/>
    <w:rsid w:val="002955B7"/>
    <w:rsid w:val="00295856"/>
    <w:rsid w:val="00295A03"/>
    <w:rsid w:val="00295C5F"/>
    <w:rsid w:val="00295F35"/>
    <w:rsid w:val="002962C8"/>
    <w:rsid w:val="00296DDD"/>
    <w:rsid w:val="002971A6"/>
    <w:rsid w:val="00297333"/>
    <w:rsid w:val="00297924"/>
    <w:rsid w:val="00297A28"/>
    <w:rsid w:val="002A011F"/>
    <w:rsid w:val="002A33C3"/>
    <w:rsid w:val="002A36D7"/>
    <w:rsid w:val="002A3876"/>
    <w:rsid w:val="002A3B19"/>
    <w:rsid w:val="002A4548"/>
    <w:rsid w:val="002A4DAB"/>
    <w:rsid w:val="002A513E"/>
    <w:rsid w:val="002A520F"/>
    <w:rsid w:val="002A601E"/>
    <w:rsid w:val="002A6182"/>
    <w:rsid w:val="002A75FF"/>
    <w:rsid w:val="002A78C9"/>
    <w:rsid w:val="002A79C8"/>
    <w:rsid w:val="002B0214"/>
    <w:rsid w:val="002B091C"/>
    <w:rsid w:val="002B0C85"/>
    <w:rsid w:val="002B101E"/>
    <w:rsid w:val="002B18D8"/>
    <w:rsid w:val="002B20F5"/>
    <w:rsid w:val="002B2138"/>
    <w:rsid w:val="002B2210"/>
    <w:rsid w:val="002B22E3"/>
    <w:rsid w:val="002B2572"/>
    <w:rsid w:val="002B2627"/>
    <w:rsid w:val="002B2F9A"/>
    <w:rsid w:val="002B3BE6"/>
    <w:rsid w:val="002B3C10"/>
    <w:rsid w:val="002B3E80"/>
    <w:rsid w:val="002B4873"/>
    <w:rsid w:val="002B4F6C"/>
    <w:rsid w:val="002B4F72"/>
    <w:rsid w:val="002B5570"/>
    <w:rsid w:val="002B5C3F"/>
    <w:rsid w:val="002B5FB5"/>
    <w:rsid w:val="002B637F"/>
    <w:rsid w:val="002B666B"/>
    <w:rsid w:val="002B6D31"/>
    <w:rsid w:val="002B6ED9"/>
    <w:rsid w:val="002B6FEE"/>
    <w:rsid w:val="002B7203"/>
    <w:rsid w:val="002B761B"/>
    <w:rsid w:val="002B764F"/>
    <w:rsid w:val="002B78F9"/>
    <w:rsid w:val="002B7B3D"/>
    <w:rsid w:val="002B7C29"/>
    <w:rsid w:val="002B7D7E"/>
    <w:rsid w:val="002C0170"/>
    <w:rsid w:val="002C0854"/>
    <w:rsid w:val="002C0F04"/>
    <w:rsid w:val="002C1654"/>
    <w:rsid w:val="002C18EC"/>
    <w:rsid w:val="002C1AED"/>
    <w:rsid w:val="002C1CC7"/>
    <w:rsid w:val="002C201D"/>
    <w:rsid w:val="002C2108"/>
    <w:rsid w:val="002C225B"/>
    <w:rsid w:val="002C2287"/>
    <w:rsid w:val="002C3247"/>
    <w:rsid w:val="002C36F5"/>
    <w:rsid w:val="002C37FC"/>
    <w:rsid w:val="002C3812"/>
    <w:rsid w:val="002C3A42"/>
    <w:rsid w:val="002C3AA2"/>
    <w:rsid w:val="002C5792"/>
    <w:rsid w:val="002C65FD"/>
    <w:rsid w:val="002C6630"/>
    <w:rsid w:val="002C66C3"/>
    <w:rsid w:val="002C6725"/>
    <w:rsid w:val="002D0EA4"/>
    <w:rsid w:val="002D20A2"/>
    <w:rsid w:val="002D20EB"/>
    <w:rsid w:val="002D2B09"/>
    <w:rsid w:val="002D3029"/>
    <w:rsid w:val="002D356B"/>
    <w:rsid w:val="002D37DD"/>
    <w:rsid w:val="002D4B00"/>
    <w:rsid w:val="002D4C48"/>
    <w:rsid w:val="002D50D3"/>
    <w:rsid w:val="002D54F1"/>
    <w:rsid w:val="002D559F"/>
    <w:rsid w:val="002D568F"/>
    <w:rsid w:val="002D58D2"/>
    <w:rsid w:val="002D5F6F"/>
    <w:rsid w:val="002D5FE8"/>
    <w:rsid w:val="002D6204"/>
    <w:rsid w:val="002D62CD"/>
    <w:rsid w:val="002D6692"/>
    <w:rsid w:val="002D6749"/>
    <w:rsid w:val="002D6803"/>
    <w:rsid w:val="002D6CDD"/>
    <w:rsid w:val="002E0445"/>
    <w:rsid w:val="002E06F8"/>
    <w:rsid w:val="002E0799"/>
    <w:rsid w:val="002E0A30"/>
    <w:rsid w:val="002E0AD8"/>
    <w:rsid w:val="002E0B4A"/>
    <w:rsid w:val="002E10B3"/>
    <w:rsid w:val="002E1734"/>
    <w:rsid w:val="002E2246"/>
    <w:rsid w:val="002E278B"/>
    <w:rsid w:val="002E2A1D"/>
    <w:rsid w:val="002E2EA2"/>
    <w:rsid w:val="002E3065"/>
    <w:rsid w:val="002E30C0"/>
    <w:rsid w:val="002E331F"/>
    <w:rsid w:val="002E3EA6"/>
    <w:rsid w:val="002E41CE"/>
    <w:rsid w:val="002E47C8"/>
    <w:rsid w:val="002E4C07"/>
    <w:rsid w:val="002E4C15"/>
    <w:rsid w:val="002E4F26"/>
    <w:rsid w:val="002E51D5"/>
    <w:rsid w:val="002E5219"/>
    <w:rsid w:val="002E5BBA"/>
    <w:rsid w:val="002E5C5A"/>
    <w:rsid w:val="002E5CF9"/>
    <w:rsid w:val="002E63CC"/>
    <w:rsid w:val="002E63E8"/>
    <w:rsid w:val="002E6D0B"/>
    <w:rsid w:val="002E72FB"/>
    <w:rsid w:val="002E74A9"/>
    <w:rsid w:val="002E76F6"/>
    <w:rsid w:val="002E789D"/>
    <w:rsid w:val="002F04DF"/>
    <w:rsid w:val="002F1392"/>
    <w:rsid w:val="002F18C6"/>
    <w:rsid w:val="002F2969"/>
    <w:rsid w:val="002F2CE7"/>
    <w:rsid w:val="002F303C"/>
    <w:rsid w:val="002F33F3"/>
    <w:rsid w:val="002F3793"/>
    <w:rsid w:val="002F3A36"/>
    <w:rsid w:val="002F4117"/>
    <w:rsid w:val="002F438E"/>
    <w:rsid w:val="002F4647"/>
    <w:rsid w:val="002F4C13"/>
    <w:rsid w:val="002F5125"/>
    <w:rsid w:val="002F53D1"/>
    <w:rsid w:val="002F5477"/>
    <w:rsid w:val="002F56F6"/>
    <w:rsid w:val="002F5867"/>
    <w:rsid w:val="002F67B0"/>
    <w:rsid w:val="002F6CB2"/>
    <w:rsid w:val="002F740B"/>
    <w:rsid w:val="002F7750"/>
    <w:rsid w:val="002F79C3"/>
    <w:rsid w:val="00300855"/>
    <w:rsid w:val="00300A2F"/>
    <w:rsid w:val="0030193E"/>
    <w:rsid w:val="00301AAB"/>
    <w:rsid w:val="0030243D"/>
    <w:rsid w:val="00302B88"/>
    <w:rsid w:val="00302E41"/>
    <w:rsid w:val="003031C5"/>
    <w:rsid w:val="0030357E"/>
    <w:rsid w:val="00303628"/>
    <w:rsid w:val="003043E8"/>
    <w:rsid w:val="00304410"/>
    <w:rsid w:val="00304EDE"/>
    <w:rsid w:val="003055AB"/>
    <w:rsid w:val="003059C0"/>
    <w:rsid w:val="00305EAF"/>
    <w:rsid w:val="00306284"/>
    <w:rsid w:val="00306738"/>
    <w:rsid w:val="0030716C"/>
    <w:rsid w:val="003072DA"/>
    <w:rsid w:val="003100B8"/>
    <w:rsid w:val="003105E2"/>
    <w:rsid w:val="00312881"/>
    <w:rsid w:val="00312CFC"/>
    <w:rsid w:val="00312F5D"/>
    <w:rsid w:val="0031328A"/>
    <w:rsid w:val="003137F7"/>
    <w:rsid w:val="00313877"/>
    <w:rsid w:val="00313899"/>
    <w:rsid w:val="00313A80"/>
    <w:rsid w:val="00313C92"/>
    <w:rsid w:val="0031415B"/>
    <w:rsid w:val="003141D3"/>
    <w:rsid w:val="0031581D"/>
    <w:rsid w:val="00316236"/>
    <w:rsid w:val="003165B5"/>
    <w:rsid w:val="003172B7"/>
    <w:rsid w:val="00317A27"/>
    <w:rsid w:val="00317BA9"/>
    <w:rsid w:val="00317BC8"/>
    <w:rsid w:val="00317D2F"/>
    <w:rsid w:val="00317D7E"/>
    <w:rsid w:val="003202E1"/>
    <w:rsid w:val="00320E9A"/>
    <w:rsid w:val="00320EFE"/>
    <w:rsid w:val="00320F35"/>
    <w:rsid w:val="00321018"/>
    <w:rsid w:val="003211B8"/>
    <w:rsid w:val="003212D6"/>
    <w:rsid w:val="00321302"/>
    <w:rsid w:val="00321434"/>
    <w:rsid w:val="003214C6"/>
    <w:rsid w:val="0032165D"/>
    <w:rsid w:val="00321EBF"/>
    <w:rsid w:val="003220CB"/>
    <w:rsid w:val="00322140"/>
    <w:rsid w:val="00322219"/>
    <w:rsid w:val="003228AD"/>
    <w:rsid w:val="00322E8C"/>
    <w:rsid w:val="00322EC0"/>
    <w:rsid w:val="0032532A"/>
    <w:rsid w:val="00325332"/>
    <w:rsid w:val="003255E0"/>
    <w:rsid w:val="0032574E"/>
    <w:rsid w:val="00325C8A"/>
    <w:rsid w:val="00326997"/>
    <w:rsid w:val="00327511"/>
    <w:rsid w:val="00327515"/>
    <w:rsid w:val="00327CEB"/>
    <w:rsid w:val="00327EB2"/>
    <w:rsid w:val="003300B0"/>
    <w:rsid w:val="003303D4"/>
    <w:rsid w:val="00330B58"/>
    <w:rsid w:val="00331157"/>
    <w:rsid w:val="00331399"/>
    <w:rsid w:val="00331524"/>
    <w:rsid w:val="0033169F"/>
    <w:rsid w:val="00331704"/>
    <w:rsid w:val="00331D4E"/>
    <w:rsid w:val="003324D2"/>
    <w:rsid w:val="00332A63"/>
    <w:rsid w:val="00332B98"/>
    <w:rsid w:val="003330F3"/>
    <w:rsid w:val="0033329A"/>
    <w:rsid w:val="0033339D"/>
    <w:rsid w:val="00333597"/>
    <w:rsid w:val="00333A7E"/>
    <w:rsid w:val="00333BEE"/>
    <w:rsid w:val="0033427B"/>
    <w:rsid w:val="00334697"/>
    <w:rsid w:val="003346A6"/>
    <w:rsid w:val="003346B1"/>
    <w:rsid w:val="0033488A"/>
    <w:rsid w:val="00334EFF"/>
    <w:rsid w:val="00336BDA"/>
    <w:rsid w:val="003378F6"/>
    <w:rsid w:val="00337D02"/>
    <w:rsid w:val="00337D6B"/>
    <w:rsid w:val="00340282"/>
    <w:rsid w:val="0034042F"/>
    <w:rsid w:val="003404F5"/>
    <w:rsid w:val="003405EF"/>
    <w:rsid w:val="00340B38"/>
    <w:rsid w:val="00340BE8"/>
    <w:rsid w:val="00341372"/>
    <w:rsid w:val="003413CE"/>
    <w:rsid w:val="0034170D"/>
    <w:rsid w:val="003418FB"/>
    <w:rsid w:val="00341A52"/>
    <w:rsid w:val="00341BEB"/>
    <w:rsid w:val="00342663"/>
    <w:rsid w:val="003430EA"/>
    <w:rsid w:val="00343F1F"/>
    <w:rsid w:val="003440B2"/>
    <w:rsid w:val="0034457E"/>
    <w:rsid w:val="003449E8"/>
    <w:rsid w:val="0034502D"/>
    <w:rsid w:val="003457F5"/>
    <w:rsid w:val="0034582A"/>
    <w:rsid w:val="00345C46"/>
    <w:rsid w:val="00345EEF"/>
    <w:rsid w:val="00346671"/>
    <w:rsid w:val="00347593"/>
    <w:rsid w:val="00347697"/>
    <w:rsid w:val="00347FEB"/>
    <w:rsid w:val="00350C0D"/>
    <w:rsid w:val="003510E5"/>
    <w:rsid w:val="003512A5"/>
    <w:rsid w:val="003512E1"/>
    <w:rsid w:val="00351766"/>
    <w:rsid w:val="00351EB0"/>
    <w:rsid w:val="00351EBA"/>
    <w:rsid w:val="0035307E"/>
    <w:rsid w:val="0035316E"/>
    <w:rsid w:val="00353FD8"/>
    <w:rsid w:val="003541FA"/>
    <w:rsid w:val="00354365"/>
    <w:rsid w:val="0035458E"/>
    <w:rsid w:val="00354C6B"/>
    <w:rsid w:val="00354CB9"/>
    <w:rsid w:val="00354F27"/>
    <w:rsid w:val="0035540F"/>
    <w:rsid w:val="003557A9"/>
    <w:rsid w:val="003562BB"/>
    <w:rsid w:val="00356751"/>
    <w:rsid w:val="00356AA2"/>
    <w:rsid w:val="0035707C"/>
    <w:rsid w:val="00357DEB"/>
    <w:rsid w:val="00360426"/>
    <w:rsid w:val="0036127D"/>
    <w:rsid w:val="003612B0"/>
    <w:rsid w:val="003623C5"/>
    <w:rsid w:val="00363617"/>
    <w:rsid w:val="00363E99"/>
    <w:rsid w:val="00364756"/>
    <w:rsid w:val="003647DE"/>
    <w:rsid w:val="003652DB"/>
    <w:rsid w:val="00365F84"/>
    <w:rsid w:val="003660E4"/>
    <w:rsid w:val="00366536"/>
    <w:rsid w:val="0036702C"/>
    <w:rsid w:val="003671A3"/>
    <w:rsid w:val="00367B14"/>
    <w:rsid w:val="00370E91"/>
    <w:rsid w:val="003716CC"/>
    <w:rsid w:val="00372160"/>
    <w:rsid w:val="00372A25"/>
    <w:rsid w:val="00372A7C"/>
    <w:rsid w:val="003734C7"/>
    <w:rsid w:val="003739F2"/>
    <w:rsid w:val="00373B8C"/>
    <w:rsid w:val="00373DAB"/>
    <w:rsid w:val="00373E66"/>
    <w:rsid w:val="00374542"/>
    <w:rsid w:val="003745E8"/>
    <w:rsid w:val="00375888"/>
    <w:rsid w:val="00375A5D"/>
    <w:rsid w:val="00376369"/>
    <w:rsid w:val="003763E6"/>
    <w:rsid w:val="003764C9"/>
    <w:rsid w:val="0037656C"/>
    <w:rsid w:val="0038007A"/>
    <w:rsid w:val="003801E8"/>
    <w:rsid w:val="00380339"/>
    <w:rsid w:val="00380799"/>
    <w:rsid w:val="003811F2"/>
    <w:rsid w:val="003818A9"/>
    <w:rsid w:val="0038191E"/>
    <w:rsid w:val="00381B91"/>
    <w:rsid w:val="00381E6D"/>
    <w:rsid w:val="00381FE6"/>
    <w:rsid w:val="00382733"/>
    <w:rsid w:val="00383E3D"/>
    <w:rsid w:val="003849F7"/>
    <w:rsid w:val="0038516D"/>
    <w:rsid w:val="0038535D"/>
    <w:rsid w:val="00386444"/>
    <w:rsid w:val="00386A63"/>
    <w:rsid w:val="00386DFD"/>
    <w:rsid w:val="00387493"/>
    <w:rsid w:val="003875B5"/>
    <w:rsid w:val="00387777"/>
    <w:rsid w:val="0039062B"/>
    <w:rsid w:val="00393052"/>
    <w:rsid w:val="0039313C"/>
    <w:rsid w:val="00393666"/>
    <w:rsid w:val="0039367E"/>
    <w:rsid w:val="0039391E"/>
    <w:rsid w:val="003947AF"/>
    <w:rsid w:val="00394BB8"/>
    <w:rsid w:val="0039531D"/>
    <w:rsid w:val="00395A3C"/>
    <w:rsid w:val="00395A7C"/>
    <w:rsid w:val="00395E87"/>
    <w:rsid w:val="00396E56"/>
    <w:rsid w:val="00397547"/>
    <w:rsid w:val="00397E3B"/>
    <w:rsid w:val="00397EF4"/>
    <w:rsid w:val="00397FDB"/>
    <w:rsid w:val="003A0502"/>
    <w:rsid w:val="003A0F65"/>
    <w:rsid w:val="003A1B2D"/>
    <w:rsid w:val="003A2356"/>
    <w:rsid w:val="003A2654"/>
    <w:rsid w:val="003A27B6"/>
    <w:rsid w:val="003A27D1"/>
    <w:rsid w:val="003A3C98"/>
    <w:rsid w:val="003A3EDA"/>
    <w:rsid w:val="003A4413"/>
    <w:rsid w:val="003A4598"/>
    <w:rsid w:val="003A47C9"/>
    <w:rsid w:val="003A48AB"/>
    <w:rsid w:val="003A4F5F"/>
    <w:rsid w:val="003A51D2"/>
    <w:rsid w:val="003A52DF"/>
    <w:rsid w:val="003A5ED3"/>
    <w:rsid w:val="003A6AF7"/>
    <w:rsid w:val="003A6E3F"/>
    <w:rsid w:val="003A7364"/>
    <w:rsid w:val="003B0482"/>
    <w:rsid w:val="003B070C"/>
    <w:rsid w:val="003B10C3"/>
    <w:rsid w:val="003B10E2"/>
    <w:rsid w:val="003B1357"/>
    <w:rsid w:val="003B18C9"/>
    <w:rsid w:val="003B19AA"/>
    <w:rsid w:val="003B1D81"/>
    <w:rsid w:val="003B1FCA"/>
    <w:rsid w:val="003B2C4C"/>
    <w:rsid w:val="003B2DD4"/>
    <w:rsid w:val="003B3033"/>
    <w:rsid w:val="003B441E"/>
    <w:rsid w:val="003B4FBA"/>
    <w:rsid w:val="003B560E"/>
    <w:rsid w:val="003B5F15"/>
    <w:rsid w:val="003B63D3"/>
    <w:rsid w:val="003B6632"/>
    <w:rsid w:val="003B6AE3"/>
    <w:rsid w:val="003B706F"/>
    <w:rsid w:val="003B723D"/>
    <w:rsid w:val="003B7468"/>
    <w:rsid w:val="003B79A7"/>
    <w:rsid w:val="003B7C6B"/>
    <w:rsid w:val="003C0118"/>
    <w:rsid w:val="003C0E78"/>
    <w:rsid w:val="003C1246"/>
    <w:rsid w:val="003C1C58"/>
    <w:rsid w:val="003C24F9"/>
    <w:rsid w:val="003C2A7A"/>
    <w:rsid w:val="003C327D"/>
    <w:rsid w:val="003C37D6"/>
    <w:rsid w:val="003C3BA9"/>
    <w:rsid w:val="003C3BB8"/>
    <w:rsid w:val="003C3CC1"/>
    <w:rsid w:val="003C437D"/>
    <w:rsid w:val="003C4580"/>
    <w:rsid w:val="003C461F"/>
    <w:rsid w:val="003C46D8"/>
    <w:rsid w:val="003C4F3A"/>
    <w:rsid w:val="003C5433"/>
    <w:rsid w:val="003C561A"/>
    <w:rsid w:val="003C65DF"/>
    <w:rsid w:val="003C6715"/>
    <w:rsid w:val="003C6DA9"/>
    <w:rsid w:val="003C7A22"/>
    <w:rsid w:val="003C7B78"/>
    <w:rsid w:val="003C7C29"/>
    <w:rsid w:val="003D03A6"/>
    <w:rsid w:val="003D061A"/>
    <w:rsid w:val="003D0826"/>
    <w:rsid w:val="003D0903"/>
    <w:rsid w:val="003D16A5"/>
    <w:rsid w:val="003D1D00"/>
    <w:rsid w:val="003D1F09"/>
    <w:rsid w:val="003D2DB6"/>
    <w:rsid w:val="003D3DFE"/>
    <w:rsid w:val="003D5221"/>
    <w:rsid w:val="003D53FB"/>
    <w:rsid w:val="003D6257"/>
    <w:rsid w:val="003D69A3"/>
    <w:rsid w:val="003D6AEE"/>
    <w:rsid w:val="003D6C2D"/>
    <w:rsid w:val="003D7067"/>
    <w:rsid w:val="003D7DC0"/>
    <w:rsid w:val="003E08CF"/>
    <w:rsid w:val="003E0C2C"/>
    <w:rsid w:val="003E13CA"/>
    <w:rsid w:val="003E2F22"/>
    <w:rsid w:val="003E3319"/>
    <w:rsid w:val="003E359E"/>
    <w:rsid w:val="003E3A9D"/>
    <w:rsid w:val="003E3B85"/>
    <w:rsid w:val="003E413C"/>
    <w:rsid w:val="003E4411"/>
    <w:rsid w:val="003E46C9"/>
    <w:rsid w:val="003E4954"/>
    <w:rsid w:val="003E55CF"/>
    <w:rsid w:val="003E5637"/>
    <w:rsid w:val="003E5FE9"/>
    <w:rsid w:val="003E668A"/>
    <w:rsid w:val="003E6B36"/>
    <w:rsid w:val="003E6DA9"/>
    <w:rsid w:val="003E6DBA"/>
    <w:rsid w:val="003E6E32"/>
    <w:rsid w:val="003E7133"/>
    <w:rsid w:val="003E7297"/>
    <w:rsid w:val="003E72F0"/>
    <w:rsid w:val="003E74D5"/>
    <w:rsid w:val="003F14E0"/>
    <w:rsid w:val="003F15E4"/>
    <w:rsid w:val="003F1A83"/>
    <w:rsid w:val="003F2095"/>
    <w:rsid w:val="003F2619"/>
    <w:rsid w:val="003F2879"/>
    <w:rsid w:val="003F2902"/>
    <w:rsid w:val="003F2979"/>
    <w:rsid w:val="003F2F46"/>
    <w:rsid w:val="003F46C0"/>
    <w:rsid w:val="003F4867"/>
    <w:rsid w:val="003F4871"/>
    <w:rsid w:val="003F4894"/>
    <w:rsid w:val="003F4B0C"/>
    <w:rsid w:val="003F5B8D"/>
    <w:rsid w:val="003F66D2"/>
    <w:rsid w:val="003F69BE"/>
    <w:rsid w:val="003F6F72"/>
    <w:rsid w:val="003F7089"/>
    <w:rsid w:val="003F7431"/>
    <w:rsid w:val="003F7C1E"/>
    <w:rsid w:val="003F7E72"/>
    <w:rsid w:val="00400114"/>
    <w:rsid w:val="004002E9"/>
    <w:rsid w:val="00400660"/>
    <w:rsid w:val="004006FE"/>
    <w:rsid w:val="00400706"/>
    <w:rsid w:val="00400D33"/>
    <w:rsid w:val="00400E87"/>
    <w:rsid w:val="00401278"/>
    <w:rsid w:val="004015A7"/>
    <w:rsid w:val="00401D08"/>
    <w:rsid w:val="00401F8D"/>
    <w:rsid w:val="00402A5C"/>
    <w:rsid w:val="00402FDD"/>
    <w:rsid w:val="0040376F"/>
    <w:rsid w:val="00404031"/>
    <w:rsid w:val="004048FC"/>
    <w:rsid w:val="00405891"/>
    <w:rsid w:val="00405EE1"/>
    <w:rsid w:val="004067DE"/>
    <w:rsid w:val="00406E67"/>
    <w:rsid w:val="00407712"/>
    <w:rsid w:val="00407A49"/>
    <w:rsid w:val="0041029A"/>
    <w:rsid w:val="00410F1C"/>
    <w:rsid w:val="0041190E"/>
    <w:rsid w:val="004119A6"/>
    <w:rsid w:val="00412568"/>
    <w:rsid w:val="00412B77"/>
    <w:rsid w:val="00413B9D"/>
    <w:rsid w:val="004145B5"/>
    <w:rsid w:val="00414640"/>
    <w:rsid w:val="00414DB9"/>
    <w:rsid w:val="004153CF"/>
    <w:rsid w:val="00415574"/>
    <w:rsid w:val="00415696"/>
    <w:rsid w:val="00416C34"/>
    <w:rsid w:val="00416EF1"/>
    <w:rsid w:val="004172A4"/>
    <w:rsid w:val="00417305"/>
    <w:rsid w:val="00417351"/>
    <w:rsid w:val="00417507"/>
    <w:rsid w:val="00417815"/>
    <w:rsid w:val="00417DD0"/>
    <w:rsid w:val="00417EA3"/>
    <w:rsid w:val="00420412"/>
    <w:rsid w:val="00420630"/>
    <w:rsid w:val="004208FF"/>
    <w:rsid w:val="00420BC7"/>
    <w:rsid w:val="00420DDE"/>
    <w:rsid w:val="004211B9"/>
    <w:rsid w:val="00421240"/>
    <w:rsid w:val="004214EB"/>
    <w:rsid w:val="00421841"/>
    <w:rsid w:val="00421C13"/>
    <w:rsid w:val="0042200A"/>
    <w:rsid w:val="0042235A"/>
    <w:rsid w:val="00422636"/>
    <w:rsid w:val="0042328B"/>
    <w:rsid w:val="004236C3"/>
    <w:rsid w:val="00423728"/>
    <w:rsid w:val="0042397C"/>
    <w:rsid w:val="00423B8F"/>
    <w:rsid w:val="00424F8B"/>
    <w:rsid w:val="00425363"/>
    <w:rsid w:val="004269DE"/>
    <w:rsid w:val="00426D6A"/>
    <w:rsid w:val="00427791"/>
    <w:rsid w:val="00427ABC"/>
    <w:rsid w:val="00427E7D"/>
    <w:rsid w:val="00430C43"/>
    <w:rsid w:val="00430DA8"/>
    <w:rsid w:val="0043169A"/>
    <w:rsid w:val="004318D0"/>
    <w:rsid w:val="00431B3C"/>
    <w:rsid w:val="00431DE9"/>
    <w:rsid w:val="00432615"/>
    <w:rsid w:val="004329BA"/>
    <w:rsid w:val="00432BBB"/>
    <w:rsid w:val="00433E65"/>
    <w:rsid w:val="00434423"/>
    <w:rsid w:val="00434ECD"/>
    <w:rsid w:val="004350BC"/>
    <w:rsid w:val="00435291"/>
    <w:rsid w:val="00435324"/>
    <w:rsid w:val="00435434"/>
    <w:rsid w:val="0043543E"/>
    <w:rsid w:val="00435B7F"/>
    <w:rsid w:val="00435E91"/>
    <w:rsid w:val="0043605F"/>
    <w:rsid w:val="00436D23"/>
    <w:rsid w:val="00436EB1"/>
    <w:rsid w:val="00436F11"/>
    <w:rsid w:val="00437146"/>
    <w:rsid w:val="00437826"/>
    <w:rsid w:val="00437F2C"/>
    <w:rsid w:val="00440412"/>
    <w:rsid w:val="00440CD6"/>
    <w:rsid w:val="00441D9B"/>
    <w:rsid w:val="00441EAC"/>
    <w:rsid w:val="004421FF"/>
    <w:rsid w:val="00442450"/>
    <w:rsid w:val="004427EB"/>
    <w:rsid w:val="00442899"/>
    <w:rsid w:val="0044297C"/>
    <w:rsid w:val="00442B09"/>
    <w:rsid w:val="00445067"/>
    <w:rsid w:val="00445B2A"/>
    <w:rsid w:val="00445FFC"/>
    <w:rsid w:val="004464CB"/>
    <w:rsid w:val="00446559"/>
    <w:rsid w:val="0044657A"/>
    <w:rsid w:val="00446B4C"/>
    <w:rsid w:val="00446EFE"/>
    <w:rsid w:val="0044774F"/>
    <w:rsid w:val="00447D86"/>
    <w:rsid w:val="004502F8"/>
    <w:rsid w:val="004505C7"/>
    <w:rsid w:val="004507EC"/>
    <w:rsid w:val="00450887"/>
    <w:rsid w:val="0045218D"/>
    <w:rsid w:val="004525DB"/>
    <w:rsid w:val="00452775"/>
    <w:rsid w:val="00452814"/>
    <w:rsid w:val="00452C2D"/>
    <w:rsid w:val="00452D6B"/>
    <w:rsid w:val="00452E68"/>
    <w:rsid w:val="00452E7C"/>
    <w:rsid w:val="0045312C"/>
    <w:rsid w:val="0045323D"/>
    <w:rsid w:val="00453499"/>
    <w:rsid w:val="00453688"/>
    <w:rsid w:val="00453C1C"/>
    <w:rsid w:val="00453F12"/>
    <w:rsid w:val="0045425D"/>
    <w:rsid w:val="004549B3"/>
    <w:rsid w:val="004549FD"/>
    <w:rsid w:val="00454A1B"/>
    <w:rsid w:val="00454B73"/>
    <w:rsid w:val="00454CA1"/>
    <w:rsid w:val="00454CD5"/>
    <w:rsid w:val="00454CF1"/>
    <w:rsid w:val="00455179"/>
    <w:rsid w:val="00455F3D"/>
    <w:rsid w:val="004563EF"/>
    <w:rsid w:val="00456DBA"/>
    <w:rsid w:val="0045738F"/>
    <w:rsid w:val="00457406"/>
    <w:rsid w:val="00457B85"/>
    <w:rsid w:val="004607D8"/>
    <w:rsid w:val="004609A0"/>
    <w:rsid w:val="00460E6F"/>
    <w:rsid w:val="00461337"/>
    <w:rsid w:val="00461596"/>
    <w:rsid w:val="0046194F"/>
    <w:rsid w:val="00461C55"/>
    <w:rsid w:val="00461CB1"/>
    <w:rsid w:val="004622D0"/>
    <w:rsid w:val="0046254A"/>
    <w:rsid w:val="004639F6"/>
    <w:rsid w:val="00463A73"/>
    <w:rsid w:val="00463A9D"/>
    <w:rsid w:val="0046415A"/>
    <w:rsid w:val="00464741"/>
    <w:rsid w:val="004648BA"/>
    <w:rsid w:val="004648FB"/>
    <w:rsid w:val="00465683"/>
    <w:rsid w:val="00466243"/>
    <w:rsid w:val="004663C6"/>
    <w:rsid w:val="0046656B"/>
    <w:rsid w:val="004671F2"/>
    <w:rsid w:val="00467710"/>
    <w:rsid w:val="00467B73"/>
    <w:rsid w:val="00467E1E"/>
    <w:rsid w:val="004701EB"/>
    <w:rsid w:val="004702EB"/>
    <w:rsid w:val="0047081B"/>
    <w:rsid w:val="00470ED8"/>
    <w:rsid w:val="004715CD"/>
    <w:rsid w:val="00471748"/>
    <w:rsid w:val="00471EC8"/>
    <w:rsid w:val="004720F4"/>
    <w:rsid w:val="00472C75"/>
    <w:rsid w:val="004732BB"/>
    <w:rsid w:val="0047346B"/>
    <w:rsid w:val="00473706"/>
    <w:rsid w:val="004737A6"/>
    <w:rsid w:val="004739F8"/>
    <w:rsid w:val="004740DE"/>
    <w:rsid w:val="0047449D"/>
    <w:rsid w:val="0047506E"/>
    <w:rsid w:val="0047533B"/>
    <w:rsid w:val="004756DB"/>
    <w:rsid w:val="00476430"/>
    <w:rsid w:val="0047663A"/>
    <w:rsid w:val="004778AB"/>
    <w:rsid w:val="00477969"/>
    <w:rsid w:val="00477F44"/>
    <w:rsid w:val="00480086"/>
    <w:rsid w:val="0048097E"/>
    <w:rsid w:val="00480CA8"/>
    <w:rsid w:val="0048107D"/>
    <w:rsid w:val="00481C2D"/>
    <w:rsid w:val="00481D48"/>
    <w:rsid w:val="00482447"/>
    <w:rsid w:val="00482572"/>
    <w:rsid w:val="00482714"/>
    <w:rsid w:val="00482B28"/>
    <w:rsid w:val="00482B65"/>
    <w:rsid w:val="00482FAC"/>
    <w:rsid w:val="00483090"/>
    <w:rsid w:val="00483FC7"/>
    <w:rsid w:val="00484B5E"/>
    <w:rsid w:val="0048513C"/>
    <w:rsid w:val="00485329"/>
    <w:rsid w:val="00485E7F"/>
    <w:rsid w:val="00486262"/>
    <w:rsid w:val="00486AF9"/>
    <w:rsid w:val="00486F5A"/>
    <w:rsid w:val="004870AD"/>
    <w:rsid w:val="00487756"/>
    <w:rsid w:val="00487A26"/>
    <w:rsid w:val="00487A59"/>
    <w:rsid w:val="00487D83"/>
    <w:rsid w:val="0049012C"/>
    <w:rsid w:val="004903B2"/>
    <w:rsid w:val="00490627"/>
    <w:rsid w:val="0049078D"/>
    <w:rsid w:val="00491091"/>
    <w:rsid w:val="00491204"/>
    <w:rsid w:val="004912AB"/>
    <w:rsid w:val="004913FF"/>
    <w:rsid w:val="00491427"/>
    <w:rsid w:val="004915D1"/>
    <w:rsid w:val="00491782"/>
    <w:rsid w:val="00491A0E"/>
    <w:rsid w:val="00491C3B"/>
    <w:rsid w:val="00491C5B"/>
    <w:rsid w:val="00492269"/>
    <w:rsid w:val="004925E4"/>
    <w:rsid w:val="00492760"/>
    <w:rsid w:val="00492C31"/>
    <w:rsid w:val="00492E10"/>
    <w:rsid w:val="00493336"/>
    <w:rsid w:val="004934FE"/>
    <w:rsid w:val="00493A41"/>
    <w:rsid w:val="00493F96"/>
    <w:rsid w:val="00494499"/>
    <w:rsid w:val="004947C6"/>
    <w:rsid w:val="0049480E"/>
    <w:rsid w:val="00495265"/>
    <w:rsid w:val="0049527A"/>
    <w:rsid w:val="004953EB"/>
    <w:rsid w:val="00495733"/>
    <w:rsid w:val="0049589B"/>
    <w:rsid w:val="004959CE"/>
    <w:rsid w:val="004975B3"/>
    <w:rsid w:val="004975E6"/>
    <w:rsid w:val="004A0079"/>
    <w:rsid w:val="004A0528"/>
    <w:rsid w:val="004A0658"/>
    <w:rsid w:val="004A13BE"/>
    <w:rsid w:val="004A175D"/>
    <w:rsid w:val="004A2A08"/>
    <w:rsid w:val="004A2A87"/>
    <w:rsid w:val="004A3218"/>
    <w:rsid w:val="004A335C"/>
    <w:rsid w:val="004A3ACD"/>
    <w:rsid w:val="004A4403"/>
    <w:rsid w:val="004A48B6"/>
    <w:rsid w:val="004A4D30"/>
    <w:rsid w:val="004A5304"/>
    <w:rsid w:val="004A5360"/>
    <w:rsid w:val="004A5567"/>
    <w:rsid w:val="004A55CD"/>
    <w:rsid w:val="004A6427"/>
    <w:rsid w:val="004A68BC"/>
    <w:rsid w:val="004A6DA8"/>
    <w:rsid w:val="004A74F0"/>
    <w:rsid w:val="004A765D"/>
    <w:rsid w:val="004A7B4F"/>
    <w:rsid w:val="004B0670"/>
    <w:rsid w:val="004B07E6"/>
    <w:rsid w:val="004B0C54"/>
    <w:rsid w:val="004B0D0D"/>
    <w:rsid w:val="004B1376"/>
    <w:rsid w:val="004B13A0"/>
    <w:rsid w:val="004B13D1"/>
    <w:rsid w:val="004B173B"/>
    <w:rsid w:val="004B1807"/>
    <w:rsid w:val="004B19DF"/>
    <w:rsid w:val="004B1A6C"/>
    <w:rsid w:val="004B1FBC"/>
    <w:rsid w:val="004B23EA"/>
    <w:rsid w:val="004B29BA"/>
    <w:rsid w:val="004B38F3"/>
    <w:rsid w:val="004B3E2C"/>
    <w:rsid w:val="004B4282"/>
    <w:rsid w:val="004B5038"/>
    <w:rsid w:val="004B5C3D"/>
    <w:rsid w:val="004B5E28"/>
    <w:rsid w:val="004B6978"/>
    <w:rsid w:val="004B73C7"/>
    <w:rsid w:val="004C01EB"/>
    <w:rsid w:val="004C0A04"/>
    <w:rsid w:val="004C0DE9"/>
    <w:rsid w:val="004C10D0"/>
    <w:rsid w:val="004C13CF"/>
    <w:rsid w:val="004C150F"/>
    <w:rsid w:val="004C18B5"/>
    <w:rsid w:val="004C1CDD"/>
    <w:rsid w:val="004C1FDD"/>
    <w:rsid w:val="004C241B"/>
    <w:rsid w:val="004C2772"/>
    <w:rsid w:val="004C3591"/>
    <w:rsid w:val="004C4FC0"/>
    <w:rsid w:val="004C53B0"/>
    <w:rsid w:val="004C565B"/>
    <w:rsid w:val="004C5916"/>
    <w:rsid w:val="004C5B3C"/>
    <w:rsid w:val="004C5C09"/>
    <w:rsid w:val="004C5E8C"/>
    <w:rsid w:val="004C6088"/>
    <w:rsid w:val="004C60A5"/>
    <w:rsid w:val="004C74A8"/>
    <w:rsid w:val="004C74C8"/>
    <w:rsid w:val="004C78D1"/>
    <w:rsid w:val="004D1455"/>
    <w:rsid w:val="004D2391"/>
    <w:rsid w:val="004D2892"/>
    <w:rsid w:val="004D2BD4"/>
    <w:rsid w:val="004D3053"/>
    <w:rsid w:val="004D3E68"/>
    <w:rsid w:val="004D5711"/>
    <w:rsid w:val="004D5CAC"/>
    <w:rsid w:val="004D60B7"/>
    <w:rsid w:val="004D63FF"/>
    <w:rsid w:val="004D6779"/>
    <w:rsid w:val="004D6DB2"/>
    <w:rsid w:val="004D6DE3"/>
    <w:rsid w:val="004D7466"/>
    <w:rsid w:val="004D74F3"/>
    <w:rsid w:val="004D7B8E"/>
    <w:rsid w:val="004E037C"/>
    <w:rsid w:val="004E1535"/>
    <w:rsid w:val="004E1F59"/>
    <w:rsid w:val="004E27E2"/>
    <w:rsid w:val="004E27F8"/>
    <w:rsid w:val="004E2F77"/>
    <w:rsid w:val="004E3296"/>
    <w:rsid w:val="004E32C6"/>
    <w:rsid w:val="004E3519"/>
    <w:rsid w:val="004E3784"/>
    <w:rsid w:val="004E3900"/>
    <w:rsid w:val="004E3B51"/>
    <w:rsid w:val="004E3CED"/>
    <w:rsid w:val="004E51BE"/>
    <w:rsid w:val="004E5C99"/>
    <w:rsid w:val="004E5E22"/>
    <w:rsid w:val="004E64D3"/>
    <w:rsid w:val="004E6967"/>
    <w:rsid w:val="004E725D"/>
    <w:rsid w:val="004E77A9"/>
    <w:rsid w:val="004E79E9"/>
    <w:rsid w:val="004F0459"/>
    <w:rsid w:val="004F06BC"/>
    <w:rsid w:val="004F1154"/>
    <w:rsid w:val="004F12E7"/>
    <w:rsid w:val="004F20F7"/>
    <w:rsid w:val="004F2401"/>
    <w:rsid w:val="004F26B5"/>
    <w:rsid w:val="004F27CA"/>
    <w:rsid w:val="004F2A5D"/>
    <w:rsid w:val="004F2CEF"/>
    <w:rsid w:val="004F2EBA"/>
    <w:rsid w:val="004F3414"/>
    <w:rsid w:val="004F34C3"/>
    <w:rsid w:val="004F3549"/>
    <w:rsid w:val="004F365A"/>
    <w:rsid w:val="004F41E2"/>
    <w:rsid w:val="004F43F8"/>
    <w:rsid w:val="004F46A7"/>
    <w:rsid w:val="004F46BD"/>
    <w:rsid w:val="004F4DCD"/>
    <w:rsid w:val="004F57A1"/>
    <w:rsid w:val="004F60D3"/>
    <w:rsid w:val="004F6FC9"/>
    <w:rsid w:val="004F706F"/>
    <w:rsid w:val="004F7883"/>
    <w:rsid w:val="005000E7"/>
    <w:rsid w:val="0050099A"/>
    <w:rsid w:val="005009CA"/>
    <w:rsid w:val="00500EDC"/>
    <w:rsid w:val="0050151F"/>
    <w:rsid w:val="00502E6A"/>
    <w:rsid w:val="00502ED7"/>
    <w:rsid w:val="005038E8"/>
    <w:rsid w:val="00503982"/>
    <w:rsid w:val="005044D8"/>
    <w:rsid w:val="0050502A"/>
    <w:rsid w:val="0050533E"/>
    <w:rsid w:val="0050570A"/>
    <w:rsid w:val="00505749"/>
    <w:rsid w:val="0050584D"/>
    <w:rsid w:val="0051058B"/>
    <w:rsid w:val="00510A13"/>
    <w:rsid w:val="00511660"/>
    <w:rsid w:val="005120F8"/>
    <w:rsid w:val="005121EA"/>
    <w:rsid w:val="005129C8"/>
    <w:rsid w:val="00512C56"/>
    <w:rsid w:val="005138E7"/>
    <w:rsid w:val="0051468B"/>
    <w:rsid w:val="00514E79"/>
    <w:rsid w:val="00515094"/>
    <w:rsid w:val="00515398"/>
    <w:rsid w:val="00515494"/>
    <w:rsid w:val="00516094"/>
    <w:rsid w:val="0051618A"/>
    <w:rsid w:val="005163A1"/>
    <w:rsid w:val="005166E6"/>
    <w:rsid w:val="005170C3"/>
    <w:rsid w:val="005204A2"/>
    <w:rsid w:val="00520A09"/>
    <w:rsid w:val="00520A19"/>
    <w:rsid w:val="00521062"/>
    <w:rsid w:val="005213BF"/>
    <w:rsid w:val="00521A00"/>
    <w:rsid w:val="00521F5E"/>
    <w:rsid w:val="0052232C"/>
    <w:rsid w:val="005223F2"/>
    <w:rsid w:val="00522DC5"/>
    <w:rsid w:val="005230D1"/>
    <w:rsid w:val="0052333A"/>
    <w:rsid w:val="005236D3"/>
    <w:rsid w:val="00523EB1"/>
    <w:rsid w:val="0052401C"/>
    <w:rsid w:val="00524B6C"/>
    <w:rsid w:val="00525049"/>
    <w:rsid w:val="00525051"/>
    <w:rsid w:val="005250DC"/>
    <w:rsid w:val="005263A3"/>
    <w:rsid w:val="00526B20"/>
    <w:rsid w:val="00526BAA"/>
    <w:rsid w:val="00526DA9"/>
    <w:rsid w:val="00527861"/>
    <w:rsid w:val="00527952"/>
    <w:rsid w:val="00527B67"/>
    <w:rsid w:val="005302E8"/>
    <w:rsid w:val="00530407"/>
    <w:rsid w:val="00530497"/>
    <w:rsid w:val="005308F6"/>
    <w:rsid w:val="00530D2F"/>
    <w:rsid w:val="00531146"/>
    <w:rsid w:val="005313F1"/>
    <w:rsid w:val="005318F8"/>
    <w:rsid w:val="00531B23"/>
    <w:rsid w:val="00532709"/>
    <w:rsid w:val="00532979"/>
    <w:rsid w:val="005329F4"/>
    <w:rsid w:val="00532BDC"/>
    <w:rsid w:val="005332E0"/>
    <w:rsid w:val="00533E68"/>
    <w:rsid w:val="005344D5"/>
    <w:rsid w:val="0053462B"/>
    <w:rsid w:val="00534891"/>
    <w:rsid w:val="00534C02"/>
    <w:rsid w:val="00535016"/>
    <w:rsid w:val="005355EA"/>
    <w:rsid w:val="00535C91"/>
    <w:rsid w:val="00536019"/>
    <w:rsid w:val="0053606C"/>
    <w:rsid w:val="005360E5"/>
    <w:rsid w:val="0053610F"/>
    <w:rsid w:val="00536E0C"/>
    <w:rsid w:val="00537915"/>
    <w:rsid w:val="00540347"/>
    <w:rsid w:val="005403E9"/>
    <w:rsid w:val="00540692"/>
    <w:rsid w:val="00540A11"/>
    <w:rsid w:val="00541625"/>
    <w:rsid w:val="00542106"/>
    <w:rsid w:val="005422A1"/>
    <w:rsid w:val="005422FD"/>
    <w:rsid w:val="00542C70"/>
    <w:rsid w:val="0054333B"/>
    <w:rsid w:val="0054333F"/>
    <w:rsid w:val="00543C34"/>
    <w:rsid w:val="00544066"/>
    <w:rsid w:val="00546350"/>
    <w:rsid w:val="00546663"/>
    <w:rsid w:val="005467AB"/>
    <w:rsid w:val="00546AA6"/>
    <w:rsid w:val="00546DE2"/>
    <w:rsid w:val="005472AA"/>
    <w:rsid w:val="00550958"/>
    <w:rsid w:val="00550D8A"/>
    <w:rsid w:val="00551664"/>
    <w:rsid w:val="00551687"/>
    <w:rsid w:val="0055193A"/>
    <w:rsid w:val="00551A29"/>
    <w:rsid w:val="005522AA"/>
    <w:rsid w:val="005523E4"/>
    <w:rsid w:val="0055240F"/>
    <w:rsid w:val="005527B4"/>
    <w:rsid w:val="00552A65"/>
    <w:rsid w:val="00552D34"/>
    <w:rsid w:val="00553122"/>
    <w:rsid w:val="005535D2"/>
    <w:rsid w:val="005538A0"/>
    <w:rsid w:val="00553B0B"/>
    <w:rsid w:val="00553FE6"/>
    <w:rsid w:val="00554243"/>
    <w:rsid w:val="00554816"/>
    <w:rsid w:val="005548AB"/>
    <w:rsid w:val="00554FA2"/>
    <w:rsid w:val="005551DD"/>
    <w:rsid w:val="0055627F"/>
    <w:rsid w:val="005568A6"/>
    <w:rsid w:val="00557255"/>
    <w:rsid w:val="00557372"/>
    <w:rsid w:val="005573D3"/>
    <w:rsid w:val="005574B6"/>
    <w:rsid w:val="005574C1"/>
    <w:rsid w:val="0055778B"/>
    <w:rsid w:val="00557897"/>
    <w:rsid w:val="005579B7"/>
    <w:rsid w:val="005600A8"/>
    <w:rsid w:val="0056050E"/>
    <w:rsid w:val="005605E9"/>
    <w:rsid w:val="00560AE9"/>
    <w:rsid w:val="00560C9F"/>
    <w:rsid w:val="00561768"/>
    <w:rsid w:val="00561DA9"/>
    <w:rsid w:val="005620B5"/>
    <w:rsid w:val="00562337"/>
    <w:rsid w:val="0056254C"/>
    <w:rsid w:val="00562CDF"/>
    <w:rsid w:val="00562FD1"/>
    <w:rsid w:val="0056367C"/>
    <w:rsid w:val="00563942"/>
    <w:rsid w:val="00563B50"/>
    <w:rsid w:val="00563CAA"/>
    <w:rsid w:val="005640FB"/>
    <w:rsid w:val="005644C8"/>
    <w:rsid w:val="005648FE"/>
    <w:rsid w:val="00565014"/>
    <w:rsid w:val="005654AB"/>
    <w:rsid w:val="00565525"/>
    <w:rsid w:val="00565ECD"/>
    <w:rsid w:val="005662CB"/>
    <w:rsid w:val="00566BF7"/>
    <w:rsid w:val="00566E21"/>
    <w:rsid w:val="0056741B"/>
    <w:rsid w:val="0056766F"/>
    <w:rsid w:val="00567871"/>
    <w:rsid w:val="00567A98"/>
    <w:rsid w:val="00567EF1"/>
    <w:rsid w:val="0057069E"/>
    <w:rsid w:val="005706BA"/>
    <w:rsid w:val="00571F8A"/>
    <w:rsid w:val="005724C2"/>
    <w:rsid w:val="0057253E"/>
    <w:rsid w:val="00572A7A"/>
    <w:rsid w:val="005731C3"/>
    <w:rsid w:val="0057328F"/>
    <w:rsid w:val="0057337C"/>
    <w:rsid w:val="0057485C"/>
    <w:rsid w:val="00574FD4"/>
    <w:rsid w:val="0057560F"/>
    <w:rsid w:val="00575A7D"/>
    <w:rsid w:val="00575F06"/>
    <w:rsid w:val="00576022"/>
    <w:rsid w:val="005760B5"/>
    <w:rsid w:val="0057620B"/>
    <w:rsid w:val="00576A2D"/>
    <w:rsid w:val="00576A5E"/>
    <w:rsid w:val="005770B7"/>
    <w:rsid w:val="00577AFD"/>
    <w:rsid w:val="00577B6A"/>
    <w:rsid w:val="005801DB"/>
    <w:rsid w:val="00580272"/>
    <w:rsid w:val="00580405"/>
    <w:rsid w:val="0058094F"/>
    <w:rsid w:val="00581257"/>
    <w:rsid w:val="00581802"/>
    <w:rsid w:val="00581D41"/>
    <w:rsid w:val="005822B2"/>
    <w:rsid w:val="005825B7"/>
    <w:rsid w:val="00582797"/>
    <w:rsid w:val="00582A82"/>
    <w:rsid w:val="0058344D"/>
    <w:rsid w:val="005841C2"/>
    <w:rsid w:val="00584735"/>
    <w:rsid w:val="0058476F"/>
    <w:rsid w:val="00584FED"/>
    <w:rsid w:val="005850E4"/>
    <w:rsid w:val="00585535"/>
    <w:rsid w:val="00585DEB"/>
    <w:rsid w:val="00586905"/>
    <w:rsid w:val="00586EA5"/>
    <w:rsid w:val="005871AE"/>
    <w:rsid w:val="0058739D"/>
    <w:rsid w:val="00587CAF"/>
    <w:rsid w:val="00587D6B"/>
    <w:rsid w:val="00590512"/>
    <w:rsid w:val="00590CD9"/>
    <w:rsid w:val="00590D36"/>
    <w:rsid w:val="00591862"/>
    <w:rsid w:val="00591E0E"/>
    <w:rsid w:val="005927C4"/>
    <w:rsid w:val="00592DBB"/>
    <w:rsid w:val="00592E80"/>
    <w:rsid w:val="00593103"/>
    <w:rsid w:val="00593E53"/>
    <w:rsid w:val="00594598"/>
    <w:rsid w:val="005948BD"/>
    <w:rsid w:val="00595369"/>
    <w:rsid w:val="00596562"/>
    <w:rsid w:val="005969E2"/>
    <w:rsid w:val="00597146"/>
    <w:rsid w:val="0059753B"/>
    <w:rsid w:val="00597576"/>
    <w:rsid w:val="00597725"/>
    <w:rsid w:val="00597942"/>
    <w:rsid w:val="00597A8F"/>
    <w:rsid w:val="00597D14"/>
    <w:rsid w:val="005A03FE"/>
    <w:rsid w:val="005A04B6"/>
    <w:rsid w:val="005A0503"/>
    <w:rsid w:val="005A10D6"/>
    <w:rsid w:val="005A168F"/>
    <w:rsid w:val="005A1AA0"/>
    <w:rsid w:val="005A1F4E"/>
    <w:rsid w:val="005A246A"/>
    <w:rsid w:val="005A268A"/>
    <w:rsid w:val="005A2C43"/>
    <w:rsid w:val="005A3C77"/>
    <w:rsid w:val="005A4097"/>
    <w:rsid w:val="005A4567"/>
    <w:rsid w:val="005A4F66"/>
    <w:rsid w:val="005A5AC0"/>
    <w:rsid w:val="005A6203"/>
    <w:rsid w:val="005A6E51"/>
    <w:rsid w:val="005A731F"/>
    <w:rsid w:val="005A7E9F"/>
    <w:rsid w:val="005B0262"/>
    <w:rsid w:val="005B046D"/>
    <w:rsid w:val="005B054D"/>
    <w:rsid w:val="005B0B00"/>
    <w:rsid w:val="005B0BC8"/>
    <w:rsid w:val="005B0CED"/>
    <w:rsid w:val="005B10BC"/>
    <w:rsid w:val="005B1645"/>
    <w:rsid w:val="005B16C1"/>
    <w:rsid w:val="005B1C8F"/>
    <w:rsid w:val="005B1EA0"/>
    <w:rsid w:val="005B28F6"/>
    <w:rsid w:val="005B32B2"/>
    <w:rsid w:val="005B3471"/>
    <w:rsid w:val="005B3A5B"/>
    <w:rsid w:val="005B4F3F"/>
    <w:rsid w:val="005B5583"/>
    <w:rsid w:val="005B5C51"/>
    <w:rsid w:val="005B691D"/>
    <w:rsid w:val="005B6A0B"/>
    <w:rsid w:val="005B6CA5"/>
    <w:rsid w:val="005B751C"/>
    <w:rsid w:val="005B75DB"/>
    <w:rsid w:val="005B764A"/>
    <w:rsid w:val="005B7EFC"/>
    <w:rsid w:val="005C0404"/>
    <w:rsid w:val="005C0413"/>
    <w:rsid w:val="005C08F5"/>
    <w:rsid w:val="005C0A5B"/>
    <w:rsid w:val="005C0D2D"/>
    <w:rsid w:val="005C13BF"/>
    <w:rsid w:val="005C1D1C"/>
    <w:rsid w:val="005C209E"/>
    <w:rsid w:val="005C225A"/>
    <w:rsid w:val="005C25D4"/>
    <w:rsid w:val="005C2D31"/>
    <w:rsid w:val="005C3554"/>
    <w:rsid w:val="005C4854"/>
    <w:rsid w:val="005C48E8"/>
    <w:rsid w:val="005C4CF2"/>
    <w:rsid w:val="005C53D0"/>
    <w:rsid w:val="005C58AA"/>
    <w:rsid w:val="005C5D7E"/>
    <w:rsid w:val="005C6DCE"/>
    <w:rsid w:val="005C6EAB"/>
    <w:rsid w:val="005C70D8"/>
    <w:rsid w:val="005C727F"/>
    <w:rsid w:val="005C7921"/>
    <w:rsid w:val="005C7A43"/>
    <w:rsid w:val="005D0833"/>
    <w:rsid w:val="005D14EF"/>
    <w:rsid w:val="005D19B8"/>
    <w:rsid w:val="005D19D9"/>
    <w:rsid w:val="005D1DE6"/>
    <w:rsid w:val="005D214D"/>
    <w:rsid w:val="005D27A3"/>
    <w:rsid w:val="005D337E"/>
    <w:rsid w:val="005D353E"/>
    <w:rsid w:val="005D3D44"/>
    <w:rsid w:val="005D3E0C"/>
    <w:rsid w:val="005D40C5"/>
    <w:rsid w:val="005D45E0"/>
    <w:rsid w:val="005D50A0"/>
    <w:rsid w:val="005D52C8"/>
    <w:rsid w:val="005D5532"/>
    <w:rsid w:val="005D573A"/>
    <w:rsid w:val="005D593E"/>
    <w:rsid w:val="005D5CBC"/>
    <w:rsid w:val="005D5E3B"/>
    <w:rsid w:val="005D5E84"/>
    <w:rsid w:val="005D5F5F"/>
    <w:rsid w:val="005D5FE8"/>
    <w:rsid w:val="005D651F"/>
    <w:rsid w:val="005D6B6B"/>
    <w:rsid w:val="005E0671"/>
    <w:rsid w:val="005E0699"/>
    <w:rsid w:val="005E073A"/>
    <w:rsid w:val="005E07DF"/>
    <w:rsid w:val="005E0AEF"/>
    <w:rsid w:val="005E0B62"/>
    <w:rsid w:val="005E0CA3"/>
    <w:rsid w:val="005E16CB"/>
    <w:rsid w:val="005E1926"/>
    <w:rsid w:val="005E1DB8"/>
    <w:rsid w:val="005E2418"/>
    <w:rsid w:val="005E27E5"/>
    <w:rsid w:val="005E287B"/>
    <w:rsid w:val="005E28EF"/>
    <w:rsid w:val="005E2B14"/>
    <w:rsid w:val="005E3009"/>
    <w:rsid w:val="005E340A"/>
    <w:rsid w:val="005E3878"/>
    <w:rsid w:val="005E3FD3"/>
    <w:rsid w:val="005E4859"/>
    <w:rsid w:val="005E4949"/>
    <w:rsid w:val="005E5594"/>
    <w:rsid w:val="005E560B"/>
    <w:rsid w:val="005E5ECB"/>
    <w:rsid w:val="005E62BE"/>
    <w:rsid w:val="005E7365"/>
    <w:rsid w:val="005E7375"/>
    <w:rsid w:val="005E781C"/>
    <w:rsid w:val="005E7AA4"/>
    <w:rsid w:val="005F06F5"/>
    <w:rsid w:val="005F0C5F"/>
    <w:rsid w:val="005F0D9D"/>
    <w:rsid w:val="005F0ED7"/>
    <w:rsid w:val="005F14F6"/>
    <w:rsid w:val="005F1BC8"/>
    <w:rsid w:val="005F20E5"/>
    <w:rsid w:val="005F29BD"/>
    <w:rsid w:val="005F2AFD"/>
    <w:rsid w:val="005F318F"/>
    <w:rsid w:val="005F36A3"/>
    <w:rsid w:val="005F3BEA"/>
    <w:rsid w:val="005F4795"/>
    <w:rsid w:val="005F4AF7"/>
    <w:rsid w:val="005F4B79"/>
    <w:rsid w:val="005F5184"/>
    <w:rsid w:val="005F6916"/>
    <w:rsid w:val="005F72D0"/>
    <w:rsid w:val="005F7E0C"/>
    <w:rsid w:val="006001A0"/>
    <w:rsid w:val="006001FF"/>
    <w:rsid w:val="00600500"/>
    <w:rsid w:val="00600CDA"/>
    <w:rsid w:val="006012C9"/>
    <w:rsid w:val="00601730"/>
    <w:rsid w:val="00601BA5"/>
    <w:rsid w:val="00602664"/>
    <w:rsid w:val="00602986"/>
    <w:rsid w:val="00602AB9"/>
    <w:rsid w:val="0060338E"/>
    <w:rsid w:val="00604FDE"/>
    <w:rsid w:val="006052C9"/>
    <w:rsid w:val="00605B09"/>
    <w:rsid w:val="00605DE4"/>
    <w:rsid w:val="00606764"/>
    <w:rsid w:val="0060685B"/>
    <w:rsid w:val="00607424"/>
    <w:rsid w:val="006106F7"/>
    <w:rsid w:val="00611CF2"/>
    <w:rsid w:val="00611E44"/>
    <w:rsid w:val="00611F23"/>
    <w:rsid w:val="00612AA5"/>
    <w:rsid w:val="00612BA1"/>
    <w:rsid w:val="00612C67"/>
    <w:rsid w:val="006130E1"/>
    <w:rsid w:val="00613388"/>
    <w:rsid w:val="006137C4"/>
    <w:rsid w:val="00613855"/>
    <w:rsid w:val="00613B9C"/>
    <w:rsid w:val="006144F8"/>
    <w:rsid w:val="00614A7A"/>
    <w:rsid w:val="00614D7F"/>
    <w:rsid w:val="00615659"/>
    <w:rsid w:val="00616601"/>
    <w:rsid w:val="0061682F"/>
    <w:rsid w:val="00616AC5"/>
    <w:rsid w:val="00616F63"/>
    <w:rsid w:val="00616FAB"/>
    <w:rsid w:val="0061707B"/>
    <w:rsid w:val="006177FD"/>
    <w:rsid w:val="006178BF"/>
    <w:rsid w:val="00617C13"/>
    <w:rsid w:val="00617FF1"/>
    <w:rsid w:val="006200B7"/>
    <w:rsid w:val="00620499"/>
    <w:rsid w:val="0062049A"/>
    <w:rsid w:val="006206DA"/>
    <w:rsid w:val="00620C75"/>
    <w:rsid w:val="00620D28"/>
    <w:rsid w:val="0062173A"/>
    <w:rsid w:val="006217F1"/>
    <w:rsid w:val="006221A5"/>
    <w:rsid w:val="00622501"/>
    <w:rsid w:val="006227B0"/>
    <w:rsid w:val="00622943"/>
    <w:rsid w:val="00622A37"/>
    <w:rsid w:val="00623299"/>
    <w:rsid w:val="006239E0"/>
    <w:rsid w:val="00623BA9"/>
    <w:rsid w:val="00623BB0"/>
    <w:rsid w:val="00623C23"/>
    <w:rsid w:val="00623D05"/>
    <w:rsid w:val="006245E2"/>
    <w:rsid w:val="00624763"/>
    <w:rsid w:val="006253C4"/>
    <w:rsid w:val="0062551C"/>
    <w:rsid w:val="00627DDF"/>
    <w:rsid w:val="00631225"/>
    <w:rsid w:val="00631327"/>
    <w:rsid w:val="006315DF"/>
    <w:rsid w:val="00631CA2"/>
    <w:rsid w:val="00632444"/>
    <w:rsid w:val="006324BD"/>
    <w:rsid w:val="0063259B"/>
    <w:rsid w:val="00632A5D"/>
    <w:rsid w:val="00633179"/>
    <w:rsid w:val="0063322B"/>
    <w:rsid w:val="0063322F"/>
    <w:rsid w:val="006336A1"/>
    <w:rsid w:val="00633D23"/>
    <w:rsid w:val="006340E2"/>
    <w:rsid w:val="0063413D"/>
    <w:rsid w:val="00634445"/>
    <w:rsid w:val="006345A6"/>
    <w:rsid w:val="00634634"/>
    <w:rsid w:val="00634719"/>
    <w:rsid w:val="006348D5"/>
    <w:rsid w:val="00634A7B"/>
    <w:rsid w:val="00634B9E"/>
    <w:rsid w:val="00634E24"/>
    <w:rsid w:val="00634E7D"/>
    <w:rsid w:val="00634FF1"/>
    <w:rsid w:val="00635041"/>
    <w:rsid w:val="006356FF"/>
    <w:rsid w:val="00635E0B"/>
    <w:rsid w:val="006362F3"/>
    <w:rsid w:val="00637433"/>
    <w:rsid w:val="006374B9"/>
    <w:rsid w:val="006379F4"/>
    <w:rsid w:val="00637E86"/>
    <w:rsid w:val="00641157"/>
    <w:rsid w:val="00641300"/>
    <w:rsid w:val="0064245C"/>
    <w:rsid w:val="00643A2A"/>
    <w:rsid w:val="00643B83"/>
    <w:rsid w:val="00643D74"/>
    <w:rsid w:val="00643E3B"/>
    <w:rsid w:val="006440E9"/>
    <w:rsid w:val="00644317"/>
    <w:rsid w:val="00644508"/>
    <w:rsid w:val="00644D6A"/>
    <w:rsid w:val="00645018"/>
    <w:rsid w:val="006450F4"/>
    <w:rsid w:val="00645740"/>
    <w:rsid w:val="00645B46"/>
    <w:rsid w:val="00645F6D"/>
    <w:rsid w:val="0064615F"/>
    <w:rsid w:val="00646477"/>
    <w:rsid w:val="006464DD"/>
    <w:rsid w:val="00646758"/>
    <w:rsid w:val="006468B2"/>
    <w:rsid w:val="0064766A"/>
    <w:rsid w:val="0064781A"/>
    <w:rsid w:val="00647A21"/>
    <w:rsid w:val="00650B6F"/>
    <w:rsid w:val="00651008"/>
    <w:rsid w:val="00651DE2"/>
    <w:rsid w:val="006522C6"/>
    <w:rsid w:val="00652503"/>
    <w:rsid w:val="0065276C"/>
    <w:rsid w:val="0065295A"/>
    <w:rsid w:val="00653054"/>
    <w:rsid w:val="00653B3E"/>
    <w:rsid w:val="00653E13"/>
    <w:rsid w:val="00654439"/>
    <w:rsid w:val="00654C7A"/>
    <w:rsid w:val="006551E4"/>
    <w:rsid w:val="00655214"/>
    <w:rsid w:val="00655CDB"/>
    <w:rsid w:val="00656522"/>
    <w:rsid w:val="006565E4"/>
    <w:rsid w:val="00656767"/>
    <w:rsid w:val="00656B7D"/>
    <w:rsid w:val="006572F7"/>
    <w:rsid w:val="00660070"/>
    <w:rsid w:val="006603C0"/>
    <w:rsid w:val="006608DE"/>
    <w:rsid w:val="00661619"/>
    <w:rsid w:val="00661786"/>
    <w:rsid w:val="00662CCC"/>
    <w:rsid w:val="00663E1E"/>
    <w:rsid w:val="00663FB8"/>
    <w:rsid w:val="006642A5"/>
    <w:rsid w:val="006644C7"/>
    <w:rsid w:val="0066459F"/>
    <w:rsid w:val="006645DB"/>
    <w:rsid w:val="006649FD"/>
    <w:rsid w:val="00664CF2"/>
    <w:rsid w:val="00665304"/>
    <w:rsid w:val="00665D2A"/>
    <w:rsid w:val="00670B01"/>
    <w:rsid w:val="0067105B"/>
    <w:rsid w:val="006716A7"/>
    <w:rsid w:val="0067190E"/>
    <w:rsid w:val="006722B9"/>
    <w:rsid w:val="006726BD"/>
    <w:rsid w:val="00672C76"/>
    <w:rsid w:val="00672CD6"/>
    <w:rsid w:val="00673DA0"/>
    <w:rsid w:val="00674374"/>
    <w:rsid w:val="00674718"/>
    <w:rsid w:val="00674B1D"/>
    <w:rsid w:val="0067543D"/>
    <w:rsid w:val="00675459"/>
    <w:rsid w:val="0067566F"/>
    <w:rsid w:val="00675A5D"/>
    <w:rsid w:val="00677927"/>
    <w:rsid w:val="00680211"/>
    <w:rsid w:val="00680890"/>
    <w:rsid w:val="00680A26"/>
    <w:rsid w:val="00680DBF"/>
    <w:rsid w:val="00681065"/>
    <w:rsid w:val="00681CAC"/>
    <w:rsid w:val="00681F34"/>
    <w:rsid w:val="00681F8E"/>
    <w:rsid w:val="0068287C"/>
    <w:rsid w:val="00682BA9"/>
    <w:rsid w:val="00683F55"/>
    <w:rsid w:val="00684847"/>
    <w:rsid w:val="006848FE"/>
    <w:rsid w:val="00684B0F"/>
    <w:rsid w:val="00684F95"/>
    <w:rsid w:val="006850A7"/>
    <w:rsid w:val="006850B5"/>
    <w:rsid w:val="0068632D"/>
    <w:rsid w:val="006869EA"/>
    <w:rsid w:val="006877E8"/>
    <w:rsid w:val="00690153"/>
    <w:rsid w:val="00690186"/>
    <w:rsid w:val="006901D3"/>
    <w:rsid w:val="006903F3"/>
    <w:rsid w:val="00690710"/>
    <w:rsid w:val="00690797"/>
    <w:rsid w:val="0069082B"/>
    <w:rsid w:val="00690836"/>
    <w:rsid w:val="006909B4"/>
    <w:rsid w:val="006911AC"/>
    <w:rsid w:val="006913EB"/>
    <w:rsid w:val="006917CD"/>
    <w:rsid w:val="00691F60"/>
    <w:rsid w:val="00692242"/>
    <w:rsid w:val="00692C26"/>
    <w:rsid w:val="0069325B"/>
    <w:rsid w:val="00693A45"/>
    <w:rsid w:val="00693E71"/>
    <w:rsid w:val="00694296"/>
    <w:rsid w:val="006944FE"/>
    <w:rsid w:val="006945F3"/>
    <w:rsid w:val="00694A0E"/>
    <w:rsid w:val="00694C7A"/>
    <w:rsid w:val="006956E1"/>
    <w:rsid w:val="00696EE3"/>
    <w:rsid w:val="00697011"/>
    <w:rsid w:val="00697451"/>
    <w:rsid w:val="0069768C"/>
    <w:rsid w:val="00697B46"/>
    <w:rsid w:val="00697F5D"/>
    <w:rsid w:val="006A071C"/>
    <w:rsid w:val="006A0E40"/>
    <w:rsid w:val="006A1095"/>
    <w:rsid w:val="006A1A52"/>
    <w:rsid w:val="006A1AA0"/>
    <w:rsid w:val="006A1BD1"/>
    <w:rsid w:val="006A1D97"/>
    <w:rsid w:val="006A2864"/>
    <w:rsid w:val="006A2FB5"/>
    <w:rsid w:val="006A318B"/>
    <w:rsid w:val="006A3218"/>
    <w:rsid w:val="006A35E7"/>
    <w:rsid w:val="006A3906"/>
    <w:rsid w:val="006A4104"/>
    <w:rsid w:val="006A49BD"/>
    <w:rsid w:val="006A5567"/>
    <w:rsid w:val="006A5928"/>
    <w:rsid w:val="006A5B53"/>
    <w:rsid w:val="006A5F4C"/>
    <w:rsid w:val="006A62A5"/>
    <w:rsid w:val="006A6EFE"/>
    <w:rsid w:val="006A7015"/>
    <w:rsid w:val="006A74F9"/>
    <w:rsid w:val="006A7A3C"/>
    <w:rsid w:val="006A7DBA"/>
    <w:rsid w:val="006B0207"/>
    <w:rsid w:val="006B0693"/>
    <w:rsid w:val="006B06AB"/>
    <w:rsid w:val="006B15D1"/>
    <w:rsid w:val="006B16FC"/>
    <w:rsid w:val="006B19C6"/>
    <w:rsid w:val="006B259A"/>
    <w:rsid w:val="006B25E9"/>
    <w:rsid w:val="006B279B"/>
    <w:rsid w:val="006B2FF7"/>
    <w:rsid w:val="006B347F"/>
    <w:rsid w:val="006B37B3"/>
    <w:rsid w:val="006B439C"/>
    <w:rsid w:val="006B4D06"/>
    <w:rsid w:val="006B5353"/>
    <w:rsid w:val="006B5576"/>
    <w:rsid w:val="006B5C56"/>
    <w:rsid w:val="006B5CA3"/>
    <w:rsid w:val="006B5E5A"/>
    <w:rsid w:val="006B6578"/>
    <w:rsid w:val="006B69DD"/>
    <w:rsid w:val="006B6D67"/>
    <w:rsid w:val="006B71BD"/>
    <w:rsid w:val="006B7C6E"/>
    <w:rsid w:val="006B7E6F"/>
    <w:rsid w:val="006B7F91"/>
    <w:rsid w:val="006C09FD"/>
    <w:rsid w:val="006C0FE9"/>
    <w:rsid w:val="006C13BF"/>
    <w:rsid w:val="006C252D"/>
    <w:rsid w:val="006C2D1F"/>
    <w:rsid w:val="006C3058"/>
    <w:rsid w:val="006C34F7"/>
    <w:rsid w:val="006C3D0B"/>
    <w:rsid w:val="006C3F5A"/>
    <w:rsid w:val="006C43D5"/>
    <w:rsid w:val="006C4520"/>
    <w:rsid w:val="006C47DA"/>
    <w:rsid w:val="006C5310"/>
    <w:rsid w:val="006C6480"/>
    <w:rsid w:val="006C65C7"/>
    <w:rsid w:val="006C6802"/>
    <w:rsid w:val="006C71F6"/>
    <w:rsid w:val="006C7445"/>
    <w:rsid w:val="006C77AB"/>
    <w:rsid w:val="006D011C"/>
    <w:rsid w:val="006D045F"/>
    <w:rsid w:val="006D060B"/>
    <w:rsid w:val="006D0757"/>
    <w:rsid w:val="006D0876"/>
    <w:rsid w:val="006D0EAB"/>
    <w:rsid w:val="006D15A0"/>
    <w:rsid w:val="006D2692"/>
    <w:rsid w:val="006D3329"/>
    <w:rsid w:val="006D3B0F"/>
    <w:rsid w:val="006D467E"/>
    <w:rsid w:val="006D4AA1"/>
    <w:rsid w:val="006D4FCF"/>
    <w:rsid w:val="006D5CB4"/>
    <w:rsid w:val="006D6724"/>
    <w:rsid w:val="006D6A3E"/>
    <w:rsid w:val="006D6C61"/>
    <w:rsid w:val="006D6FB9"/>
    <w:rsid w:val="006D712B"/>
    <w:rsid w:val="006D71DE"/>
    <w:rsid w:val="006D75BA"/>
    <w:rsid w:val="006D7C70"/>
    <w:rsid w:val="006D7C76"/>
    <w:rsid w:val="006E0B99"/>
    <w:rsid w:val="006E0F01"/>
    <w:rsid w:val="006E10A8"/>
    <w:rsid w:val="006E1182"/>
    <w:rsid w:val="006E132E"/>
    <w:rsid w:val="006E159C"/>
    <w:rsid w:val="006E15AE"/>
    <w:rsid w:val="006E192D"/>
    <w:rsid w:val="006E20A0"/>
    <w:rsid w:val="006E21F5"/>
    <w:rsid w:val="006E3141"/>
    <w:rsid w:val="006E3A2C"/>
    <w:rsid w:val="006E4815"/>
    <w:rsid w:val="006E4B86"/>
    <w:rsid w:val="006E4FC0"/>
    <w:rsid w:val="006E55CC"/>
    <w:rsid w:val="006E589C"/>
    <w:rsid w:val="006E591A"/>
    <w:rsid w:val="006E5996"/>
    <w:rsid w:val="006E5ED4"/>
    <w:rsid w:val="006E62CC"/>
    <w:rsid w:val="006E65A7"/>
    <w:rsid w:val="006E66FC"/>
    <w:rsid w:val="006E67D6"/>
    <w:rsid w:val="006E70B6"/>
    <w:rsid w:val="006E70CC"/>
    <w:rsid w:val="006E70E7"/>
    <w:rsid w:val="006E762D"/>
    <w:rsid w:val="006E7874"/>
    <w:rsid w:val="006E7EC9"/>
    <w:rsid w:val="006E7F63"/>
    <w:rsid w:val="006F0609"/>
    <w:rsid w:val="006F069A"/>
    <w:rsid w:val="006F1D43"/>
    <w:rsid w:val="006F24E2"/>
    <w:rsid w:val="006F2BCA"/>
    <w:rsid w:val="006F2BDC"/>
    <w:rsid w:val="006F2DB6"/>
    <w:rsid w:val="006F3081"/>
    <w:rsid w:val="006F30D5"/>
    <w:rsid w:val="006F33BD"/>
    <w:rsid w:val="006F342C"/>
    <w:rsid w:val="006F34F1"/>
    <w:rsid w:val="006F35F8"/>
    <w:rsid w:val="006F3780"/>
    <w:rsid w:val="006F42CB"/>
    <w:rsid w:val="006F4441"/>
    <w:rsid w:val="006F4B42"/>
    <w:rsid w:val="006F4F72"/>
    <w:rsid w:val="006F523C"/>
    <w:rsid w:val="006F62C1"/>
    <w:rsid w:val="006F65F2"/>
    <w:rsid w:val="006F6FA0"/>
    <w:rsid w:val="006F704B"/>
    <w:rsid w:val="006F7A3F"/>
    <w:rsid w:val="006F7FB0"/>
    <w:rsid w:val="00700525"/>
    <w:rsid w:val="00701202"/>
    <w:rsid w:val="00701659"/>
    <w:rsid w:val="00702713"/>
    <w:rsid w:val="00702C64"/>
    <w:rsid w:val="0070315F"/>
    <w:rsid w:val="0070396E"/>
    <w:rsid w:val="0070472E"/>
    <w:rsid w:val="00704A1C"/>
    <w:rsid w:val="0070643C"/>
    <w:rsid w:val="00707393"/>
    <w:rsid w:val="00707CEE"/>
    <w:rsid w:val="00707E83"/>
    <w:rsid w:val="007102ED"/>
    <w:rsid w:val="00710311"/>
    <w:rsid w:val="007108DF"/>
    <w:rsid w:val="00710EDB"/>
    <w:rsid w:val="007111D4"/>
    <w:rsid w:val="0071150B"/>
    <w:rsid w:val="007117E4"/>
    <w:rsid w:val="007120C5"/>
    <w:rsid w:val="00712B39"/>
    <w:rsid w:val="00712CFF"/>
    <w:rsid w:val="00712D66"/>
    <w:rsid w:val="007136BD"/>
    <w:rsid w:val="0071376E"/>
    <w:rsid w:val="00713DDB"/>
    <w:rsid w:val="00713DE5"/>
    <w:rsid w:val="00714513"/>
    <w:rsid w:val="00715005"/>
    <w:rsid w:val="0071583C"/>
    <w:rsid w:val="0071591F"/>
    <w:rsid w:val="00715DDE"/>
    <w:rsid w:val="00715FEC"/>
    <w:rsid w:val="007162E3"/>
    <w:rsid w:val="007162E7"/>
    <w:rsid w:val="0071685E"/>
    <w:rsid w:val="00716B18"/>
    <w:rsid w:val="00716BB4"/>
    <w:rsid w:val="0071795F"/>
    <w:rsid w:val="0072029C"/>
    <w:rsid w:val="007205D0"/>
    <w:rsid w:val="007206C1"/>
    <w:rsid w:val="00721068"/>
    <w:rsid w:val="0072199B"/>
    <w:rsid w:val="007221DF"/>
    <w:rsid w:val="007227C2"/>
    <w:rsid w:val="00722BE4"/>
    <w:rsid w:val="00723796"/>
    <w:rsid w:val="007237AE"/>
    <w:rsid w:val="00724BD3"/>
    <w:rsid w:val="007261C3"/>
    <w:rsid w:val="007279EB"/>
    <w:rsid w:val="007306A2"/>
    <w:rsid w:val="00730C7F"/>
    <w:rsid w:val="007317F3"/>
    <w:rsid w:val="007318CB"/>
    <w:rsid w:val="00732A0B"/>
    <w:rsid w:val="00733227"/>
    <w:rsid w:val="0073388F"/>
    <w:rsid w:val="0073397A"/>
    <w:rsid w:val="00733EBE"/>
    <w:rsid w:val="00733F79"/>
    <w:rsid w:val="007355D9"/>
    <w:rsid w:val="007362EF"/>
    <w:rsid w:val="00736458"/>
    <w:rsid w:val="00736857"/>
    <w:rsid w:val="007368C6"/>
    <w:rsid w:val="007369B7"/>
    <w:rsid w:val="00736CAA"/>
    <w:rsid w:val="00737158"/>
    <w:rsid w:val="0073755A"/>
    <w:rsid w:val="00737D58"/>
    <w:rsid w:val="00737EF3"/>
    <w:rsid w:val="007402FD"/>
    <w:rsid w:val="007409F5"/>
    <w:rsid w:val="00740EAC"/>
    <w:rsid w:val="00741187"/>
    <w:rsid w:val="00742171"/>
    <w:rsid w:val="00742334"/>
    <w:rsid w:val="007424D3"/>
    <w:rsid w:val="0074325A"/>
    <w:rsid w:val="00743C39"/>
    <w:rsid w:val="00744B57"/>
    <w:rsid w:val="00744C5C"/>
    <w:rsid w:val="00745176"/>
    <w:rsid w:val="00745738"/>
    <w:rsid w:val="00745C2E"/>
    <w:rsid w:val="007465C2"/>
    <w:rsid w:val="00746A8D"/>
    <w:rsid w:val="00746B93"/>
    <w:rsid w:val="00747C6E"/>
    <w:rsid w:val="00747FBE"/>
    <w:rsid w:val="007503CD"/>
    <w:rsid w:val="00750A9A"/>
    <w:rsid w:val="00750C75"/>
    <w:rsid w:val="00750E52"/>
    <w:rsid w:val="00751B63"/>
    <w:rsid w:val="00751E2B"/>
    <w:rsid w:val="0075294D"/>
    <w:rsid w:val="00752D05"/>
    <w:rsid w:val="007530C6"/>
    <w:rsid w:val="00753479"/>
    <w:rsid w:val="0075453C"/>
    <w:rsid w:val="007545F4"/>
    <w:rsid w:val="00754E45"/>
    <w:rsid w:val="0075508D"/>
    <w:rsid w:val="007552CB"/>
    <w:rsid w:val="0075585C"/>
    <w:rsid w:val="00755DCB"/>
    <w:rsid w:val="00755FE3"/>
    <w:rsid w:val="007574B4"/>
    <w:rsid w:val="007606DF"/>
    <w:rsid w:val="00760EBE"/>
    <w:rsid w:val="00760F5B"/>
    <w:rsid w:val="00761398"/>
    <w:rsid w:val="0076149B"/>
    <w:rsid w:val="007620E9"/>
    <w:rsid w:val="00762530"/>
    <w:rsid w:val="00762868"/>
    <w:rsid w:val="00762A68"/>
    <w:rsid w:val="00762E91"/>
    <w:rsid w:val="00762F2A"/>
    <w:rsid w:val="00763229"/>
    <w:rsid w:val="007634E4"/>
    <w:rsid w:val="007638A8"/>
    <w:rsid w:val="00764AE7"/>
    <w:rsid w:val="00764CEA"/>
    <w:rsid w:val="00764E14"/>
    <w:rsid w:val="007654AF"/>
    <w:rsid w:val="00766233"/>
    <w:rsid w:val="00766EFD"/>
    <w:rsid w:val="00766FB6"/>
    <w:rsid w:val="00767297"/>
    <w:rsid w:val="00767D7C"/>
    <w:rsid w:val="00770085"/>
    <w:rsid w:val="00770341"/>
    <w:rsid w:val="00770A12"/>
    <w:rsid w:val="00770C84"/>
    <w:rsid w:val="00771042"/>
    <w:rsid w:val="00771135"/>
    <w:rsid w:val="00771502"/>
    <w:rsid w:val="007715FE"/>
    <w:rsid w:val="00771932"/>
    <w:rsid w:val="00772909"/>
    <w:rsid w:val="00772AC5"/>
    <w:rsid w:val="00772FE3"/>
    <w:rsid w:val="00773A1A"/>
    <w:rsid w:val="00773B82"/>
    <w:rsid w:val="00773D9A"/>
    <w:rsid w:val="00773F98"/>
    <w:rsid w:val="0077491C"/>
    <w:rsid w:val="00774AD7"/>
    <w:rsid w:val="00774B14"/>
    <w:rsid w:val="00774ED5"/>
    <w:rsid w:val="00774F55"/>
    <w:rsid w:val="00775162"/>
    <w:rsid w:val="007753F4"/>
    <w:rsid w:val="007754BC"/>
    <w:rsid w:val="0077565C"/>
    <w:rsid w:val="00775A51"/>
    <w:rsid w:val="00775C13"/>
    <w:rsid w:val="00775FC2"/>
    <w:rsid w:val="00776020"/>
    <w:rsid w:val="007766A3"/>
    <w:rsid w:val="0077677F"/>
    <w:rsid w:val="00776E41"/>
    <w:rsid w:val="0077770E"/>
    <w:rsid w:val="00777723"/>
    <w:rsid w:val="007805B8"/>
    <w:rsid w:val="007805BD"/>
    <w:rsid w:val="00780D92"/>
    <w:rsid w:val="007810CE"/>
    <w:rsid w:val="007810FA"/>
    <w:rsid w:val="007814D8"/>
    <w:rsid w:val="00782171"/>
    <w:rsid w:val="00783012"/>
    <w:rsid w:val="00783B25"/>
    <w:rsid w:val="00783BCB"/>
    <w:rsid w:val="0078516E"/>
    <w:rsid w:val="007851EC"/>
    <w:rsid w:val="00785708"/>
    <w:rsid w:val="0078572D"/>
    <w:rsid w:val="00785B4D"/>
    <w:rsid w:val="00785FF1"/>
    <w:rsid w:val="00786119"/>
    <w:rsid w:val="00786353"/>
    <w:rsid w:val="007863C3"/>
    <w:rsid w:val="007863CB"/>
    <w:rsid w:val="00786586"/>
    <w:rsid w:val="0078664C"/>
    <w:rsid w:val="007866B5"/>
    <w:rsid w:val="0078755C"/>
    <w:rsid w:val="0078755E"/>
    <w:rsid w:val="007879FB"/>
    <w:rsid w:val="00790040"/>
    <w:rsid w:val="00790865"/>
    <w:rsid w:val="00790A21"/>
    <w:rsid w:val="00791B46"/>
    <w:rsid w:val="00791E66"/>
    <w:rsid w:val="00791FC6"/>
    <w:rsid w:val="007920C0"/>
    <w:rsid w:val="00792106"/>
    <w:rsid w:val="00792280"/>
    <w:rsid w:val="007922FD"/>
    <w:rsid w:val="00792ADF"/>
    <w:rsid w:val="00792BB2"/>
    <w:rsid w:val="00792EFE"/>
    <w:rsid w:val="00793502"/>
    <w:rsid w:val="00793914"/>
    <w:rsid w:val="00793978"/>
    <w:rsid w:val="00793EEC"/>
    <w:rsid w:val="007940AD"/>
    <w:rsid w:val="0079470A"/>
    <w:rsid w:val="00794BD7"/>
    <w:rsid w:val="00795056"/>
    <w:rsid w:val="007954F8"/>
    <w:rsid w:val="00795A7A"/>
    <w:rsid w:val="00796114"/>
    <w:rsid w:val="00796884"/>
    <w:rsid w:val="007977ED"/>
    <w:rsid w:val="00797D5D"/>
    <w:rsid w:val="007A0E06"/>
    <w:rsid w:val="007A1634"/>
    <w:rsid w:val="007A1688"/>
    <w:rsid w:val="007A1A62"/>
    <w:rsid w:val="007A1A72"/>
    <w:rsid w:val="007A2236"/>
    <w:rsid w:val="007A2A45"/>
    <w:rsid w:val="007A2C43"/>
    <w:rsid w:val="007A3024"/>
    <w:rsid w:val="007A369E"/>
    <w:rsid w:val="007A3BF4"/>
    <w:rsid w:val="007A3FC8"/>
    <w:rsid w:val="007A53DB"/>
    <w:rsid w:val="007A5422"/>
    <w:rsid w:val="007A5573"/>
    <w:rsid w:val="007A57E9"/>
    <w:rsid w:val="007A5D54"/>
    <w:rsid w:val="007A614F"/>
    <w:rsid w:val="007A6A1E"/>
    <w:rsid w:val="007A7040"/>
    <w:rsid w:val="007A71EF"/>
    <w:rsid w:val="007A7CCC"/>
    <w:rsid w:val="007A7D1A"/>
    <w:rsid w:val="007B0FE7"/>
    <w:rsid w:val="007B114B"/>
    <w:rsid w:val="007B1295"/>
    <w:rsid w:val="007B1A26"/>
    <w:rsid w:val="007B2B30"/>
    <w:rsid w:val="007B2BC6"/>
    <w:rsid w:val="007B2BE8"/>
    <w:rsid w:val="007B2DAC"/>
    <w:rsid w:val="007B37ED"/>
    <w:rsid w:val="007B382E"/>
    <w:rsid w:val="007B451A"/>
    <w:rsid w:val="007B4757"/>
    <w:rsid w:val="007B480A"/>
    <w:rsid w:val="007B59E5"/>
    <w:rsid w:val="007B670B"/>
    <w:rsid w:val="007B6AF2"/>
    <w:rsid w:val="007B6D70"/>
    <w:rsid w:val="007B7F6E"/>
    <w:rsid w:val="007C0B16"/>
    <w:rsid w:val="007C187D"/>
    <w:rsid w:val="007C1B27"/>
    <w:rsid w:val="007C1EB6"/>
    <w:rsid w:val="007C20E6"/>
    <w:rsid w:val="007C21A5"/>
    <w:rsid w:val="007C2230"/>
    <w:rsid w:val="007C24AD"/>
    <w:rsid w:val="007C3104"/>
    <w:rsid w:val="007C33EF"/>
    <w:rsid w:val="007C3646"/>
    <w:rsid w:val="007C385C"/>
    <w:rsid w:val="007C3B2A"/>
    <w:rsid w:val="007C3ECC"/>
    <w:rsid w:val="007C41A3"/>
    <w:rsid w:val="007C49E0"/>
    <w:rsid w:val="007C5411"/>
    <w:rsid w:val="007C6568"/>
    <w:rsid w:val="007C663D"/>
    <w:rsid w:val="007C665A"/>
    <w:rsid w:val="007C6F6B"/>
    <w:rsid w:val="007C75C4"/>
    <w:rsid w:val="007D03E3"/>
    <w:rsid w:val="007D16B6"/>
    <w:rsid w:val="007D16CB"/>
    <w:rsid w:val="007D1CC0"/>
    <w:rsid w:val="007D2191"/>
    <w:rsid w:val="007D2316"/>
    <w:rsid w:val="007D235C"/>
    <w:rsid w:val="007D2778"/>
    <w:rsid w:val="007D2792"/>
    <w:rsid w:val="007D2E8E"/>
    <w:rsid w:val="007D30C5"/>
    <w:rsid w:val="007D3232"/>
    <w:rsid w:val="007D37E3"/>
    <w:rsid w:val="007D39C9"/>
    <w:rsid w:val="007D44FA"/>
    <w:rsid w:val="007D4537"/>
    <w:rsid w:val="007D46F2"/>
    <w:rsid w:val="007D5143"/>
    <w:rsid w:val="007D5393"/>
    <w:rsid w:val="007D53C7"/>
    <w:rsid w:val="007D5D07"/>
    <w:rsid w:val="007D5D47"/>
    <w:rsid w:val="007D6001"/>
    <w:rsid w:val="007D6222"/>
    <w:rsid w:val="007D7037"/>
    <w:rsid w:val="007D706D"/>
    <w:rsid w:val="007E0AB8"/>
    <w:rsid w:val="007E0D18"/>
    <w:rsid w:val="007E102F"/>
    <w:rsid w:val="007E11F9"/>
    <w:rsid w:val="007E12A3"/>
    <w:rsid w:val="007E1640"/>
    <w:rsid w:val="007E1BD3"/>
    <w:rsid w:val="007E277E"/>
    <w:rsid w:val="007E2911"/>
    <w:rsid w:val="007E2F13"/>
    <w:rsid w:val="007E3195"/>
    <w:rsid w:val="007E3320"/>
    <w:rsid w:val="007E3A2D"/>
    <w:rsid w:val="007E3EC8"/>
    <w:rsid w:val="007E40A0"/>
    <w:rsid w:val="007E43B3"/>
    <w:rsid w:val="007E4FF8"/>
    <w:rsid w:val="007E6210"/>
    <w:rsid w:val="007E6A10"/>
    <w:rsid w:val="007E6E0A"/>
    <w:rsid w:val="007E7A2B"/>
    <w:rsid w:val="007F0344"/>
    <w:rsid w:val="007F0959"/>
    <w:rsid w:val="007F1200"/>
    <w:rsid w:val="007F13CD"/>
    <w:rsid w:val="007F13E0"/>
    <w:rsid w:val="007F18B4"/>
    <w:rsid w:val="007F24A5"/>
    <w:rsid w:val="007F29BE"/>
    <w:rsid w:val="007F3060"/>
    <w:rsid w:val="007F3164"/>
    <w:rsid w:val="007F33F9"/>
    <w:rsid w:val="007F347B"/>
    <w:rsid w:val="007F3608"/>
    <w:rsid w:val="007F3A7A"/>
    <w:rsid w:val="007F3BCA"/>
    <w:rsid w:val="007F3CB0"/>
    <w:rsid w:val="007F3EFC"/>
    <w:rsid w:val="007F4638"/>
    <w:rsid w:val="007F4A69"/>
    <w:rsid w:val="007F4FCA"/>
    <w:rsid w:val="007F51B6"/>
    <w:rsid w:val="007F5C32"/>
    <w:rsid w:val="007F6387"/>
    <w:rsid w:val="007F67D2"/>
    <w:rsid w:val="007F6AE5"/>
    <w:rsid w:val="007F7276"/>
    <w:rsid w:val="007F74DF"/>
    <w:rsid w:val="007F78A2"/>
    <w:rsid w:val="007F79B3"/>
    <w:rsid w:val="007F7A98"/>
    <w:rsid w:val="007F7BC0"/>
    <w:rsid w:val="007F7D57"/>
    <w:rsid w:val="00800242"/>
    <w:rsid w:val="008005A0"/>
    <w:rsid w:val="0080107D"/>
    <w:rsid w:val="0080146F"/>
    <w:rsid w:val="0080184E"/>
    <w:rsid w:val="00801B64"/>
    <w:rsid w:val="00802367"/>
    <w:rsid w:val="00802C48"/>
    <w:rsid w:val="0080317B"/>
    <w:rsid w:val="0080331E"/>
    <w:rsid w:val="0080378B"/>
    <w:rsid w:val="00803A50"/>
    <w:rsid w:val="00803F62"/>
    <w:rsid w:val="0080430B"/>
    <w:rsid w:val="00804B60"/>
    <w:rsid w:val="0080509D"/>
    <w:rsid w:val="008051C7"/>
    <w:rsid w:val="008053E5"/>
    <w:rsid w:val="00805E9F"/>
    <w:rsid w:val="00805F0A"/>
    <w:rsid w:val="00806B9A"/>
    <w:rsid w:val="00806BFD"/>
    <w:rsid w:val="00806D39"/>
    <w:rsid w:val="00807262"/>
    <w:rsid w:val="008073DE"/>
    <w:rsid w:val="00807BC0"/>
    <w:rsid w:val="00807D7C"/>
    <w:rsid w:val="00810949"/>
    <w:rsid w:val="00810D69"/>
    <w:rsid w:val="00810E35"/>
    <w:rsid w:val="0081180D"/>
    <w:rsid w:val="008118BC"/>
    <w:rsid w:val="00811F05"/>
    <w:rsid w:val="00811F0B"/>
    <w:rsid w:val="00813224"/>
    <w:rsid w:val="0081331A"/>
    <w:rsid w:val="00813CFD"/>
    <w:rsid w:val="00813DD7"/>
    <w:rsid w:val="00813EE8"/>
    <w:rsid w:val="00814257"/>
    <w:rsid w:val="00814498"/>
    <w:rsid w:val="008145CC"/>
    <w:rsid w:val="008149F1"/>
    <w:rsid w:val="00814B14"/>
    <w:rsid w:val="00814FB8"/>
    <w:rsid w:val="008151B2"/>
    <w:rsid w:val="008158D8"/>
    <w:rsid w:val="00816051"/>
    <w:rsid w:val="00816642"/>
    <w:rsid w:val="00816A43"/>
    <w:rsid w:val="00816B7A"/>
    <w:rsid w:val="00816CEE"/>
    <w:rsid w:val="00816D1F"/>
    <w:rsid w:val="008171FA"/>
    <w:rsid w:val="008172DB"/>
    <w:rsid w:val="0081758D"/>
    <w:rsid w:val="00817E3C"/>
    <w:rsid w:val="0082003D"/>
    <w:rsid w:val="008201A2"/>
    <w:rsid w:val="00820D83"/>
    <w:rsid w:val="00822196"/>
    <w:rsid w:val="00822784"/>
    <w:rsid w:val="00822A61"/>
    <w:rsid w:val="00822C0F"/>
    <w:rsid w:val="00822EE2"/>
    <w:rsid w:val="008232EA"/>
    <w:rsid w:val="008240B9"/>
    <w:rsid w:val="00824247"/>
    <w:rsid w:val="008244D0"/>
    <w:rsid w:val="00824579"/>
    <w:rsid w:val="00824DAC"/>
    <w:rsid w:val="00825073"/>
    <w:rsid w:val="00825625"/>
    <w:rsid w:val="0082569C"/>
    <w:rsid w:val="00826491"/>
    <w:rsid w:val="00826575"/>
    <w:rsid w:val="00826C99"/>
    <w:rsid w:val="00826EBC"/>
    <w:rsid w:val="008274E5"/>
    <w:rsid w:val="0082762A"/>
    <w:rsid w:val="00827AD5"/>
    <w:rsid w:val="008301F7"/>
    <w:rsid w:val="00830409"/>
    <w:rsid w:val="008308A8"/>
    <w:rsid w:val="00830B01"/>
    <w:rsid w:val="00830D30"/>
    <w:rsid w:val="008318B3"/>
    <w:rsid w:val="00831CE0"/>
    <w:rsid w:val="00832169"/>
    <w:rsid w:val="0083254E"/>
    <w:rsid w:val="008330A1"/>
    <w:rsid w:val="008339E8"/>
    <w:rsid w:val="00833B2C"/>
    <w:rsid w:val="00833C89"/>
    <w:rsid w:val="00833F29"/>
    <w:rsid w:val="00834B04"/>
    <w:rsid w:val="00834B8A"/>
    <w:rsid w:val="00834D38"/>
    <w:rsid w:val="008356CB"/>
    <w:rsid w:val="00835994"/>
    <w:rsid w:val="00836249"/>
    <w:rsid w:val="00836697"/>
    <w:rsid w:val="00836EAC"/>
    <w:rsid w:val="00836ED7"/>
    <w:rsid w:val="008371DE"/>
    <w:rsid w:val="0083789C"/>
    <w:rsid w:val="00837C0B"/>
    <w:rsid w:val="00837C92"/>
    <w:rsid w:val="008402C7"/>
    <w:rsid w:val="008402F1"/>
    <w:rsid w:val="00840339"/>
    <w:rsid w:val="00840597"/>
    <w:rsid w:val="00840F40"/>
    <w:rsid w:val="0084107C"/>
    <w:rsid w:val="00841589"/>
    <w:rsid w:val="00841D93"/>
    <w:rsid w:val="008426A6"/>
    <w:rsid w:val="00842A62"/>
    <w:rsid w:val="00842B7F"/>
    <w:rsid w:val="00842B89"/>
    <w:rsid w:val="00842C27"/>
    <w:rsid w:val="00842D5F"/>
    <w:rsid w:val="00843929"/>
    <w:rsid w:val="00843CA8"/>
    <w:rsid w:val="00843E5D"/>
    <w:rsid w:val="00843EAF"/>
    <w:rsid w:val="00843FBE"/>
    <w:rsid w:val="008444DE"/>
    <w:rsid w:val="00844E9E"/>
    <w:rsid w:val="00845301"/>
    <w:rsid w:val="00845638"/>
    <w:rsid w:val="00846337"/>
    <w:rsid w:val="008463CB"/>
    <w:rsid w:val="008463E9"/>
    <w:rsid w:val="008466FD"/>
    <w:rsid w:val="00846D29"/>
    <w:rsid w:val="00846D7F"/>
    <w:rsid w:val="00846F16"/>
    <w:rsid w:val="00846FC9"/>
    <w:rsid w:val="00846FCC"/>
    <w:rsid w:val="00847611"/>
    <w:rsid w:val="0084773A"/>
    <w:rsid w:val="00850311"/>
    <w:rsid w:val="0085087F"/>
    <w:rsid w:val="00850ACF"/>
    <w:rsid w:val="00850CF3"/>
    <w:rsid w:val="00850D46"/>
    <w:rsid w:val="00851246"/>
    <w:rsid w:val="00851B86"/>
    <w:rsid w:val="008523F0"/>
    <w:rsid w:val="00852583"/>
    <w:rsid w:val="00853137"/>
    <w:rsid w:val="0085337A"/>
    <w:rsid w:val="00853ADB"/>
    <w:rsid w:val="00853FCF"/>
    <w:rsid w:val="00854007"/>
    <w:rsid w:val="008546FC"/>
    <w:rsid w:val="0085474C"/>
    <w:rsid w:val="00854E59"/>
    <w:rsid w:val="00854EB2"/>
    <w:rsid w:val="00854FCA"/>
    <w:rsid w:val="00855D88"/>
    <w:rsid w:val="00856042"/>
    <w:rsid w:val="008560C9"/>
    <w:rsid w:val="008566F3"/>
    <w:rsid w:val="00857135"/>
    <w:rsid w:val="00857BAF"/>
    <w:rsid w:val="00857CFD"/>
    <w:rsid w:val="008604D7"/>
    <w:rsid w:val="0086062F"/>
    <w:rsid w:val="00860D0E"/>
    <w:rsid w:val="00860D1C"/>
    <w:rsid w:val="00861241"/>
    <w:rsid w:val="00861355"/>
    <w:rsid w:val="00861B47"/>
    <w:rsid w:val="00861B84"/>
    <w:rsid w:val="008629AA"/>
    <w:rsid w:val="00862A95"/>
    <w:rsid w:val="00863000"/>
    <w:rsid w:val="008630F4"/>
    <w:rsid w:val="0086374E"/>
    <w:rsid w:val="008639C5"/>
    <w:rsid w:val="00863CEA"/>
    <w:rsid w:val="00863E20"/>
    <w:rsid w:val="00863E41"/>
    <w:rsid w:val="00864059"/>
    <w:rsid w:val="00864271"/>
    <w:rsid w:val="0086481E"/>
    <w:rsid w:val="00864B36"/>
    <w:rsid w:val="00865C28"/>
    <w:rsid w:val="00866C9B"/>
    <w:rsid w:val="00867337"/>
    <w:rsid w:val="008674CB"/>
    <w:rsid w:val="00867CEF"/>
    <w:rsid w:val="0087003A"/>
    <w:rsid w:val="00870175"/>
    <w:rsid w:val="008706D9"/>
    <w:rsid w:val="00870F3F"/>
    <w:rsid w:val="008710F5"/>
    <w:rsid w:val="00871265"/>
    <w:rsid w:val="008717E9"/>
    <w:rsid w:val="00872878"/>
    <w:rsid w:val="008730FD"/>
    <w:rsid w:val="00873104"/>
    <w:rsid w:val="008736E9"/>
    <w:rsid w:val="0087396F"/>
    <w:rsid w:val="00873C5C"/>
    <w:rsid w:val="00873CBC"/>
    <w:rsid w:val="00873E70"/>
    <w:rsid w:val="00874156"/>
    <w:rsid w:val="00874996"/>
    <w:rsid w:val="00874A36"/>
    <w:rsid w:val="00874F5B"/>
    <w:rsid w:val="00875317"/>
    <w:rsid w:val="00875703"/>
    <w:rsid w:val="008760DB"/>
    <w:rsid w:val="008762C5"/>
    <w:rsid w:val="0087646E"/>
    <w:rsid w:val="0087649A"/>
    <w:rsid w:val="008768F1"/>
    <w:rsid w:val="00876DE4"/>
    <w:rsid w:val="008770EF"/>
    <w:rsid w:val="008779B4"/>
    <w:rsid w:val="00877F90"/>
    <w:rsid w:val="008818F0"/>
    <w:rsid w:val="00881A08"/>
    <w:rsid w:val="00881BE0"/>
    <w:rsid w:val="00881E9C"/>
    <w:rsid w:val="00882488"/>
    <w:rsid w:val="008828D0"/>
    <w:rsid w:val="00882D1C"/>
    <w:rsid w:val="0088307A"/>
    <w:rsid w:val="00883845"/>
    <w:rsid w:val="00883D8C"/>
    <w:rsid w:val="008846A5"/>
    <w:rsid w:val="00884E86"/>
    <w:rsid w:val="008854AB"/>
    <w:rsid w:val="00885595"/>
    <w:rsid w:val="00886AB2"/>
    <w:rsid w:val="00887E9B"/>
    <w:rsid w:val="00887F4F"/>
    <w:rsid w:val="00890230"/>
    <w:rsid w:val="008902D0"/>
    <w:rsid w:val="0089136C"/>
    <w:rsid w:val="008917B9"/>
    <w:rsid w:val="0089218B"/>
    <w:rsid w:val="0089266E"/>
    <w:rsid w:val="00892B3A"/>
    <w:rsid w:val="0089303A"/>
    <w:rsid w:val="00893A47"/>
    <w:rsid w:val="00893B9A"/>
    <w:rsid w:val="00893C8A"/>
    <w:rsid w:val="008940B3"/>
    <w:rsid w:val="00894806"/>
    <w:rsid w:val="008948F8"/>
    <w:rsid w:val="00894906"/>
    <w:rsid w:val="00894D2C"/>
    <w:rsid w:val="00895038"/>
    <w:rsid w:val="00895186"/>
    <w:rsid w:val="008958E4"/>
    <w:rsid w:val="00895BBB"/>
    <w:rsid w:val="00895C28"/>
    <w:rsid w:val="008960A3"/>
    <w:rsid w:val="00896219"/>
    <w:rsid w:val="008963EA"/>
    <w:rsid w:val="00896483"/>
    <w:rsid w:val="008965AE"/>
    <w:rsid w:val="0089689F"/>
    <w:rsid w:val="00897198"/>
    <w:rsid w:val="00897ABE"/>
    <w:rsid w:val="00897CB1"/>
    <w:rsid w:val="008A01A6"/>
    <w:rsid w:val="008A0CA6"/>
    <w:rsid w:val="008A10C0"/>
    <w:rsid w:val="008A1404"/>
    <w:rsid w:val="008A1532"/>
    <w:rsid w:val="008A157D"/>
    <w:rsid w:val="008A1A31"/>
    <w:rsid w:val="008A1CCB"/>
    <w:rsid w:val="008A1DF9"/>
    <w:rsid w:val="008A1E63"/>
    <w:rsid w:val="008A23AA"/>
    <w:rsid w:val="008A328B"/>
    <w:rsid w:val="008A3A85"/>
    <w:rsid w:val="008A3E5B"/>
    <w:rsid w:val="008A4148"/>
    <w:rsid w:val="008A4538"/>
    <w:rsid w:val="008A46A8"/>
    <w:rsid w:val="008A4C7E"/>
    <w:rsid w:val="008A5065"/>
    <w:rsid w:val="008A512D"/>
    <w:rsid w:val="008A5A4B"/>
    <w:rsid w:val="008A6C32"/>
    <w:rsid w:val="008A70CD"/>
    <w:rsid w:val="008A720D"/>
    <w:rsid w:val="008A7C85"/>
    <w:rsid w:val="008A7ECF"/>
    <w:rsid w:val="008B0374"/>
    <w:rsid w:val="008B0C8B"/>
    <w:rsid w:val="008B13BF"/>
    <w:rsid w:val="008B15FE"/>
    <w:rsid w:val="008B165A"/>
    <w:rsid w:val="008B1859"/>
    <w:rsid w:val="008B1FDA"/>
    <w:rsid w:val="008B2309"/>
    <w:rsid w:val="008B26C4"/>
    <w:rsid w:val="008B3855"/>
    <w:rsid w:val="008B420D"/>
    <w:rsid w:val="008B4A91"/>
    <w:rsid w:val="008B4E4D"/>
    <w:rsid w:val="008B4EDD"/>
    <w:rsid w:val="008B50ED"/>
    <w:rsid w:val="008B5366"/>
    <w:rsid w:val="008B54C5"/>
    <w:rsid w:val="008B721F"/>
    <w:rsid w:val="008B7798"/>
    <w:rsid w:val="008B77CD"/>
    <w:rsid w:val="008B77FD"/>
    <w:rsid w:val="008B7AB6"/>
    <w:rsid w:val="008C0ACE"/>
    <w:rsid w:val="008C0CBB"/>
    <w:rsid w:val="008C0FCB"/>
    <w:rsid w:val="008C1D71"/>
    <w:rsid w:val="008C1D7B"/>
    <w:rsid w:val="008C1F16"/>
    <w:rsid w:val="008C23C5"/>
    <w:rsid w:val="008C2744"/>
    <w:rsid w:val="008C293C"/>
    <w:rsid w:val="008C29A6"/>
    <w:rsid w:val="008C2E12"/>
    <w:rsid w:val="008C3C31"/>
    <w:rsid w:val="008C562C"/>
    <w:rsid w:val="008C5D6E"/>
    <w:rsid w:val="008C6683"/>
    <w:rsid w:val="008C68C1"/>
    <w:rsid w:val="008C6964"/>
    <w:rsid w:val="008C6BAF"/>
    <w:rsid w:val="008D00DA"/>
    <w:rsid w:val="008D0795"/>
    <w:rsid w:val="008D0A99"/>
    <w:rsid w:val="008D125A"/>
    <w:rsid w:val="008D134F"/>
    <w:rsid w:val="008D2418"/>
    <w:rsid w:val="008D27DA"/>
    <w:rsid w:val="008D33CA"/>
    <w:rsid w:val="008D426B"/>
    <w:rsid w:val="008D4AFB"/>
    <w:rsid w:val="008D5563"/>
    <w:rsid w:val="008D597E"/>
    <w:rsid w:val="008D5A10"/>
    <w:rsid w:val="008D5B8B"/>
    <w:rsid w:val="008D5E52"/>
    <w:rsid w:val="008D5FB8"/>
    <w:rsid w:val="008D5FC7"/>
    <w:rsid w:val="008D648C"/>
    <w:rsid w:val="008D75DB"/>
    <w:rsid w:val="008E088D"/>
    <w:rsid w:val="008E0D3F"/>
    <w:rsid w:val="008E1600"/>
    <w:rsid w:val="008E1C00"/>
    <w:rsid w:val="008E1F9F"/>
    <w:rsid w:val="008E1FC4"/>
    <w:rsid w:val="008E2F5C"/>
    <w:rsid w:val="008E3549"/>
    <w:rsid w:val="008E358E"/>
    <w:rsid w:val="008E473F"/>
    <w:rsid w:val="008E47FA"/>
    <w:rsid w:val="008E4A1D"/>
    <w:rsid w:val="008E4DE9"/>
    <w:rsid w:val="008E5174"/>
    <w:rsid w:val="008E53B7"/>
    <w:rsid w:val="008E5909"/>
    <w:rsid w:val="008E5AA1"/>
    <w:rsid w:val="008E5AF0"/>
    <w:rsid w:val="008E5B35"/>
    <w:rsid w:val="008E69CC"/>
    <w:rsid w:val="008F022B"/>
    <w:rsid w:val="008F0319"/>
    <w:rsid w:val="008F044E"/>
    <w:rsid w:val="008F09CD"/>
    <w:rsid w:val="008F0A5F"/>
    <w:rsid w:val="008F0BF0"/>
    <w:rsid w:val="008F0EEB"/>
    <w:rsid w:val="008F14D5"/>
    <w:rsid w:val="008F15CA"/>
    <w:rsid w:val="008F172C"/>
    <w:rsid w:val="008F1A1A"/>
    <w:rsid w:val="008F1E0D"/>
    <w:rsid w:val="008F1E38"/>
    <w:rsid w:val="008F2819"/>
    <w:rsid w:val="008F2CF1"/>
    <w:rsid w:val="008F3387"/>
    <w:rsid w:val="008F33DF"/>
    <w:rsid w:val="008F35F4"/>
    <w:rsid w:val="008F3D22"/>
    <w:rsid w:val="008F3DF6"/>
    <w:rsid w:val="008F43EF"/>
    <w:rsid w:val="008F4969"/>
    <w:rsid w:val="008F58E8"/>
    <w:rsid w:val="008F624B"/>
    <w:rsid w:val="008F66DE"/>
    <w:rsid w:val="008F69A4"/>
    <w:rsid w:val="008F7767"/>
    <w:rsid w:val="008F7FAB"/>
    <w:rsid w:val="0090009B"/>
    <w:rsid w:val="00900A5B"/>
    <w:rsid w:val="0090113B"/>
    <w:rsid w:val="009013BA"/>
    <w:rsid w:val="0090154C"/>
    <w:rsid w:val="00901AC6"/>
    <w:rsid w:val="00901D4B"/>
    <w:rsid w:val="00901DFC"/>
    <w:rsid w:val="009020C8"/>
    <w:rsid w:val="00902133"/>
    <w:rsid w:val="00902595"/>
    <w:rsid w:val="009027DA"/>
    <w:rsid w:val="00902DBD"/>
    <w:rsid w:val="00903557"/>
    <w:rsid w:val="00903A3E"/>
    <w:rsid w:val="00904100"/>
    <w:rsid w:val="00904324"/>
    <w:rsid w:val="009045D7"/>
    <w:rsid w:val="00904F1A"/>
    <w:rsid w:val="00905789"/>
    <w:rsid w:val="0090594C"/>
    <w:rsid w:val="00905AEC"/>
    <w:rsid w:val="00906B96"/>
    <w:rsid w:val="009071B4"/>
    <w:rsid w:val="00907230"/>
    <w:rsid w:val="009073CD"/>
    <w:rsid w:val="009074FD"/>
    <w:rsid w:val="00907814"/>
    <w:rsid w:val="009079A5"/>
    <w:rsid w:val="009101A2"/>
    <w:rsid w:val="009103EB"/>
    <w:rsid w:val="00910AE2"/>
    <w:rsid w:val="00910B2B"/>
    <w:rsid w:val="00910BB4"/>
    <w:rsid w:val="00911550"/>
    <w:rsid w:val="00911646"/>
    <w:rsid w:val="00911834"/>
    <w:rsid w:val="00912FC9"/>
    <w:rsid w:val="00912FEB"/>
    <w:rsid w:val="009130D2"/>
    <w:rsid w:val="0091319A"/>
    <w:rsid w:val="00913704"/>
    <w:rsid w:val="00913F33"/>
    <w:rsid w:val="00915632"/>
    <w:rsid w:val="00915AFE"/>
    <w:rsid w:val="00915EBE"/>
    <w:rsid w:val="00915FF9"/>
    <w:rsid w:val="00916071"/>
    <w:rsid w:val="00916332"/>
    <w:rsid w:val="009166D7"/>
    <w:rsid w:val="00916CD2"/>
    <w:rsid w:val="009173BF"/>
    <w:rsid w:val="00917A5D"/>
    <w:rsid w:val="00917E1E"/>
    <w:rsid w:val="00920124"/>
    <w:rsid w:val="009206B8"/>
    <w:rsid w:val="009208C7"/>
    <w:rsid w:val="009211EB"/>
    <w:rsid w:val="009212B0"/>
    <w:rsid w:val="00921AE0"/>
    <w:rsid w:val="0092201B"/>
    <w:rsid w:val="00922069"/>
    <w:rsid w:val="009221C8"/>
    <w:rsid w:val="009227DD"/>
    <w:rsid w:val="00922E71"/>
    <w:rsid w:val="0092392F"/>
    <w:rsid w:val="00923BCB"/>
    <w:rsid w:val="00924A1C"/>
    <w:rsid w:val="00924FBA"/>
    <w:rsid w:val="009256F8"/>
    <w:rsid w:val="00925A5A"/>
    <w:rsid w:val="00925E55"/>
    <w:rsid w:val="0092627B"/>
    <w:rsid w:val="009269B3"/>
    <w:rsid w:val="00926E85"/>
    <w:rsid w:val="00926F6F"/>
    <w:rsid w:val="00927252"/>
    <w:rsid w:val="009275C8"/>
    <w:rsid w:val="00927DF9"/>
    <w:rsid w:val="00927F87"/>
    <w:rsid w:val="009308D9"/>
    <w:rsid w:val="00930DCC"/>
    <w:rsid w:val="009312AB"/>
    <w:rsid w:val="00931C29"/>
    <w:rsid w:val="00931C6A"/>
    <w:rsid w:val="00931D33"/>
    <w:rsid w:val="00932F12"/>
    <w:rsid w:val="009332DF"/>
    <w:rsid w:val="009335B5"/>
    <w:rsid w:val="00933755"/>
    <w:rsid w:val="00934C59"/>
    <w:rsid w:val="0093513C"/>
    <w:rsid w:val="00935435"/>
    <w:rsid w:val="00935C16"/>
    <w:rsid w:val="00935C1A"/>
    <w:rsid w:val="00935E1D"/>
    <w:rsid w:val="00935F27"/>
    <w:rsid w:val="009366FB"/>
    <w:rsid w:val="0093684D"/>
    <w:rsid w:val="00936F15"/>
    <w:rsid w:val="00937795"/>
    <w:rsid w:val="00937BD5"/>
    <w:rsid w:val="00937D43"/>
    <w:rsid w:val="00937E0C"/>
    <w:rsid w:val="00937E70"/>
    <w:rsid w:val="0094006B"/>
    <w:rsid w:val="00940250"/>
    <w:rsid w:val="009406B6"/>
    <w:rsid w:val="0094090E"/>
    <w:rsid w:val="00940D80"/>
    <w:rsid w:val="00941553"/>
    <w:rsid w:val="00941DB0"/>
    <w:rsid w:val="00941F83"/>
    <w:rsid w:val="009423E3"/>
    <w:rsid w:val="0094344D"/>
    <w:rsid w:val="0094348A"/>
    <w:rsid w:val="009436D1"/>
    <w:rsid w:val="00943C0D"/>
    <w:rsid w:val="00943F69"/>
    <w:rsid w:val="009441A2"/>
    <w:rsid w:val="009450AF"/>
    <w:rsid w:val="009457A7"/>
    <w:rsid w:val="00945DED"/>
    <w:rsid w:val="00946687"/>
    <w:rsid w:val="00946CDD"/>
    <w:rsid w:val="00946D8A"/>
    <w:rsid w:val="0094716C"/>
    <w:rsid w:val="00947A1D"/>
    <w:rsid w:val="00947B07"/>
    <w:rsid w:val="00947BB0"/>
    <w:rsid w:val="0095149A"/>
    <w:rsid w:val="0095172A"/>
    <w:rsid w:val="00952796"/>
    <w:rsid w:val="0095332F"/>
    <w:rsid w:val="00953E1A"/>
    <w:rsid w:val="00953EA6"/>
    <w:rsid w:val="00954362"/>
    <w:rsid w:val="009543CC"/>
    <w:rsid w:val="0095478C"/>
    <w:rsid w:val="009559C3"/>
    <w:rsid w:val="00955C27"/>
    <w:rsid w:val="00955EF2"/>
    <w:rsid w:val="00956291"/>
    <w:rsid w:val="00956488"/>
    <w:rsid w:val="00956680"/>
    <w:rsid w:val="00956C49"/>
    <w:rsid w:val="00956F69"/>
    <w:rsid w:val="00957171"/>
    <w:rsid w:val="00957254"/>
    <w:rsid w:val="00957722"/>
    <w:rsid w:val="009578C9"/>
    <w:rsid w:val="00957C8A"/>
    <w:rsid w:val="00957D39"/>
    <w:rsid w:val="00960248"/>
    <w:rsid w:val="009607C7"/>
    <w:rsid w:val="00960877"/>
    <w:rsid w:val="00960BDA"/>
    <w:rsid w:val="009610CD"/>
    <w:rsid w:val="00961557"/>
    <w:rsid w:val="00961731"/>
    <w:rsid w:val="00962610"/>
    <w:rsid w:val="00962789"/>
    <w:rsid w:val="00962CF5"/>
    <w:rsid w:val="0096338E"/>
    <w:rsid w:val="009633A2"/>
    <w:rsid w:val="00964696"/>
    <w:rsid w:val="00964936"/>
    <w:rsid w:val="00964F48"/>
    <w:rsid w:val="00964FCF"/>
    <w:rsid w:val="009650DE"/>
    <w:rsid w:val="00965502"/>
    <w:rsid w:val="00965C80"/>
    <w:rsid w:val="009663EC"/>
    <w:rsid w:val="00966EEC"/>
    <w:rsid w:val="009671AA"/>
    <w:rsid w:val="009702FC"/>
    <w:rsid w:val="00971D0E"/>
    <w:rsid w:val="009722FD"/>
    <w:rsid w:val="009728A8"/>
    <w:rsid w:val="009729DB"/>
    <w:rsid w:val="00972C63"/>
    <w:rsid w:val="00972D34"/>
    <w:rsid w:val="00973958"/>
    <w:rsid w:val="0097399D"/>
    <w:rsid w:val="00974126"/>
    <w:rsid w:val="00974744"/>
    <w:rsid w:val="009755B7"/>
    <w:rsid w:val="00975C2F"/>
    <w:rsid w:val="009762EC"/>
    <w:rsid w:val="00977425"/>
    <w:rsid w:val="00977B64"/>
    <w:rsid w:val="00981BE7"/>
    <w:rsid w:val="009820F2"/>
    <w:rsid w:val="00982566"/>
    <w:rsid w:val="0098292D"/>
    <w:rsid w:val="00982C27"/>
    <w:rsid w:val="00983024"/>
    <w:rsid w:val="00983A8D"/>
    <w:rsid w:val="0098449B"/>
    <w:rsid w:val="00984EEE"/>
    <w:rsid w:val="0098524F"/>
    <w:rsid w:val="00985413"/>
    <w:rsid w:val="009854E2"/>
    <w:rsid w:val="0098562A"/>
    <w:rsid w:val="00985C59"/>
    <w:rsid w:val="00985EBF"/>
    <w:rsid w:val="0098627D"/>
    <w:rsid w:val="00986666"/>
    <w:rsid w:val="0098666E"/>
    <w:rsid w:val="00986DBA"/>
    <w:rsid w:val="00986E6B"/>
    <w:rsid w:val="0098763A"/>
    <w:rsid w:val="009906E7"/>
    <w:rsid w:val="00990F07"/>
    <w:rsid w:val="009910B5"/>
    <w:rsid w:val="00991795"/>
    <w:rsid w:val="00992255"/>
    <w:rsid w:val="00992472"/>
    <w:rsid w:val="009924E6"/>
    <w:rsid w:val="00992BB6"/>
    <w:rsid w:val="00992C6B"/>
    <w:rsid w:val="00992CA5"/>
    <w:rsid w:val="00992E2B"/>
    <w:rsid w:val="00992EF6"/>
    <w:rsid w:val="00992FFD"/>
    <w:rsid w:val="009930DC"/>
    <w:rsid w:val="009932FB"/>
    <w:rsid w:val="00993B2E"/>
    <w:rsid w:val="00993B7B"/>
    <w:rsid w:val="009943D7"/>
    <w:rsid w:val="00994AA2"/>
    <w:rsid w:val="00995959"/>
    <w:rsid w:val="00996664"/>
    <w:rsid w:val="00996CC4"/>
    <w:rsid w:val="009972E9"/>
    <w:rsid w:val="00997966"/>
    <w:rsid w:val="00997FED"/>
    <w:rsid w:val="009A0133"/>
    <w:rsid w:val="009A043E"/>
    <w:rsid w:val="009A0E0E"/>
    <w:rsid w:val="009A0EAD"/>
    <w:rsid w:val="009A10F5"/>
    <w:rsid w:val="009A12D2"/>
    <w:rsid w:val="009A28CD"/>
    <w:rsid w:val="009A2A7F"/>
    <w:rsid w:val="009A2C72"/>
    <w:rsid w:val="009A37DE"/>
    <w:rsid w:val="009A3977"/>
    <w:rsid w:val="009A41E0"/>
    <w:rsid w:val="009A5162"/>
    <w:rsid w:val="009A5433"/>
    <w:rsid w:val="009A6E8A"/>
    <w:rsid w:val="009A7C04"/>
    <w:rsid w:val="009A7EBC"/>
    <w:rsid w:val="009B077E"/>
    <w:rsid w:val="009B08A0"/>
    <w:rsid w:val="009B09AD"/>
    <w:rsid w:val="009B0EC6"/>
    <w:rsid w:val="009B104D"/>
    <w:rsid w:val="009B153A"/>
    <w:rsid w:val="009B1E59"/>
    <w:rsid w:val="009B38A8"/>
    <w:rsid w:val="009B3BD6"/>
    <w:rsid w:val="009B600C"/>
    <w:rsid w:val="009B6C6F"/>
    <w:rsid w:val="009B72EC"/>
    <w:rsid w:val="009B78FA"/>
    <w:rsid w:val="009B7A93"/>
    <w:rsid w:val="009B7FD8"/>
    <w:rsid w:val="009C058F"/>
    <w:rsid w:val="009C0DD0"/>
    <w:rsid w:val="009C111F"/>
    <w:rsid w:val="009C16D9"/>
    <w:rsid w:val="009C2127"/>
    <w:rsid w:val="009C223A"/>
    <w:rsid w:val="009C3215"/>
    <w:rsid w:val="009C326C"/>
    <w:rsid w:val="009C332C"/>
    <w:rsid w:val="009C347F"/>
    <w:rsid w:val="009C3A60"/>
    <w:rsid w:val="009C3E02"/>
    <w:rsid w:val="009C3E8D"/>
    <w:rsid w:val="009C467F"/>
    <w:rsid w:val="009C4EA4"/>
    <w:rsid w:val="009C5696"/>
    <w:rsid w:val="009C5CD6"/>
    <w:rsid w:val="009C64B2"/>
    <w:rsid w:val="009C6877"/>
    <w:rsid w:val="009C6F97"/>
    <w:rsid w:val="009C7606"/>
    <w:rsid w:val="009C7836"/>
    <w:rsid w:val="009C78EA"/>
    <w:rsid w:val="009C7BB7"/>
    <w:rsid w:val="009D0170"/>
    <w:rsid w:val="009D0956"/>
    <w:rsid w:val="009D0CFB"/>
    <w:rsid w:val="009D189E"/>
    <w:rsid w:val="009D1AA9"/>
    <w:rsid w:val="009D1E83"/>
    <w:rsid w:val="009D24B6"/>
    <w:rsid w:val="009D252C"/>
    <w:rsid w:val="009D2D1B"/>
    <w:rsid w:val="009D2E03"/>
    <w:rsid w:val="009D333A"/>
    <w:rsid w:val="009D37A9"/>
    <w:rsid w:val="009D3D18"/>
    <w:rsid w:val="009D4271"/>
    <w:rsid w:val="009D429D"/>
    <w:rsid w:val="009D43EE"/>
    <w:rsid w:val="009D4418"/>
    <w:rsid w:val="009D4588"/>
    <w:rsid w:val="009D4BAB"/>
    <w:rsid w:val="009D54CD"/>
    <w:rsid w:val="009D61D4"/>
    <w:rsid w:val="009D7220"/>
    <w:rsid w:val="009D755C"/>
    <w:rsid w:val="009D7719"/>
    <w:rsid w:val="009D7C57"/>
    <w:rsid w:val="009E0C3A"/>
    <w:rsid w:val="009E129F"/>
    <w:rsid w:val="009E13CD"/>
    <w:rsid w:val="009E1AD3"/>
    <w:rsid w:val="009E29AB"/>
    <w:rsid w:val="009E2E21"/>
    <w:rsid w:val="009E35AB"/>
    <w:rsid w:val="009E392E"/>
    <w:rsid w:val="009E4647"/>
    <w:rsid w:val="009E5C9D"/>
    <w:rsid w:val="009E5D23"/>
    <w:rsid w:val="009E5DBE"/>
    <w:rsid w:val="009E6249"/>
    <w:rsid w:val="009E6469"/>
    <w:rsid w:val="009E6C22"/>
    <w:rsid w:val="009E6D80"/>
    <w:rsid w:val="009E782A"/>
    <w:rsid w:val="009F049A"/>
    <w:rsid w:val="009F086E"/>
    <w:rsid w:val="009F252E"/>
    <w:rsid w:val="009F26D7"/>
    <w:rsid w:val="009F29F7"/>
    <w:rsid w:val="009F2B3C"/>
    <w:rsid w:val="009F2F16"/>
    <w:rsid w:val="009F3390"/>
    <w:rsid w:val="009F33D3"/>
    <w:rsid w:val="009F390C"/>
    <w:rsid w:val="009F3DAE"/>
    <w:rsid w:val="009F4461"/>
    <w:rsid w:val="009F4BB2"/>
    <w:rsid w:val="009F4BC0"/>
    <w:rsid w:val="009F4BFA"/>
    <w:rsid w:val="009F4FD2"/>
    <w:rsid w:val="009F6360"/>
    <w:rsid w:val="009F698E"/>
    <w:rsid w:val="009F6C25"/>
    <w:rsid w:val="009F6FDD"/>
    <w:rsid w:val="009F7CA1"/>
    <w:rsid w:val="00A0039A"/>
    <w:rsid w:val="00A00CE7"/>
    <w:rsid w:val="00A00FBE"/>
    <w:rsid w:val="00A01110"/>
    <w:rsid w:val="00A016B8"/>
    <w:rsid w:val="00A01E08"/>
    <w:rsid w:val="00A01FED"/>
    <w:rsid w:val="00A02023"/>
    <w:rsid w:val="00A0222E"/>
    <w:rsid w:val="00A028F6"/>
    <w:rsid w:val="00A0386D"/>
    <w:rsid w:val="00A038C8"/>
    <w:rsid w:val="00A04064"/>
    <w:rsid w:val="00A04A2B"/>
    <w:rsid w:val="00A05CD4"/>
    <w:rsid w:val="00A05D44"/>
    <w:rsid w:val="00A05FE4"/>
    <w:rsid w:val="00A0675C"/>
    <w:rsid w:val="00A06D96"/>
    <w:rsid w:val="00A07476"/>
    <w:rsid w:val="00A07595"/>
    <w:rsid w:val="00A075BD"/>
    <w:rsid w:val="00A07787"/>
    <w:rsid w:val="00A07A1A"/>
    <w:rsid w:val="00A07B80"/>
    <w:rsid w:val="00A07C90"/>
    <w:rsid w:val="00A1080A"/>
    <w:rsid w:val="00A112F9"/>
    <w:rsid w:val="00A11800"/>
    <w:rsid w:val="00A1200B"/>
    <w:rsid w:val="00A12038"/>
    <w:rsid w:val="00A123BA"/>
    <w:rsid w:val="00A129B6"/>
    <w:rsid w:val="00A12C4C"/>
    <w:rsid w:val="00A13A87"/>
    <w:rsid w:val="00A13AF9"/>
    <w:rsid w:val="00A13D28"/>
    <w:rsid w:val="00A13E13"/>
    <w:rsid w:val="00A145F9"/>
    <w:rsid w:val="00A14871"/>
    <w:rsid w:val="00A1491C"/>
    <w:rsid w:val="00A16311"/>
    <w:rsid w:val="00A163EE"/>
    <w:rsid w:val="00A166DE"/>
    <w:rsid w:val="00A16916"/>
    <w:rsid w:val="00A1773B"/>
    <w:rsid w:val="00A17C0C"/>
    <w:rsid w:val="00A17DDA"/>
    <w:rsid w:val="00A2033F"/>
    <w:rsid w:val="00A203AC"/>
    <w:rsid w:val="00A20BDB"/>
    <w:rsid w:val="00A21564"/>
    <w:rsid w:val="00A21F92"/>
    <w:rsid w:val="00A2242B"/>
    <w:rsid w:val="00A22ADC"/>
    <w:rsid w:val="00A234C8"/>
    <w:rsid w:val="00A237FF"/>
    <w:rsid w:val="00A23936"/>
    <w:rsid w:val="00A23A66"/>
    <w:rsid w:val="00A23AF4"/>
    <w:rsid w:val="00A23CBF"/>
    <w:rsid w:val="00A23D27"/>
    <w:rsid w:val="00A2467D"/>
    <w:rsid w:val="00A25B5F"/>
    <w:rsid w:val="00A261D7"/>
    <w:rsid w:val="00A268BA"/>
    <w:rsid w:val="00A26A2F"/>
    <w:rsid w:val="00A27123"/>
    <w:rsid w:val="00A27305"/>
    <w:rsid w:val="00A274C2"/>
    <w:rsid w:val="00A27D1A"/>
    <w:rsid w:val="00A27D79"/>
    <w:rsid w:val="00A27F2B"/>
    <w:rsid w:val="00A3069F"/>
    <w:rsid w:val="00A3116F"/>
    <w:rsid w:val="00A31601"/>
    <w:rsid w:val="00A31910"/>
    <w:rsid w:val="00A319D4"/>
    <w:rsid w:val="00A31BDF"/>
    <w:rsid w:val="00A31FAE"/>
    <w:rsid w:val="00A324E1"/>
    <w:rsid w:val="00A33439"/>
    <w:rsid w:val="00A34972"/>
    <w:rsid w:val="00A34E4F"/>
    <w:rsid w:val="00A353A9"/>
    <w:rsid w:val="00A35923"/>
    <w:rsid w:val="00A35FF0"/>
    <w:rsid w:val="00A360B5"/>
    <w:rsid w:val="00A36404"/>
    <w:rsid w:val="00A36796"/>
    <w:rsid w:val="00A3782B"/>
    <w:rsid w:val="00A378AB"/>
    <w:rsid w:val="00A40576"/>
    <w:rsid w:val="00A40913"/>
    <w:rsid w:val="00A41329"/>
    <w:rsid w:val="00A41677"/>
    <w:rsid w:val="00A41B21"/>
    <w:rsid w:val="00A42112"/>
    <w:rsid w:val="00A42304"/>
    <w:rsid w:val="00A4251B"/>
    <w:rsid w:val="00A42AE0"/>
    <w:rsid w:val="00A42E33"/>
    <w:rsid w:val="00A43125"/>
    <w:rsid w:val="00A44418"/>
    <w:rsid w:val="00A444BE"/>
    <w:rsid w:val="00A44786"/>
    <w:rsid w:val="00A4514F"/>
    <w:rsid w:val="00A4519E"/>
    <w:rsid w:val="00A45245"/>
    <w:rsid w:val="00A4530E"/>
    <w:rsid w:val="00A4558C"/>
    <w:rsid w:val="00A457E2"/>
    <w:rsid w:val="00A45A27"/>
    <w:rsid w:val="00A45B4B"/>
    <w:rsid w:val="00A45C73"/>
    <w:rsid w:val="00A45CF0"/>
    <w:rsid w:val="00A462ED"/>
    <w:rsid w:val="00A46C6C"/>
    <w:rsid w:val="00A46F4A"/>
    <w:rsid w:val="00A47026"/>
    <w:rsid w:val="00A473AB"/>
    <w:rsid w:val="00A473D4"/>
    <w:rsid w:val="00A47F32"/>
    <w:rsid w:val="00A47F7F"/>
    <w:rsid w:val="00A50091"/>
    <w:rsid w:val="00A503CE"/>
    <w:rsid w:val="00A50B51"/>
    <w:rsid w:val="00A50CDE"/>
    <w:rsid w:val="00A50DE1"/>
    <w:rsid w:val="00A5139B"/>
    <w:rsid w:val="00A51DF3"/>
    <w:rsid w:val="00A52061"/>
    <w:rsid w:val="00A522E0"/>
    <w:rsid w:val="00A528B4"/>
    <w:rsid w:val="00A53522"/>
    <w:rsid w:val="00A5369B"/>
    <w:rsid w:val="00A53C1F"/>
    <w:rsid w:val="00A53F65"/>
    <w:rsid w:val="00A54DC1"/>
    <w:rsid w:val="00A552DE"/>
    <w:rsid w:val="00A558D4"/>
    <w:rsid w:val="00A55D6F"/>
    <w:rsid w:val="00A56E20"/>
    <w:rsid w:val="00A571E2"/>
    <w:rsid w:val="00A57336"/>
    <w:rsid w:val="00A5735C"/>
    <w:rsid w:val="00A57AE5"/>
    <w:rsid w:val="00A57E2F"/>
    <w:rsid w:val="00A57F43"/>
    <w:rsid w:val="00A60273"/>
    <w:rsid w:val="00A6039D"/>
    <w:rsid w:val="00A60B91"/>
    <w:rsid w:val="00A61228"/>
    <w:rsid w:val="00A61FDA"/>
    <w:rsid w:val="00A62D85"/>
    <w:rsid w:val="00A63163"/>
    <w:rsid w:val="00A63309"/>
    <w:rsid w:val="00A63581"/>
    <w:rsid w:val="00A635EC"/>
    <w:rsid w:val="00A63664"/>
    <w:rsid w:val="00A6391D"/>
    <w:rsid w:val="00A64066"/>
    <w:rsid w:val="00A642C3"/>
    <w:rsid w:val="00A64F6E"/>
    <w:rsid w:val="00A65083"/>
    <w:rsid w:val="00A6541A"/>
    <w:rsid w:val="00A6566D"/>
    <w:rsid w:val="00A65B57"/>
    <w:rsid w:val="00A67BCB"/>
    <w:rsid w:val="00A67C5D"/>
    <w:rsid w:val="00A67F72"/>
    <w:rsid w:val="00A704A0"/>
    <w:rsid w:val="00A704FD"/>
    <w:rsid w:val="00A705FB"/>
    <w:rsid w:val="00A709A0"/>
    <w:rsid w:val="00A71473"/>
    <w:rsid w:val="00A71560"/>
    <w:rsid w:val="00A715E3"/>
    <w:rsid w:val="00A718A3"/>
    <w:rsid w:val="00A71970"/>
    <w:rsid w:val="00A71F3F"/>
    <w:rsid w:val="00A72159"/>
    <w:rsid w:val="00A72C2B"/>
    <w:rsid w:val="00A741E7"/>
    <w:rsid w:val="00A74268"/>
    <w:rsid w:val="00A75063"/>
    <w:rsid w:val="00A750BC"/>
    <w:rsid w:val="00A75171"/>
    <w:rsid w:val="00A7591A"/>
    <w:rsid w:val="00A759C5"/>
    <w:rsid w:val="00A7679D"/>
    <w:rsid w:val="00A767AF"/>
    <w:rsid w:val="00A76F1B"/>
    <w:rsid w:val="00A77F28"/>
    <w:rsid w:val="00A8018A"/>
    <w:rsid w:val="00A805C5"/>
    <w:rsid w:val="00A80850"/>
    <w:rsid w:val="00A80B25"/>
    <w:rsid w:val="00A814A4"/>
    <w:rsid w:val="00A82A4B"/>
    <w:rsid w:val="00A82DCC"/>
    <w:rsid w:val="00A831C4"/>
    <w:rsid w:val="00A83DA6"/>
    <w:rsid w:val="00A8430A"/>
    <w:rsid w:val="00A84CCB"/>
    <w:rsid w:val="00A84FF8"/>
    <w:rsid w:val="00A85382"/>
    <w:rsid w:val="00A856B1"/>
    <w:rsid w:val="00A85CE0"/>
    <w:rsid w:val="00A86432"/>
    <w:rsid w:val="00A8645C"/>
    <w:rsid w:val="00A86A80"/>
    <w:rsid w:val="00A87068"/>
    <w:rsid w:val="00A900EF"/>
    <w:rsid w:val="00A906FE"/>
    <w:rsid w:val="00A907C0"/>
    <w:rsid w:val="00A914C3"/>
    <w:rsid w:val="00A922B5"/>
    <w:rsid w:val="00A922CA"/>
    <w:rsid w:val="00A923E8"/>
    <w:rsid w:val="00A9254A"/>
    <w:rsid w:val="00A92900"/>
    <w:rsid w:val="00A931F9"/>
    <w:rsid w:val="00A93389"/>
    <w:rsid w:val="00A935D1"/>
    <w:rsid w:val="00A943F6"/>
    <w:rsid w:val="00A94BBA"/>
    <w:rsid w:val="00A95811"/>
    <w:rsid w:val="00A965CB"/>
    <w:rsid w:val="00A96685"/>
    <w:rsid w:val="00A96CC5"/>
    <w:rsid w:val="00A970A2"/>
    <w:rsid w:val="00A9734B"/>
    <w:rsid w:val="00A9769C"/>
    <w:rsid w:val="00AA03E0"/>
    <w:rsid w:val="00AA0F5C"/>
    <w:rsid w:val="00AA1577"/>
    <w:rsid w:val="00AA157A"/>
    <w:rsid w:val="00AA17AF"/>
    <w:rsid w:val="00AA2590"/>
    <w:rsid w:val="00AA3985"/>
    <w:rsid w:val="00AA3B8E"/>
    <w:rsid w:val="00AA3C11"/>
    <w:rsid w:val="00AA4200"/>
    <w:rsid w:val="00AA4842"/>
    <w:rsid w:val="00AA4958"/>
    <w:rsid w:val="00AA4AD9"/>
    <w:rsid w:val="00AA4D02"/>
    <w:rsid w:val="00AA4D79"/>
    <w:rsid w:val="00AA5717"/>
    <w:rsid w:val="00AA58B8"/>
    <w:rsid w:val="00AA621A"/>
    <w:rsid w:val="00AA6256"/>
    <w:rsid w:val="00AA68FC"/>
    <w:rsid w:val="00AA7F8A"/>
    <w:rsid w:val="00AA7FDB"/>
    <w:rsid w:val="00AB031C"/>
    <w:rsid w:val="00AB08C5"/>
    <w:rsid w:val="00AB0CAB"/>
    <w:rsid w:val="00AB0CD0"/>
    <w:rsid w:val="00AB0E97"/>
    <w:rsid w:val="00AB16B5"/>
    <w:rsid w:val="00AB1ACD"/>
    <w:rsid w:val="00AB2043"/>
    <w:rsid w:val="00AB2D70"/>
    <w:rsid w:val="00AB2FB7"/>
    <w:rsid w:val="00AB3AD5"/>
    <w:rsid w:val="00AB3D1F"/>
    <w:rsid w:val="00AB450D"/>
    <w:rsid w:val="00AB4722"/>
    <w:rsid w:val="00AB5D47"/>
    <w:rsid w:val="00AB64F8"/>
    <w:rsid w:val="00AB6A2B"/>
    <w:rsid w:val="00AB6A8E"/>
    <w:rsid w:val="00AB6CB8"/>
    <w:rsid w:val="00AB6FF2"/>
    <w:rsid w:val="00AB7020"/>
    <w:rsid w:val="00AB714D"/>
    <w:rsid w:val="00AB7708"/>
    <w:rsid w:val="00AB77E6"/>
    <w:rsid w:val="00AB7866"/>
    <w:rsid w:val="00AC018D"/>
    <w:rsid w:val="00AC0382"/>
    <w:rsid w:val="00AC0B39"/>
    <w:rsid w:val="00AC1D99"/>
    <w:rsid w:val="00AC1F4D"/>
    <w:rsid w:val="00AC26A3"/>
    <w:rsid w:val="00AC2B6D"/>
    <w:rsid w:val="00AC2EE7"/>
    <w:rsid w:val="00AC2EFF"/>
    <w:rsid w:val="00AC2F3E"/>
    <w:rsid w:val="00AC3B9D"/>
    <w:rsid w:val="00AC3C0B"/>
    <w:rsid w:val="00AC3C49"/>
    <w:rsid w:val="00AC45C8"/>
    <w:rsid w:val="00AC471D"/>
    <w:rsid w:val="00AC484A"/>
    <w:rsid w:val="00AC4C25"/>
    <w:rsid w:val="00AC4FB2"/>
    <w:rsid w:val="00AC551B"/>
    <w:rsid w:val="00AC57CC"/>
    <w:rsid w:val="00AC5D6D"/>
    <w:rsid w:val="00AC5F80"/>
    <w:rsid w:val="00AC607A"/>
    <w:rsid w:val="00AC6186"/>
    <w:rsid w:val="00AC61F6"/>
    <w:rsid w:val="00AC65AF"/>
    <w:rsid w:val="00AC6690"/>
    <w:rsid w:val="00AC7219"/>
    <w:rsid w:val="00AC72E4"/>
    <w:rsid w:val="00AC7462"/>
    <w:rsid w:val="00AD0401"/>
    <w:rsid w:val="00AD06BE"/>
    <w:rsid w:val="00AD07D1"/>
    <w:rsid w:val="00AD0BCD"/>
    <w:rsid w:val="00AD10F6"/>
    <w:rsid w:val="00AD1516"/>
    <w:rsid w:val="00AD1A74"/>
    <w:rsid w:val="00AD1B29"/>
    <w:rsid w:val="00AD2138"/>
    <w:rsid w:val="00AD238C"/>
    <w:rsid w:val="00AD2710"/>
    <w:rsid w:val="00AD274C"/>
    <w:rsid w:val="00AD2DDF"/>
    <w:rsid w:val="00AD2F73"/>
    <w:rsid w:val="00AD3C5A"/>
    <w:rsid w:val="00AD3DE1"/>
    <w:rsid w:val="00AD4219"/>
    <w:rsid w:val="00AD4453"/>
    <w:rsid w:val="00AD488F"/>
    <w:rsid w:val="00AD5028"/>
    <w:rsid w:val="00AD50DD"/>
    <w:rsid w:val="00AD564A"/>
    <w:rsid w:val="00AD5D61"/>
    <w:rsid w:val="00AD60E4"/>
    <w:rsid w:val="00AD613F"/>
    <w:rsid w:val="00AD707C"/>
    <w:rsid w:val="00AD73D3"/>
    <w:rsid w:val="00AD7A6D"/>
    <w:rsid w:val="00AD7AE5"/>
    <w:rsid w:val="00AD7C2C"/>
    <w:rsid w:val="00AD7EAB"/>
    <w:rsid w:val="00AE0AEA"/>
    <w:rsid w:val="00AE1058"/>
    <w:rsid w:val="00AE158F"/>
    <w:rsid w:val="00AE17A3"/>
    <w:rsid w:val="00AE2296"/>
    <w:rsid w:val="00AE2706"/>
    <w:rsid w:val="00AE2D1A"/>
    <w:rsid w:val="00AE337C"/>
    <w:rsid w:val="00AE370F"/>
    <w:rsid w:val="00AE391B"/>
    <w:rsid w:val="00AE43BC"/>
    <w:rsid w:val="00AE4668"/>
    <w:rsid w:val="00AE548D"/>
    <w:rsid w:val="00AE55BA"/>
    <w:rsid w:val="00AE5A5B"/>
    <w:rsid w:val="00AE5B5D"/>
    <w:rsid w:val="00AE64BF"/>
    <w:rsid w:val="00AE6D62"/>
    <w:rsid w:val="00AE735D"/>
    <w:rsid w:val="00AE7556"/>
    <w:rsid w:val="00AE77B6"/>
    <w:rsid w:val="00AE7A46"/>
    <w:rsid w:val="00AE7D54"/>
    <w:rsid w:val="00AF03E7"/>
    <w:rsid w:val="00AF04E2"/>
    <w:rsid w:val="00AF0580"/>
    <w:rsid w:val="00AF086E"/>
    <w:rsid w:val="00AF09D0"/>
    <w:rsid w:val="00AF0DC9"/>
    <w:rsid w:val="00AF140B"/>
    <w:rsid w:val="00AF1527"/>
    <w:rsid w:val="00AF1B18"/>
    <w:rsid w:val="00AF2475"/>
    <w:rsid w:val="00AF29D9"/>
    <w:rsid w:val="00AF3298"/>
    <w:rsid w:val="00AF37A5"/>
    <w:rsid w:val="00AF4027"/>
    <w:rsid w:val="00AF493D"/>
    <w:rsid w:val="00AF5323"/>
    <w:rsid w:val="00AF5D58"/>
    <w:rsid w:val="00AF6171"/>
    <w:rsid w:val="00AF62AB"/>
    <w:rsid w:val="00AF62BC"/>
    <w:rsid w:val="00AF6418"/>
    <w:rsid w:val="00AF654B"/>
    <w:rsid w:val="00AF6834"/>
    <w:rsid w:val="00AF6977"/>
    <w:rsid w:val="00AF6DAE"/>
    <w:rsid w:val="00B00364"/>
    <w:rsid w:val="00B005AB"/>
    <w:rsid w:val="00B006A7"/>
    <w:rsid w:val="00B0074D"/>
    <w:rsid w:val="00B009DF"/>
    <w:rsid w:val="00B00BC1"/>
    <w:rsid w:val="00B010EE"/>
    <w:rsid w:val="00B01158"/>
    <w:rsid w:val="00B017BD"/>
    <w:rsid w:val="00B01B6B"/>
    <w:rsid w:val="00B01CF9"/>
    <w:rsid w:val="00B01D1B"/>
    <w:rsid w:val="00B021FF"/>
    <w:rsid w:val="00B02404"/>
    <w:rsid w:val="00B0247A"/>
    <w:rsid w:val="00B02959"/>
    <w:rsid w:val="00B02D71"/>
    <w:rsid w:val="00B030F9"/>
    <w:rsid w:val="00B033D0"/>
    <w:rsid w:val="00B03768"/>
    <w:rsid w:val="00B037BD"/>
    <w:rsid w:val="00B038F8"/>
    <w:rsid w:val="00B03A6C"/>
    <w:rsid w:val="00B04326"/>
    <w:rsid w:val="00B0484B"/>
    <w:rsid w:val="00B04B86"/>
    <w:rsid w:val="00B04DD6"/>
    <w:rsid w:val="00B04ECA"/>
    <w:rsid w:val="00B054D1"/>
    <w:rsid w:val="00B074D2"/>
    <w:rsid w:val="00B07EF6"/>
    <w:rsid w:val="00B10858"/>
    <w:rsid w:val="00B10D3C"/>
    <w:rsid w:val="00B10DE8"/>
    <w:rsid w:val="00B10E48"/>
    <w:rsid w:val="00B11192"/>
    <w:rsid w:val="00B116B7"/>
    <w:rsid w:val="00B11844"/>
    <w:rsid w:val="00B121B1"/>
    <w:rsid w:val="00B12547"/>
    <w:rsid w:val="00B12599"/>
    <w:rsid w:val="00B1379A"/>
    <w:rsid w:val="00B13ADE"/>
    <w:rsid w:val="00B13ECE"/>
    <w:rsid w:val="00B142F4"/>
    <w:rsid w:val="00B14CA1"/>
    <w:rsid w:val="00B14D53"/>
    <w:rsid w:val="00B14DF9"/>
    <w:rsid w:val="00B15953"/>
    <w:rsid w:val="00B15D94"/>
    <w:rsid w:val="00B16FFD"/>
    <w:rsid w:val="00B17749"/>
    <w:rsid w:val="00B209BB"/>
    <w:rsid w:val="00B20BE7"/>
    <w:rsid w:val="00B20F88"/>
    <w:rsid w:val="00B2143B"/>
    <w:rsid w:val="00B21726"/>
    <w:rsid w:val="00B21BE0"/>
    <w:rsid w:val="00B21C00"/>
    <w:rsid w:val="00B21F48"/>
    <w:rsid w:val="00B2222E"/>
    <w:rsid w:val="00B222B1"/>
    <w:rsid w:val="00B22637"/>
    <w:rsid w:val="00B22789"/>
    <w:rsid w:val="00B22F1C"/>
    <w:rsid w:val="00B23015"/>
    <w:rsid w:val="00B2335A"/>
    <w:rsid w:val="00B23BE0"/>
    <w:rsid w:val="00B23FA5"/>
    <w:rsid w:val="00B241F0"/>
    <w:rsid w:val="00B24245"/>
    <w:rsid w:val="00B246B6"/>
    <w:rsid w:val="00B2487B"/>
    <w:rsid w:val="00B250DD"/>
    <w:rsid w:val="00B25325"/>
    <w:rsid w:val="00B25D3D"/>
    <w:rsid w:val="00B273DE"/>
    <w:rsid w:val="00B27404"/>
    <w:rsid w:val="00B27587"/>
    <w:rsid w:val="00B27ACB"/>
    <w:rsid w:val="00B27DDE"/>
    <w:rsid w:val="00B300A1"/>
    <w:rsid w:val="00B3073C"/>
    <w:rsid w:val="00B307FF"/>
    <w:rsid w:val="00B30B88"/>
    <w:rsid w:val="00B312C4"/>
    <w:rsid w:val="00B3213E"/>
    <w:rsid w:val="00B32374"/>
    <w:rsid w:val="00B3376E"/>
    <w:rsid w:val="00B34150"/>
    <w:rsid w:val="00B342FD"/>
    <w:rsid w:val="00B348CA"/>
    <w:rsid w:val="00B34B82"/>
    <w:rsid w:val="00B3518F"/>
    <w:rsid w:val="00B352CB"/>
    <w:rsid w:val="00B35A45"/>
    <w:rsid w:val="00B36FC2"/>
    <w:rsid w:val="00B37700"/>
    <w:rsid w:val="00B4039B"/>
    <w:rsid w:val="00B409FD"/>
    <w:rsid w:val="00B40D24"/>
    <w:rsid w:val="00B40F0D"/>
    <w:rsid w:val="00B41DD8"/>
    <w:rsid w:val="00B4251E"/>
    <w:rsid w:val="00B42BB3"/>
    <w:rsid w:val="00B42C64"/>
    <w:rsid w:val="00B42DCC"/>
    <w:rsid w:val="00B4349B"/>
    <w:rsid w:val="00B43D83"/>
    <w:rsid w:val="00B44421"/>
    <w:rsid w:val="00B4453D"/>
    <w:rsid w:val="00B4480E"/>
    <w:rsid w:val="00B44C4C"/>
    <w:rsid w:val="00B44CF8"/>
    <w:rsid w:val="00B45792"/>
    <w:rsid w:val="00B458F1"/>
    <w:rsid w:val="00B460C6"/>
    <w:rsid w:val="00B465D0"/>
    <w:rsid w:val="00B466AA"/>
    <w:rsid w:val="00B468E5"/>
    <w:rsid w:val="00B46D51"/>
    <w:rsid w:val="00B4756E"/>
    <w:rsid w:val="00B475FB"/>
    <w:rsid w:val="00B4771D"/>
    <w:rsid w:val="00B478BF"/>
    <w:rsid w:val="00B47DB6"/>
    <w:rsid w:val="00B47E13"/>
    <w:rsid w:val="00B50930"/>
    <w:rsid w:val="00B519B7"/>
    <w:rsid w:val="00B51B8F"/>
    <w:rsid w:val="00B52497"/>
    <w:rsid w:val="00B530C8"/>
    <w:rsid w:val="00B53D8F"/>
    <w:rsid w:val="00B54130"/>
    <w:rsid w:val="00B542DA"/>
    <w:rsid w:val="00B543F6"/>
    <w:rsid w:val="00B54B22"/>
    <w:rsid w:val="00B54ED4"/>
    <w:rsid w:val="00B55062"/>
    <w:rsid w:val="00B550F2"/>
    <w:rsid w:val="00B553F8"/>
    <w:rsid w:val="00B55489"/>
    <w:rsid w:val="00B556CA"/>
    <w:rsid w:val="00B55DC8"/>
    <w:rsid w:val="00B55F3D"/>
    <w:rsid w:val="00B56574"/>
    <w:rsid w:val="00B56824"/>
    <w:rsid w:val="00B6179D"/>
    <w:rsid w:val="00B61E10"/>
    <w:rsid w:val="00B6255B"/>
    <w:rsid w:val="00B63479"/>
    <w:rsid w:val="00B6377E"/>
    <w:rsid w:val="00B63A95"/>
    <w:rsid w:val="00B642AC"/>
    <w:rsid w:val="00B64404"/>
    <w:rsid w:val="00B64468"/>
    <w:rsid w:val="00B646C2"/>
    <w:rsid w:val="00B64FD2"/>
    <w:rsid w:val="00B65040"/>
    <w:rsid w:val="00B6582C"/>
    <w:rsid w:val="00B65C30"/>
    <w:rsid w:val="00B6611C"/>
    <w:rsid w:val="00B66A94"/>
    <w:rsid w:val="00B66D3E"/>
    <w:rsid w:val="00B66E3B"/>
    <w:rsid w:val="00B67073"/>
    <w:rsid w:val="00B705DB"/>
    <w:rsid w:val="00B71028"/>
    <w:rsid w:val="00B7135D"/>
    <w:rsid w:val="00B71484"/>
    <w:rsid w:val="00B716C4"/>
    <w:rsid w:val="00B71F43"/>
    <w:rsid w:val="00B724A1"/>
    <w:rsid w:val="00B72758"/>
    <w:rsid w:val="00B72B47"/>
    <w:rsid w:val="00B732AD"/>
    <w:rsid w:val="00B7332B"/>
    <w:rsid w:val="00B7383A"/>
    <w:rsid w:val="00B73A4C"/>
    <w:rsid w:val="00B73AA5"/>
    <w:rsid w:val="00B73EBD"/>
    <w:rsid w:val="00B742DD"/>
    <w:rsid w:val="00B74E92"/>
    <w:rsid w:val="00B759A2"/>
    <w:rsid w:val="00B75B70"/>
    <w:rsid w:val="00B75E9B"/>
    <w:rsid w:val="00B75FDF"/>
    <w:rsid w:val="00B7680A"/>
    <w:rsid w:val="00B76B56"/>
    <w:rsid w:val="00B76D08"/>
    <w:rsid w:val="00B77167"/>
    <w:rsid w:val="00B7765B"/>
    <w:rsid w:val="00B77C7D"/>
    <w:rsid w:val="00B77CC4"/>
    <w:rsid w:val="00B80B74"/>
    <w:rsid w:val="00B80D9D"/>
    <w:rsid w:val="00B815D5"/>
    <w:rsid w:val="00B819BB"/>
    <w:rsid w:val="00B819D1"/>
    <w:rsid w:val="00B8253D"/>
    <w:rsid w:val="00B8295D"/>
    <w:rsid w:val="00B82AEF"/>
    <w:rsid w:val="00B83339"/>
    <w:rsid w:val="00B833B9"/>
    <w:rsid w:val="00B837DA"/>
    <w:rsid w:val="00B83D65"/>
    <w:rsid w:val="00B83D9E"/>
    <w:rsid w:val="00B84222"/>
    <w:rsid w:val="00B852F0"/>
    <w:rsid w:val="00B857E9"/>
    <w:rsid w:val="00B85D96"/>
    <w:rsid w:val="00B85EE4"/>
    <w:rsid w:val="00B85F3E"/>
    <w:rsid w:val="00B8640A"/>
    <w:rsid w:val="00B869F0"/>
    <w:rsid w:val="00B86F33"/>
    <w:rsid w:val="00B87A76"/>
    <w:rsid w:val="00B9022C"/>
    <w:rsid w:val="00B903A6"/>
    <w:rsid w:val="00B904D0"/>
    <w:rsid w:val="00B915C7"/>
    <w:rsid w:val="00B9170E"/>
    <w:rsid w:val="00B91D70"/>
    <w:rsid w:val="00B91FD1"/>
    <w:rsid w:val="00B91FED"/>
    <w:rsid w:val="00B9222B"/>
    <w:rsid w:val="00B92B9D"/>
    <w:rsid w:val="00B92F6A"/>
    <w:rsid w:val="00B93002"/>
    <w:rsid w:val="00B9375F"/>
    <w:rsid w:val="00B938F8"/>
    <w:rsid w:val="00B93AEE"/>
    <w:rsid w:val="00B93D96"/>
    <w:rsid w:val="00B93E95"/>
    <w:rsid w:val="00B942CD"/>
    <w:rsid w:val="00B943D2"/>
    <w:rsid w:val="00B948D5"/>
    <w:rsid w:val="00B953CF"/>
    <w:rsid w:val="00B9555B"/>
    <w:rsid w:val="00B95693"/>
    <w:rsid w:val="00B95BF5"/>
    <w:rsid w:val="00B95C58"/>
    <w:rsid w:val="00B95E4A"/>
    <w:rsid w:val="00B966D3"/>
    <w:rsid w:val="00B9688B"/>
    <w:rsid w:val="00B96A79"/>
    <w:rsid w:val="00B96ED3"/>
    <w:rsid w:val="00BA0488"/>
    <w:rsid w:val="00BA079D"/>
    <w:rsid w:val="00BA0B3F"/>
    <w:rsid w:val="00BA1353"/>
    <w:rsid w:val="00BA1868"/>
    <w:rsid w:val="00BA1982"/>
    <w:rsid w:val="00BA20C4"/>
    <w:rsid w:val="00BA2934"/>
    <w:rsid w:val="00BA2A72"/>
    <w:rsid w:val="00BA3496"/>
    <w:rsid w:val="00BA380B"/>
    <w:rsid w:val="00BA40AB"/>
    <w:rsid w:val="00BA4227"/>
    <w:rsid w:val="00BA47C1"/>
    <w:rsid w:val="00BA4C9A"/>
    <w:rsid w:val="00BA4DCC"/>
    <w:rsid w:val="00BA56A0"/>
    <w:rsid w:val="00BA56F0"/>
    <w:rsid w:val="00BA5967"/>
    <w:rsid w:val="00BA5BB5"/>
    <w:rsid w:val="00BA5BE9"/>
    <w:rsid w:val="00BA5D00"/>
    <w:rsid w:val="00BA5EC2"/>
    <w:rsid w:val="00BA6386"/>
    <w:rsid w:val="00BA6BD9"/>
    <w:rsid w:val="00BA7908"/>
    <w:rsid w:val="00BA7B66"/>
    <w:rsid w:val="00BB03B9"/>
    <w:rsid w:val="00BB0A61"/>
    <w:rsid w:val="00BB0D5A"/>
    <w:rsid w:val="00BB29D4"/>
    <w:rsid w:val="00BB2D16"/>
    <w:rsid w:val="00BB31B4"/>
    <w:rsid w:val="00BB35C8"/>
    <w:rsid w:val="00BB397D"/>
    <w:rsid w:val="00BB39DB"/>
    <w:rsid w:val="00BB3DBD"/>
    <w:rsid w:val="00BB3E86"/>
    <w:rsid w:val="00BB412C"/>
    <w:rsid w:val="00BB4427"/>
    <w:rsid w:val="00BB4D03"/>
    <w:rsid w:val="00BB4F3C"/>
    <w:rsid w:val="00BB4FC7"/>
    <w:rsid w:val="00BB5610"/>
    <w:rsid w:val="00BB5A3F"/>
    <w:rsid w:val="00BB5FBB"/>
    <w:rsid w:val="00BB60E7"/>
    <w:rsid w:val="00BB64C4"/>
    <w:rsid w:val="00BB66BF"/>
    <w:rsid w:val="00BB66D0"/>
    <w:rsid w:val="00BB6C26"/>
    <w:rsid w:val="00BB73A1"/>
    <w:rsid w:val="00BB7822"/>
    <w:rsid w:val="00BC031E"/>
    <w:rsid w:val="00BC0F3C"/>
    <w:rsid w:val="00BC0FED"/>
    <w:rsid w:val="00BC11A5"/>
    <w:rsid w:val="00BC1806"/>
    <w:rsid w:val="00BC1942"/>
    <w:rsid w:val="00BC20BC"/>
    <w:rsid w:val="00BC2312"/>
    <w:rsid w:val="00BC24AB"/>
    <w:rsid w:val="00BC2DBD"/>
    <w:rsid w:val="00BC33C8"/>
    <w:rsid w:val="00BC34F5"/>
    <w:rsid w:val="00BC3797"/>
    <w:rsid w:val="00BC3FE0"/>
    <w:rsid w:val="00BC435A"/>
    <w:rsid w:val="00BC4903"/>
    <w:rsid w:val="00BC499E"/>
    <w:rsid w:val="00BC4B42"/>
    <w:rsid w:val="00BC5395"/>
    <w:rsid w:val="00BC5489"/>
    <w:rsid w:val="00BC59AF"/>
    <w:rsid w:val="00BC5C1B"/>
    <w:rsid w:val="00BC612D"/>
    <w:rsid w:val="00BC6648"/>
    <w:rsid w:val="00BC6662"/>
    <w:rsid w:val="00BC79AD"/>
    <w:rsid w:val="00BD0241"/>
    <w:rsid w:val="00BD1274"/>
    <w:rsid w:val="00BD1652"/>
    <w:rsid w:val="00BD1820"/>
    <w:rsid w:val="00BD198A"/>
    <w:rsid w:val="00BD1D8A"/>
    <w:rsid w:val="00BD2BF4"/>
    <w:rsid w:val="00BD328D"/>
    <w:rsid w:val="00BD3607"/>
    <w:rsid w:val="00BD3E5B"/>
    <w:rsid w:val="00BD3FEE"/>
    <w:rsid w:val="00BD44BC"/>
    <w:rsid w:val="00BD47EC"/>
    <w:rsid w:val="00BD485B"/>
    <w:rsid w:val="00BD5B13"/>
    <w:rsid w:val="00BD606D"/>
    <w:rsid w:val="00BD6393"/>
    <w:rsid w:val="00BD66D1"/>
    <w:rsid w:val="00BD689D"/>
    <w:rsid w:val="00BD6922"/>
    <w:rsid w:val="00BD6C42"/>
    <w:rsid w:val="00BD7172"/>
    <w:rsid w:val="00BE010B"/>
    <w:rsid w:val="00BE08B4"/>
    <w:rsid w:val="00BE0AE1"/>
    <w:rsid w:val="00BE0FEE"/>
    <w:rsid w:val="00BE17EF"/>
    <w:rsid w:val="00BE1B4A"/>
    <w:rsid w:val="00BE1D76"/>
    <w:rsid w:val="00BE1D88"/>
    <w:rsid w:val="00BE2B85"/>
    <w:rsid w:val="00BE2EE8"/>
    <w:rsid w:val="00BE3D11"/>
    <w:rsid w:val="00BE4D5B"/>
    <w:rsid w:val="00BE5323"/>
    <w:rsid w:val="00BE6580"/>
    <w:rsid w:val="00BE6ADB"/>
    <w:rsid w:val="00BE6DE5"/>
    <w:rsid w:val="00BE6EB6"/>
    <w:rsid w:val="00BE739E"/>
    <w:rsid w:val="00BF005D"/>
    <w:rsid w:val="00BF0737"/>
    <w:rsid w:val="00BF0DA9"/>
    <w:rsid w:val="00BF0F95"/>
    <w:rsid w:val="00BF1430"/>
    <w:rsid w:val="00BF15B2"/>
    <w:rsid w:val="00BF20A5"/>
    <w:rsid w:val="00BF21DE"/>
    <w:rsid w:val="00BF2441"/>
    <w:rsid w:val="00BF3019"/>
    <w:rsid w:val="00BF38BD"/>
    <w:rsid w:val="00BF3962"/>
    <w:rsid w:val="00BF3A6D"/>
    <w:rsid w:val="00BF3E0A"/>
    <w:rsid w:val="00BF42A8"/>
    <w:rsid w:val="00BF4634"/>
    <w:rsid w:val="00BF4CCB"/>
    <w:rsid w:val="00BF5960"/>
    <w:rsid w:val="00BF5D53"/>
    <w:rsid w:val="00BF5EB6"/>
    <w:rsid w:val="00BF6098"/>
    <w:rsid w:val="00BF65C7"/>
    <w:rsid w:val="00BF70BE"/>
    <w:rsid w:val="00BF727F"/>
    <w:rsid w:val="00BF7667"/>
    <w:rsid w:val="00BF7704"/>
    <w:rsid w:val="00BF7BB4"/>
    <w:rsid w:val="00C00343"/>
    <w:rsid w:val="00C008C7"/>
    <w:rsid w:val="00C00E55"/>
    <w:rsid w:val="00C00F8E"/>
    <w:rsid w:val="00C01017"/>
    <w:rsid w:val="00C022B7"/>
    <w:rsid w:val="00C0245D"/>
    <w:rsid w:val="00C02828"/>
    <w:rsid w:val="00C04588"/>
    <w:rsid w:val="00C0523F"/>
    <w:rsid w:val="00C05436"/>
    <w:rsid w:val="00C05AC4"/>
    <w:rsid w:val="00C06B03"/>
    <w:rsid w:val="00C070DD"/>
    <w:rsid w:val="00C07164"/>
    <w:rsid w:val="00C075DA"/>
    <w:rsid w:val="00C077DD"/>
    <w:rsid w:val="00C079C7"/>
    <w:rsid w:val="00C100D0"/>
    <w:rsid w:val="00C10269"/>
    <w:rsid w:val="00C107FC"/>
    <w:rsid w:val="00C10E06"/>
    <w:rsid w:val="00C10F63"/>
    <w:rsid w:val="00C10FD7"/>
    <w:rsid w:val="00C11A4E"/>
    <w:rsid w:val="00C11BF6"/>
    <w:rsid w:val="00C11E43"/>
    <w:rsid w:val="00C1207A"/>
    <w:rsid w:val="00C124AA"/>
    <w:rsid w:val="00C13312"/>
    <w:rsid w:val="00C13320"/>
    <w:rsid w:val="00C1365E"/>
    <w:rsid w:val="00C138A6"/>
    <w:rsid w:val="00C14369"/>
    <w:rsid w:val="00C14599"/>
    <w:rsid w:val="00C148BC"/>
    <w:rsid w:val="00C14EF2"/>
    <w:rsid w:val="00C14EFC"/>
    <w:rsid w:val="00C1504D"/>
    <w:rsid w:val="00C15052"/>
    <w:rsid w:val="00C15256"/>
    <w:rsid w:val="00C1545F"/>
    <w:rsid w:val="00C1594C"/>
    <w:rsid w:val="00C15C56"/>
    <w:rsid w:val="00C16508"/>
    <w:rsid w:val="00C167D9"/>
    <w:rsid w:val="00C17248"/>
    <w:rsid w:val="00C1755D"/>
    <w:rsid w:val="00C17C35"/>
    <w:rsid w:val="00C20835"/>
    <w:rsid w:val="00C2154A"/>
    <w:rsid w:val="00C215AF"/>
    <w:rsid w:val="00C21692"/>
    <w:rsid w:val="00C21DBF"/>
    <w:rsid w:val="00C21DDA"/>
    <w:rsid w:val="00C22469"/>
    <w:rsid w:val="00C225F3"/>
    <w:rsid w:val="00C2298C"/>
    <w:rsid w:val="00C233FB"/>
    <w:rsid w:val="00C23762"/>
    <w:rsid w:val="00C239BC"/>
    <w:rsid w:val="00C23EAE"/>
    <w:rsid w:val="00C24305"/>
    <w:rsid w:val="00C24D80"/>
    <w:rsid w:val="00C25386"/>
    <w:rsid w:val="00C25ADC"/>
    <w:rsid w:val="00C2676F"/>
    <w:rsid w:val="00C26C77"/>
    <w:rsid w:val="00C27090"/>
    <w:rsid w:val="00C2722E"/>
    <w:rsid w:val="00C2729E"/>
    <w:rsid w:val="00C2776A"/>
    <w:rsid w:val="00C27A11"/>
    <w:rsid w:val="00C27A30"/>
    <w:rsid w:val="00C302C3"/>
    <w:rsid w:val="00C30533"/>
    <w:rsid w:val="00C30812"/>
    <w:rsid w:val="00C30BB8"/>
    <w:rsid w:val="00C30C98"/>
    <w:rsid w:val="00C30E74"/>
    <w:rsid w:val="00C31BFC"/>
    <w:rsid w:val="00C32F69"/>
    <w:rsid w:val="00C334EE"/>
    <w:rsid w:val="00C3479D"/>
    <w:rsid w:val="00C34DD0"/>
    <w:rsid w:val="00C35002"/>
    <w:rsid w:val="00C35C03"/>
    <w:rsid w:val="00C35F91"/>
    <w:rsid w:val="00C36655"/>
    <w:rsid w:val="00C37128"/>
    <w:rsid w:val="00C40248"/>
    <w:rsid w:val="00C40A30"/>
    <w:rsid w:val="00C40CD0"/>
    <w:rsid w:val="00C40E1B"/>
    <w:rsid w:val="00C40E7E"/>
    <w:rsid w:val="00C40FBC"/>
    <w:rsid w:val="00C4120E"/>
    <w:rsid w:val="00C41450"/>
    <w:rsid w:val="00C41627"/>
    <w:rsid w:val="00C41C4C"/>
    <w:rsid w:val="00C41D5D"/>
    <w:rsid w:val="00C41D7F"/>
    <w:rsid w:val="00C41D88"/>
    <w:rsid w:val="00C41E6F"/>
    <w:rsid w:val="00C41F05"/>
    <w:rsid w:val="00C420E9"/>
    <w:rsid w:val="00C4217B"/>
    <w:rsid w:val="00C4220A"/>
    <w:rsid w:val="00C426AC"/>
    <w:rsid w:val="00C43322"/>
    <w:rsid w:val="00C433BF"/>
    <w:rsid w:val="00C433D6"/>
    <w:rsid w:val="00C43AE5"/>
    <w:rsid w:val="00C43E51"/>
    <w:rsid w:val="00C43E94"/>
    <w:rsid w:val="00C44504"/>
    <w:rsid w:val="00C44879"/>
    <w:rsid w:val="00C44F27"/>
    <w:rsid w:val="00C452F1"/>
    <w:rsid w:val="00C45601"/>
    <w:rsid w:val="00C45C55"/>
    <w:rsid w:val="00C4610C"/>
    <w:rsid w:val="00C4613E"/>
    <w:rsid w:val="00C46370"/>
    <w:rsid w:val="00C464B3"/>
    <w:rsid w:val="00C469B2"/>
    <w:rsid w:val="00C46F81"/>
    <w:rsid w:val="00C47772"/>
    <w:rsid w:val="00C47781"/>
    <w:rsid w:val="00C479A1"/>
    <w:rsid w:val="00C47B6E"/>
    <w:rsid w:val="00C47DD9"/>
    <w:rsid w:val="00C50665"/>
    <w:rsid w:val="00C5091F"/>
    <w:rsid w:val="00C517DF"/>
    <w:rsid w:val="00C51B31"/>
    <w:rsid w:val="00C51C3E"/>
    <w:rsid w:val="00C51D94"/>
    <w:rsid w:val="00C51F82"/>
    <w:rsid w:val="00C5240A"/>
    <w:rsid w:val="00C528DB"/>
    <w:rsid w:val="00C528EC"/>
    <w:rsid w:val="00C52CF8"/>
    <w:rsid w:val="00C554EA"/>
    <w:rsid w:val="00C56310"/>
    <w:rsid w:val="00C5636D"/>
    <w:rsid w:val="00C5637B"/>
    <w:rsid w:val="00C564F2"/>
    <w:rsid w:val="00C56B21"/>
    <w:rsid w:val="00C5794F"/>
    <w:rsid w:val="00C57D7F"/>
    <w:rsid w:val="00C6014C"/>
    <w:rsid w:val="00C60434"/>
    <w:rsid w:val="00C6049B"/>
    <w:rsid w:val="00C615CF"/>
    <w:rsid w:val="00C6188B"/>
    <w:rsid w:val="00C619CF"/>
    <w:rsid w:val="00C61DDA"/>
    <w:rsid w:val="00C61EC9"/>
    <w:rsid w:val="00C61EF6"/>
    <w:rsid w:val="00C6348A"/>
    <w:rsid w:val="00C635B4"/>
    <w:rsid w:val="00C63E84"/>
    <w:rsid w:val="00C6434E"/>
    <w:rsid w:val="00C64B2E"/>
    <w:rsid w:val="00C66108"/>
    <w:rsid w:val="00C66264"/>
    <w:rsid w:val="00C663D3"/>
    <w:rsid w:val="00C666CC"/>
    <w:rsid w:val="00C70096"/>
    <w:rsid w:val="00C700A9"/>
    <w:rsid w:val="00C705E1"/>
    <w:rsid w:val="00C70781"/>
    <w:rsid w:val="00C70A34"/>
    <w:rsid w:val="00C721F1"/>
    <w:rsid w:val="00C72390"/>
    <w:rsid w:val="00C72C7A"/>
    <w:rsid w:val="00C73282"/>
    <w:rsid w:val="00C7451A"/>
    <w:rsid w:val="00C746D5"/>
    <w:rsid w:val="00C74A19"/>
    <w:rsid w:val="00C7519D"/>
    <w:rsid w:val="00C75C3C"/>
    <w:rsid w:val="00C75CE1"/>
    <w:rsid w:val="00C75DD4"/>
    <w:rsid w:val="00C75E3A"/>
    <w:rsid w:val="00C76114"/>
    <w:rsid w:val="00C76266"/>
    <w:rsid w:val="00C766C7"/>
    <w:rsid w:val="00C76CA6"/>
    <w:rsid w:val="00C770BD"/>
    <w:rsid w:val="00C77224"/>
    <w:rsid w:val="00C77674"/>
    <w:rsid w:val="00C77BF2"/>
    <w:rsid w:val="00C77D2F"/>
    <w:rsid w:val="00C803F3"/>
    <w:rsid w:val="00C805D6"/>
    <w:rsid w:val="00C80734"/>
    <w:rsid w:val="00C80BF3"/>
    <w:rsid w:val="00C80E6C"/>
    <w:rsid w:val="00C80FAB"/>
    <w:rsid w:val="00C80FDE"/>
    <w:rsid w:val="00C810EE"/>
    <w:rsid w:val="00C816E8"/>
    <w:rsid w:val="00C81CDA"/>
    <w:rsid w:val="00C81E0C"/>
    <w:rsid w:val="00C81E4F"/>
    <w:rsid w:val="00C81EE6"/>
    <w:rsid w:val="00C82AF9"/>
    <w:rsid w:val="00C8304D"/>
    <w:rsid w:val="00C830EC"/>
    <w:rsid w:val="00C83DE6"/>
    <w:rsid w:val="00C84B85"/>
    <w:rsid w:val="00C84B9A"/>
    <w:rsid w:val="00C84CA8"/>
    <w:rsid w:val="00C85AE6"/>
    <w:rsid w:val="00C85AED"/>
    <w:rsid w:val="00C8602B"/>
    <w:rsid w:val="00C874F1"/>
    <w:rsid w:val="00C878A7"/>
    <w:rsid w:val="00C87BC6"/>
    <w:rsid w:val="00C87CE1"/>
    <w:rsid w:val="00C90844"/>
    <w:rsid w:val="00C91212"/>
    <w:rsid w:val="00C912A3"/>
    <w:rsid w:val="00C9196E"/>
    <w:rsid w:val="00C91B50"/>
    <w:rsid w:val="00C933DD"/>
    <w:rsid w:val="00C93E22"/>
    <w:rsid w:val="00C942B0"/>
    <w:rsid w:val="00C948E8"/>
    <w:rsid w:val="00C94A1C"/>
    <w:rsid w:val="00C94EF1"/>
    <w:rsid w:val="00C94F84"/>
    <w:rsid w:val="00C95297"/>
    <w:rsid w:val="00C9566A"/>
    <w:rsid w:val="00C9574B"/>
    <w:rsid w:val="00C95E45"/>
    <w:rsid w:val="00C95EDD"/>
    <w:rsid w:val="00C96068"/>
    <w:rsid w:val="00C96662"/>
    <w:rsid w:val="00C96964"/>
    <w:rsid w:val="00C96AE9"/>
    <w:rsid w:val="00C977CD"/>
    <w:rsid w:val="00C978FC"/>
    <w:rsid w:val="00C97976"/>
    <w:rsid w:val="00C97C00"/>
    <w:rsid w:val="00CA0079"/>
    <w:rsid w:val="00CA1053"/>
    <w:rsid w:val="00CA1559"/>
    <w:rsid w:val="00CA156D"/>
    <w:rsid w:val="00CA23A9"/>
    <w:rsid w:val="00CA2698"/>
    <w:rsid w:val="00CA26D3"/>
    <w:rsid w:val="00CA2F86"/>
    <w:rsid w:val="00CA49F5"/>
    <w:rsid w:val="00CA4B70"/>
    <w:rsid w:val="00CA52B4"/>
    <w:rsid w:val="00CA5776"/>
    <w:rsid w:val="00CA5EDB"/>
    <w:rsid w:val="00CA609D"/>
    <w:rsid w:val="00CA639D"/>
    <w:rsid w:val="00CA648D"/>
    <w:rsid w:val="00CA67A4"/>
    <w:rsid w:val="00CA687B"/>
    <w:rsid w:val="00CA6E9D"/>
    <w:rsid w:val="00CA7194"/>
    <w:rsid w:val="00CA7570"/>
    <w:rsid w:val="00CB0275"/>
    <w:rsid w:val="00CB0468"/>
    <w:rsid w:val="00CB0791"/>
    <w:rsid w:val="00CB0A00"/>
    <w:rsid w:val="00CB11D6"/>
    <w:rsid w:val="00CB1C8D"/>
    <w:rsid w:val="00CB1D4E"/>
    <w:rsid w:val="00CB2A7F"/>
    <w:rsid w:val="00CB2D73"/>
    <w:rsid w:val="00CB32D5"/>
    <w:rsid w:val="00CB3703"/>
    <w:rsid w:val="00CB3E76"/>
    <w:rsid w:val="00CB452F"/>
    <w:rsid w:val="00CB458F"/>
    <w:rsid w:val="00CB4864"/>
    <w:rsid w:val="00CB4ABA"/>
    <w:rsid w:val="00CB4CA7"/>
    <w:rsid w:val="00CB523B"/>
    <w:rsid w:val="00CB53A7"/>
    <w:rsid w:val="00CB5B9B"/>
    <w:rsid w:val="00CB5BB4"/>
    <w:rsid w:val="00CB6179"/>
    <w:rsid w:val="00CB61B1"/>
    <w:rsid w:val="00CB63F0"/>
    <w:rsid w:val="00CB6CB1"/>
    <w:rsid w:val="00CB72F3"/>
    <w:rsid w:val="00CB7B01"/>
    <w:rsid w:val="00CC0960"/>
    <w:rsid w:val="00CC131F"/>
    <w:rsid w:val="00CC1801"/>
    <w:rsid w:val="00CC2603"/>
    <w:rsid w:val="00CC3058"/>
    <w:rsid w:val="00CC31DD"/>
    <w:rsid w:val="00CC3A35"/>
    <w:rsid w:val="00CC3A9B"/>
    <w:rsid w:val="00CC3F58"/>
    <w:rsid w:val="00CC4D93"/>
    <w:rsid w:val="00CC4FAA"/>
    <w:rsid w:val="00CC59F4"/>
    <w:rsid w:val="00CC5FF7"/>
    <w:rsid w:val="00CC60A5"/>
    <w:rsid w:val="00CC648B"/>
    <w:rsid w:val="00CC6C0E"/>
    <w:rsid w:val="00CC6EE8"/>
    <w:rsid w:val="00CC7F1E"/>
    <w:rsid w:val="00CD0186"/>
    <w:rsid w:val="00CD03C7"/>
    <w:rsid w:val="00CD1C8A"/>
    <w:rsid w:val="00CD269B"/>
    <w:rsid w:val="00CD2957"/>
    <w:rsid w:val="00CD324D"/>
    <w:rsid w:val="00CD3645"/>
    <w:rsid w:val="00CD3858"/>
    <w:rsid w:val="00CD40A0"/>
    <w:rsid w:val="00CD4E7B"/>
    <w:rsid w:val="00CD5260"/>
    <w:rsid w:val="00CD56F2"/>
    <w:rsid w:val="00CD589D"/>
    <w:rsid w:val="00CD58B6"/>
    <w:rsid w:val="00CD597C"/>
    <w:rsid w:val="00CD5BA7"/>
    <w:rsid w:val="00CD604F"/>
    <w:rsid w:val="00CD6353"/>
    <w:rsid w:val="00CD636F"/>
    <w:rsid w:val="00CD663B"/>
    <w:rsid w:val="00CD667E"/>
    <w:rsid w:val="00CD6CE0"/>
    <w:rsid w:val="00CD75B7"/>
    <w:rsid w:val="00CD7619"/>
    <w:rsid w:val="00CD7767"/>
    <w:rsid w:val="00CD7A7A"/>
    <w:rsid w:val="00CE02F8"/>
    <w:rsid w:val="00CE0383"/>
    <w:rsid w:val="00CE0421"/>
    <w:rsid w:val="00CE0498"/>
    <w:rsid w:val="00CE0740"/>
    <w:rsid w:val="00CE0BB6"/>
    <w:rsid w:val="00CE1553"/>
    <w:rsid w:val="00CE1BDE"/>
    <w:rsid w:val="00CE1DEA"/>
    <w:rsid w:val="00CE2404"/>
    <w:rsid w:val="00CE2CB1"/>
    <w:rsid w:val="00CE3106"/>
    <w:rsid w:val="00CE3F23"/>
    <w:rsid w:val="00CE4508"/>
    <w:rsid w:val="00CE4980"/>
    <w:rsid w:val="00CE4BEF"/>
    <w:rsid w:val="00CE5DCD"/>
    <w:rsid w:val="00CE6521"/>
    <w:rsid w:val="00CE653A"/>
    <w:rsid w:val="00CE6969"/>
    <w:rsid w:val="00CE71CB"/>
    <w:rsid w:val="00CE7564"/>
    <w:rsid w:val="00CE7572"/>
    <w:rsid w:val="00CE79F4"/>
    <w:rsid w:val="00CF0807"/>
    <w:rsid w:val="00CF0A69"/>
    <w:rsid w:val="00CF0EC8"/>
    <w:rsid w:val="00CF1204"/>
    <w:rsid w:val="00CF193B"/>
    <w:rsid w:val="00CF2440"/>
    <w:rsid w:val="00CF2569"/>
    <w:rsid w:val="00CF3448"/>
    <w:rsid w:val="00CF3C7E"/>
    <w:rsid w:val="00CF4668"/>
    <w:rsid w:val="00CF469F"/>
    <w:rsid w:val="00CF49E6"/>
    <w:rsid w:val="00CF4DF0"/>
    <w:rsid w:val="00CF5123"/>
    <w:rsid w:val="00CF5370"/>
    <w:rsid w:val="00CF57CC"/>
    <w:rsid w:val="00CF5927"/>
    <w:rsid w:val="00CF67EF"/>
    <w:rsid w:val="00CF6BC6"/>
    <w:rsid w:val="00CF6D26"/>
    <w:rsid w:val="00CF7978"/>
    <w:rsid w:val="00CF7B82"/>
    <w:rsid w:val="00CF7CA8"/>
    <w:rsid w:val="00D00240"/>
    <w:rsid w:val="00D005A5"/>
    <w:rsid w:val="00D01177"/>
    <w:rsid w:val="00D011D3"/>
    <w:rsid w:val="00D019EE"/>
    <w:rsid w:val="00D02939"/>
    <w:rsid w:val="00D02D0C"/>
    <w:rsid w:val="00D03316"/>
    <w:rsid w:val="00D0394E"/>
    <w:rsid w:val="00D045C8"/>
    <w:rsid w:val="00D04B37"/>
    <w:rsid w:val="00D053CF"/>
    <w:rsid w:val="00D0576E"/>
    <w:rsid w:val="00D0621B"/>
    <w:rsid w:val="00D06250"/>
    <w:rsid w:val="00D06B3E"/>
    <w:rsid w:val="00D07349"/>
    <w:rsid w:val="00D073DD"/>
    <w:rsid w:val="00D07422"/>
    <w:rsid w:val="00D07E4B"/>
    <w:rsid w:val="00D101ED"/>
    <w:rsid w:val="00D11166"/>
    <w:rsid w:val="00D11824"/>
    <w:rsid w:val="00D11B74"/>
    <w:rsid w:val="00D12699"/>
    <w:rsid w:val="00D12768"/>
    <w:rsid w:val="00D12CD7"/>
    <w:rsid w:val="00D13266"/>
    <w:rsid w:val="00D134E7"/>
    <w:rsid w:val="00D13E1C"/>
    <w:rsid w:val="00D13E6A"/>
    <w:rsid w:val="00D1479B"/>
    <w:rsid w:val="00D14A1B"/>
    <w:rsid w:val="00D14A3E"/>
    <w:rsid w:val="00D14C03"/>
    <w:rsid w:val="00D14E81"/>
    <w:rsid w:val="00D15182"/>
    <w:rsid w:val="00D159FF"/>
    <w:rsid w:val="00D161EB"/>
    <w:rsid w:val="00D16905"/>
    <w:rsid w:val="00D1691B"/>
    <w:rsid w:val="00D1691D"/>
    <w:rsid w:val="00D16989"/>
    <w:rsid w:val="00D169D2"/>
    <w:rsid w:val="00D174D0"/>
    <w:rsid w:val="00D175CC"/>
    <w:rsid w:val="00D17BA3"/>
    <w:rsid w:val="00D20398"/>
    <w:rsid w:val="00D20632"/>
    <w:rsid w:val="00D20A4E"/>
    <w:rsid w:val="00D2107C"/>
    <w:rsid w:val="00D210B5"/>
    <w:rsid w:val="00D212AC"/>
    <w:rsid w:val="00D2160E"/>
    <w:rsid w:val="00D2182C"/>
    <w:rsid w:val="00D22018"/>
    <w:rsid w:val="00D2224D"/>
    <w:rsid w:val="00D22436"/>
    <w:rsid w:val="00D224A8"/>
    <w:rsid w:val="00D22740"/>
    <w:rsid w:val="00D227B2"/>
    <w:rsid w:val="00D23323"/>
    <w:rsid w:val="00D23510"/>
    <w:rsid w:val="00D23FDD"/>
    <w:rsid w:val="00D243BA"/>
    <w:rsid w:val="00D246B8"/>
    <w:rsid w:val="00D24DEF"/>
    <w:rsid w:val="00D24E44"/>
    <w:rsid w:val="00D256CF"/>
    <w:rsid w:val="00D25ABA"/>
    <w:rsid w:val="00D25B40"/>
    <w:rsid w:val="00D25C5E"/>
    <w:rsid w:val="00D263CB"/>
    <w:rsid w:val="00D26AF6"/>
    <w:rsid w:val="00D26C0C"/>
    <w:rsid w:val="00D26E26"/>
    <w:rsid w:val="00D272FE"/>
    <w:rsid w:val="00D27C14"/>
    <w:rsid w:val="00D27ECC"/>
    <w:rsid w:val="00D30C07"/>
    <w:rsid w:val="00D30FB2"/>
    <w:rsid w:val="00D310A0"/>
    <w:rsid w:val="00D31285"/>
    <w:rsid w:val="00D315C3"/>
    <w:rsid w:val="00D317E5"/>
    <w:rsid w:val="00D3185D"/>
    <w:rsid w:val="00D31C3B"/>
    <w:rsid w:val="00D320F9"/>
    <w:rsid w:val="00D3248B"/>
    <w:rsid w:val="00D325D6"/>
    <w:rsid w:val="00D3319D"/>
    <w:rsid w:val="00D33245"/>
    <w:rsid w:val="00D3354B"/>
    <w:rsid w:val="00D3359F"/>
    <w:rsid w:val="00D3361A"/>
    <w:rsid w:val="00D33BB0"/>
    <w:rsid w:val="00D33EBD"/>
    <w:rsid w:val="00D346E8"/>
    <w:rsid w:val="00D34861"/>
    <w:rsid w:val="00D35EF9"/>
    <w:rsid w:val="00D363A4"/>
    <w:rsid w:val="00D3656E"/>
    <w:rsid w:val="00D36C20"/>
    <w:rsid w:val="00D36F45"/>
    <w:rsid w:val="00D37B27"/>
    <w:rsid w:val="00D37B62"/>
    <w:rsid w:val="00D37C41"/>
    <w:rsid w:val="00D404F1"/>
    <w:rsid w:val="00D406A2"/>
    <w:rsid w:val="00D4075D"/>
    <w:rsid w:val="00D40D35"/>
    <w:rsid w:val="00D40F15"/>
    <w:rsid w:val="00D423F9"/>
    <w:rsid w:val="00D42C46"/>
    <w:rsid w:val="00D43102"/>
    <w:rsid w:val="00D43584"/>
    <w:rsid w:val="00D444F7"/>
    <w:rsid w:val="00D4459A"/>
    <w:rsid w:val="00D44F9D"/>
    <w:rsid w:val="00D4546B"/>
    <w:rsid w:val="00D454C3"/>
    <w:rsid w:val="00D4580E"/>
    <w:rsid w:val="00D45DE7"/>
    <w:rsid w:val="00D46075"/>
    <w:rsid w:val="00D46175"/>
    <w:rsid w:val="00D4642B"/>
    <w:rsid w:val="00D467CC"/>
    <w:rsid w:val="00D46B6C"/>
    <w:rsid w:val="00D4734E"/>
    <w:rsid w:val="00D47530"/>
    <w:rsid w:val="00D47822"/>
    <w:rsid w:val="00D479A2"/>
    <w:rsid w:val="00D47DE2"/>
    <w:rsid w:val="00D47F92"/>
    <w:rsid w:val="00D5007D"/>
    <w:rsid w:val="00D500C9"/>
    <w:rsid w:val="00D501C2"/>
    <w:rsid w:val="00D502EA"/>
    <w:rsid w:val="00D511F5"/>
    <w:rsid w:val="00D51A2C"/>
    <w:rsid w:val="00D51B1C"/>
    <w:rsid w:val="00D52400"/>
    <w:rsid w:val="00D530B5"/>
    <w:rsid w:val="00D5327D"/>
    <w:rsid w:val="00D53916"/>
    <w:rsid w:val="00D53A62"/>
    <w:rsid w:val="00D53BD5"/>
    <w:rsid w:val="00D53E28"/>
    <w:rsid w:val="00D54050"/>
    <w:rsid w:val="00D542D8"/>
    <w:rsid w:val="00D54F74"/>
    <w:rsid w:val="00D55748"/>
    <w:rsid w:val="00D55C21"/>
    <w:rsid w:val="00D568AB"/>
    <w:rsid w:val="00D56C43"/>
    <w:rsid w:val="00D57382"/>
    <w:rsid w:val="00D5776B"/>
    <w:rsid w:val="00D57A47"/>
    <w:rsid w:val="00D57BA5"/>
    <w:rsid w:val="00D57FD8"/>
    <w:rsid w:val="00D6006F"/>
    <w:rsid w:val="00D60558"/>
    <w:rsid w:val="00D607D6"/>
    <w:rsid w:val="00D608F0"/>
    <w:rsid w:val="00D612FF"/>
    <w:rsid w:val="00D61473"/>
    <w:rsid w:val="00D61C5C"/>
    <w:rsid w:val="00D62133"/>
    <w:rsid w:val="00D6230A"/>
    <w:rsid w:val="00D623BA"/>
    <w:rsid w:val="00D62634"/>
    <w:rsid w:val="00D6265F"/>
    <w:rsid w:val="00D62E73"/>
    <w:rsid w:val="00D645C0"/>
    <w:rsid w:val="00D64AF7"/>
    <w:rsid w:val="00D657A9"/>
    <w:rsid w:val="00D65CA5"/>
    <w:rsid w:val="00D6653B"/>
    <w:rsid w:val="00D669A2"/>
    <w:rsid w:val="00D6776C"/>
    <w:rsid w:val="00D67F0F"/>
    <w:rsid w:val="00D703CE"/>
    <w:rsid w:val="00D708D4"/>
    <w:rsid w:val="00D70CF5"/>
    <w:rsid w:val="00D7124B"/>
    <w:rsid w:val="00D715E0"/>
    <w:rsid w:val="00D7177D"/>
    <w:rsid w:val="00D720C7"/>
    <w:rsid w:val="00D72DB0"/>
    <w:rsid w:val="00D7485A"/>
    <w:rsid w:val="00D74D0D"/>
    <w:rsid w:val="00D7524B"/>
    <w:rsid w:val="00D764EB"/>
    <w:rsid w:val="00D76ECE"/>
    <w:rsid w:val="00D77105"/>
    <w:rsid w:val="00D77686"/>
    <w:rsid w:val="00D7791B"/>
    <w:rsid w:val="00D77A3F"/>
    <w:rsid w:val="00D80DAE"/>
    <w:rsid w:val="00D81236"/>
    <w:rsid w:val="00D823D2"/>
    <w:rsid w:val="00D8266B"/>
    <w:rsid w:val="00D828AA"/>
    <w:rsid w:val="00D82AB0"/>
    <w:rsid w:val="00D82BF0"/>
    <w:rsid w:val="00D82D14"/>
    <w:rsid w:val="00D83005"/>
    <w:rsid w:val="00D837AD"/>
    <w:rsid w:val="00D83A6B"/>
    <w:rsid w:val="00D84020"/>
    <w:rsid w:val="00D856BA"/>
    <w:rsid w:val="00D85774"/>
    <w:rsid w:val="00D86D3E"/>
    <w:rsid w:val="00D86F43"/>
    <w:rsid w:val="00D90677"/>
    <w:rsid w:val="00D908FC"/>
    <w:rsid w:val="00D90DC1"/>
    <w:rsid w:val="00D922FE"/>
    <w:rsid w:val="00D92C42"/>
    <w:rsid w:val="00D92D7F"/>
    <w:rsid w:val="00D931E3"/>
    <w:rsid w:val="00D93774"/>
    <w:rsid w:val="00D93C87"/>
    <w:rsid w:val="00D941F3"/>
    <w:rsid w:val="00D949F9"/>
    <w:rsid w:val="00D94A05"/>
    <w:rsid w:val="00D94F1A"/>
    <w:rsid w:val="00D959D5"/>
    <w:rsid w:val="00D96221"/>
    <w:rsid w:val="00D966D1"/>
    <w:rsid w:val="00D970F8"/>
    <w:rsid w:val="00D97297"/>
    <w:rsid w:val="00D972DB"/>
    <w:rsid w:val="00D97675"/>
    <w:rsid w:val="00D97775"/>
    <w:rsid w:val="00D97B63"/>
    <w:rsid w:val="00D97DF8"/>
    <w:rsid w:val="00DA0127"/>
    <w:rsid w:val="00DA0514"/>
    <w:rsid w:val="00DA1060"/>
    <w:rsid w:val="00DA172A"/>
    <w:rsid w:val="00DA1AB0"/>
    <w:rsid w:val="00DA1B75"/>
    <w:rsid w:val="00DA2204"/>
    <w:rsid w:val="00DA232E"/>
    <w:rsid w:val="00DA2394"/>
    <w:rsid w:val="00DA279B"/>
    <w:rsid w:val="00DA2C60"/>
    <w:rsid w:val="00DA2FA1"/>
    <w:rsid w:val="00DA340D"/>
    <w:rsid w:val="00DA42F7"/>
    <w:rsid w:val="00DA5E04"/>
    <w:rsid w:val="00DA5E38"/>
    <w:rsid w:val="00DA6279"/>
    <w:rsid w:val="00DA6433"/>
    <w:rsid w:val="00DA6EF0"/>
    <w:rsid w:val="00DA7669"/>
    <w:rsid w:val="00DA7768"/>
    <w:rsid w:val="00DA7962"/>
    <w:rsid w:val="00DA7AA7"/>
    <w:rsid w:val="00DA7B2C"/>
    <w:rsid w:val="00DB00C8"/>
    <w:rsid w:val="00DB072F"/>
    <w:rsid w:val="00DB099A"/>
    <w:rsid w:val="00DB0A6A"/>
    <w:rsid w:val="00DB134A"/>
    <w:rsid w:val="00DB15C1"/>
    <w:rsid w:val="00DB1716"/>
    <w:rsid w:val="00DB17FF"/>
    <w:rsid w:val="00DB204D"/>
    <w:rsid w:val="00DB20BA"/>
    <w:rsid w:val="00DB20BD"/>
    <w:rsid w:val="00DB21B4"/>
    <w:rsid w:val="00DB259A"/>
    <w:rsid w:val="00DB2A95"/>
    <w:rsid w:val="00DB3095"/>
    <w:rsid w:val="00DB30FE"/>
    <w:rsid w:val="00DB40E6"/>
    <w:rsid w:val="00DB446A"/>
    <w:rsid w:val="00DB4887"/>
    <w:rsid w:val="00DB4980"/>
    <w:rsid w:val="00DB512E"/>
    <w:rsid w:val="00DB5C98"/>
    <w:rsid w:val="00DB6423"/>
    <w:rsid w:val="00DB6722"/>
    <w:rsid w:val="00DB6E47"/>
    <w:rsid w:val="00DB6E86"/>
    <w:rsid w:val="00DB7902"/>
    <w:rsid w:val="00DB7ED9"/>
    <w:rsid w:val="00DC04A9"/>
    <w:rsid w:val="00DC1518"/>
    <w:rsid w:val="00DC2022"/>
    <w:rsid w:val="00DC26BB"/>
    <w:rsid w:val="00DC280A"/>
    <w:rsid w:val="00DC28A7"/>
    <w:rsid w:val="00DC2A11"/>
    <w:rsid w:val="00DC2A5F"/>
    <w:rsid w:val="00DC2E8D"/>
    <w:rsid w:val="00DC3049"/>
    <w:rsid w:val="00DC3497"/>
    <w:rsid w:val="00DC38A2"/>
    <w:rsid w:val="00DC3E97"/>
    <w:rsid w:val="00DC4338"/>
    <w:rsid w:val="00DC435C"/>
    <w:rsid w:val="00DC4988"/>
    <w:rsid w:val="00DC50CF"/>
    <w:rsid w:val="00DC5169"/>
    <w:rsid w:val="00DC5ED0"/>
    <w:rsid w:val="00DC64CB"/>
    <w:rsid w:val="00DC6744"/>
    <w:rsid w:val="00DC68B4"/>
    <w:rsid w:val="00DC6EB2"/>
    <w:rsid w:val="00DC71C9"/>
    <w:rsid w:val="00DC78B2"/>
    <w:rsid w:val="00DC7AFE"/>
    <w:rsid w:val="00DD044A"/>
    <w:rsid w:val="00DD0A9D"/>
    <w:rsid w:val="00DD2637"/>
    <w:rsid w:val="00DD29CE"/>
    <w:rsid w:val="00DD29E7"/>
    <w:rsid w:val="00DD3039"/>
    <w:rsid w:val="00DD3661"/>
    <w:rsid w:val="00DD3769"/>
    <w:rsid w:val="00DD386C"/>
    <w:rsid w:val="00DD4133"/>
    <w:rsid w:val="00DD415D"/>
    <w:rsid w:val="00DD4B58"/>
    <w:rsid w:val="00DD4C15"/>
    <w:rsid w:val="00DD5327"/>
    <w:rsid w:val="00DD54BB"/>
    <w:rsid w:val="00DD5AE1"/>
    <w:rsid w:val="00DD5E13"/>
    <w:rsid w:val="00DD6042"/>
    <w:rsid w:val="00DD6D47"/>
    <w:rsid w:val="00DD7A40"/>
    <w:rsid w:val="00DE00F9"/>
    <w:rsid w:val="00DE10F2"/>
    <w:rsid w:val="00DE18B5"/>
    <w:rsid w:val="00DE1ACC"/>
    <w:rsid w:val="00DE2ACD"/>
    <w:rsid w:val="00DE2C8C"/>
    <w:rsid w:val="00DE35F5"/>
    <w:rsid w:val="00DE38A5"/>
    <w:rsid w:val="00DE424D"/>
    <w:rsid w:val="00DE42AF"/>
    <w:rsid w:val="00DE46AF"/>
    <w:rsid w:val="00DE48F9"/>
    <w:rsid w:val="00DE4B8C"/>
    <w:rsid w:val="00DE4BD7"/>
    <w:rsid w:val="00DE4CD1"/>
    <w:rsid w:val="00DE5CA0"/>
    <w:rsid w:val="00DE6292"/>
    <w:rsid w:val="00DE64D2"/>
    <w:rsid w:val="00DE65F8"/>
    <w:rsid w:val="00DE6718"/>
    <w:rsid w:val="00DE744D"/>
    <w:rsid w:val="00DE747A"/>
    <w:rsid w:val="00DE74A3"/>
    <w:rsid w:val="00DE7DF7"/>
    <w:rsid w:val="00DF06F5"/>
    <w:rsid w:val="00DF13E4"/>
    <w:rsid w:val="00DF142C"/>
    <w:rsid w:val="00DF1BD9"/>
    <w:rsid w:val="00DF2F06"/>
    <w:rsid w:val="00DF3B36"/>
    <w:rsid w:val="00DF3EFF"/>
    <w:rsid w:val="00DF42CA"/>
    <w:rsid w:val="00DF432E"/>
    <w:rsid w:val="00DF4605"/>
    <w:rsid w:val="00DF4634"/>
    <w:rsid w:val="00DF499A"/>
    <w:rsid w:val="00DF531B"/>
    <w:rsid w:val="00DF5596"/>
    <w:rsid w:val="00DF5B12"/>
    <w:rsid w:val="00DF72DD"/>
    <w:rsid w:val="00DF73C6"/>
    <w:rsid w:val="00DF7747"/>
    <w:rsid w:val="00DF7920"/>
    <w:rsid w:val="00E0006A"/>
    <w:rsid w:val="00E00299"/>
    <w:rsid w:val="00E00968"/>
    <w:rsid w:val="00E00A95"/>
    <w:rsid w:val="00E00DFD"/>
    <w:rsid w:val="00E010FA"/>
    <w:rsid w:val="00E013C8"/>
    <w:rsid w:val="00E01539"/>
    <w:rsid w:val="00E02497"/>
    <w:rsid w:val="00E025B9"/>
    <w:rsid w:val="00E0286F"/>
    <w:rsid w:val="00E02EC5"/>
    <w:rsid w:val="00E056FB"/>
    <w:rsid w:val="00E05A7F"/>
    <w:rsid w:val="00E05C09"/>
    <w:rsid w:val="00E05E2C"/>
    <w:rsid w:val="00E06329"/>
    <w:rsid w:val="00E06DAA"/>
    <w:rsid w:val="00E074C9"/>
    <w:rsid w:val="00E10E08"/>
    <w:rsid w:val="00E11158"/>
    <w:rsid w:val="00E11A68"/>
    <w:rsid w:val="00E11A78"/>
    <w:rsid w:val="00E121A8"/>
    <w:rsid w:val="00E12AAE"/>
    <w:rsid w:val="00E13078"/>
    <w:rsid w:val="00E13579"/>
    <w:rsid w:val="00E13653"/>
    <w:rsid w:val="00E13842"/>
    <w:rsid w:val="00E13CA9"/>
    <w:rsid w:val="00E142A7"/>
    <w:rsid w:val="00E1487E"/>
    <w:rsid w:val="00E14A86"/>
    <w:rsid w:val="00E15480"/>
    <w:rsid w:val="00E155D8"/>
    <w:rsid w:val="00E1584F"/>
    <w:rsid w:val="00E159CC"/>
    <w:rsid w:val="00E15C34"/>
    <w:rsid w:val="00E15E1F"/>
    <w:rsid w:val="00E16B7C"/>
    <w:rsid w:val="00E173C5"/>
    <w:rsid w:val="00E1784E"/>
    <w:rsid w:val="00E2053E"/>
    <w:rsid w:val="00E20966"/>
    <w:rsid w:val="00E2127B"/>
    <w:rsid w:val="00E217A4"/>
    <w:rsid w:val="00E217E5"/>
    <w:rsid w:val="00E21845"/>
    <w:rsid w:val="00E219B3"/>
    <w:rsid w:val="00E21B73"/>
    <w:rsid w:val="00E22262"/>
    <w:rsid w:val="00E222FA"/>
    <w:rsid w:val="00E22524"/>
    <w:rsid w:val="00E22EE3"/>
    <w:rsid w:val="00E23128"/>
    <w:rsid w:val="00E23531"/>
    <w:rsid w:val="00E238B3"/>
    <w:rsid w:val="00E23DE8"/>
    <w:rsid w:val="00E23FA4"/>
    <w:rsid w:val="00E244C4"/>
    <w:rsid w:val="00E249C1"/>
    <w:rsid w:val="00E2535A"/>
    <w:rsid w:val="00E25B82"/>
    <w:rsid w:val="00E25BD0"/>
    <w:rsid w:val="00E26749"/>
    <w:rsid w:val="00E26F3F"/>
    <w:rsid w:val="00E304FF"/>
    <w:rsid w:val="00E310B7"/>
    <w:rsid w:val="00E31106"/>
    <w:rsid w:val="00E315F8"/>
    <w:rsid w:val="00E32B86"/>
    <w:rsid w:val="00E3351D"/>
    <w:rsid w:val="00E3375A"/>
    <w:rsid w:val="00E33D5A"/>
    <w:rsid w:val="00E33FF4"/>
    <w:rsid w:val="00E34079"/>
    <w:rsid w:val="00E343AD"/>
    <w:rsid w:val="00E345A9"/>
    <w:rsid w:val="00E3581E"/>
    <w:rsid w:val="00E35CD4"/>
    <w:rsid w:val="00E36F96"/>
    <w:rsid w:val="00E37048"/>
    <w:rsid w:val="00E370A3"/>
    <w:rsid w:val="00E37394"/>
    <w:rsid w:val="00E406F4"/>
    <w:rsid w:val="00E4095D"/>
    <w:rsid w:val="00E40ADB"/>
    <w:rsid w:val="00E4192D"/>
    <w:rsid w:val="00E422AD"/>
    <w:rsid w:val="00E42711"/>
    <w:rsid w:val="00E43810"/>
    <w:rsid w:val="00E43DA6"/>
    <w:rsid w:val="00E4403C"/>
    <w:rsid w:val="00E44AAE"/>
    <w:rsid w:val="00E44C38"/>
    <w:rsid w:val="00E45609"/>
    <w:rsid w:val="00E45894"/>
    <w:rsid w:val="00E45D44"/>
    <w:rsid w:val="00E45E52"/>
    <w:rsid w:val="00E462F7"/>
    <w:rsid w:val="00E4630A"/>
    <w:rsid w:val="00E46809"/>
    <w:rsid w:val="00E46956"/>
    <w:rsid w:val="00E46BB4"/>
    <w:rsid w:val="00E46CE8"/>
    <w:rsid w:val="00E47D50"/>
    <w:rsid w:val="00E47E9D"/>
    <w:rsid w:val="00E47F26"/>
    <w:rsid w:val="00E5024A"/>
    <w:rsid w:val="00E50280"/>
    <w:rsid w:val="00E5037A"/>
    <w:rsid w:val="00E50655"/>
    <w:rsid w:val="00E52511"/>
    <w:rsid w:val="00E5272F"/>
    <w:rsid w:val="00E52A4C"/>
    <w:rsid w:val="00E52A6A"/>
    <w:rsid w:val="00E53741"/>
    <w:rsid w:val="00E5410D"/>
    <w:rsid w:val="00E54370"/>
    <w:rsid w:val="00E545A2"/>
    <w:rsid w:val="00E548B2"/>
    <w:rsid w:val="00E548C9"/>
    <w:rsid w:val="00E54E6D"/>
    <w:rsid w:val="00E5562E"/>
    <w:rsid w:val="00E5599E"/>
    <w:rsid w:val="00E55C85"/>
    <w:rsid w:val="00E5627D"/>
    <w:rsid w:val="00E5672D"/>
    <w:rsid w:val="00E5680C"/>
    <w:rsid w:val="00E569D1"/>
    <w:rsid w:val="00E56B8F"/>
    <w:rsid w:val="00E57846"/>
    <w:rsid w:val="00E60052"/>
    <w:rsid w:val="00E60106"/>
    <w:rsid w:val="00E61286"/>
    <w:rsid w:val="00E619EF"/>
    <w:rsid w:val="00E61CDC"/>
    <w:rsid w:val="00E62028"/>
    <w:rsid w:val="00E628A8"/>
    <w:rsid w:val="00E62942"/>
    <w:rsid w:val="00E62C88"/>
    <w:rsid w:val="00E63709"/>
    <w:rsid w:val="00E64DE7"/>
    <w:rsid w:val="00E65196"/>
    <w:rsid w:val="00E653B0"/>
    <w:rsid w:val="00E6564A"/>
    <w:rsid w:val="00E65BEF"/>
    <w:rsid w:val="00E65C98"/>
    <w:rsid w:val="00E662A8"/>
    <w:rsid w:val="00E6679A"/>
    <w:rsid w:val="00E6706D"/>
    <w:rsid w:val="00E6728D"/>
    <w:rsid w:val="00E70378"/>
    <w:rsid w:val="00E7113C"/>
    <w:rsid w:val="00E71292"/>
    <w:rsid w:val="00E72064"/>
    <w:rsid w:val="00E7278A"/>
    <w:rsid w:val="00E72A1D"/>
    <w:rsid w:val="00E72BAF"/>
    <w:rsid w:val="00E73407"/>
    <w:rsid w:val="00E736A2"/>
    <w:rsid w:val="00E7415A"/>
    <w:rsid w:val="00E74CD1"/>
    <w:rsid w:val="00E755E4"/>
    <w:rsid w:val="00E75BBE"/>
    <w:rsid w:val="00E75C36"/>
    <w:rsid w:val="00E770FD"/>
    <w:rsid w:val="00E77253"/>
    <w:rsid w:val="00E77398"/>
    <w:rsid w:val="00E77627"/>
    <w:rsid w:val="00E777D0"/>
    <w:rsid w:val="00E80858"/>
    <w:rsid w:val="00E80A11"/>
    <w:rsid w:val="00E81FDD"/>
    <w:rsid w:val="00E820F3"/>
    <w:rsid w:val="00E82750"/>
    <w:rsid w:val="00E82B2E"/>
    <w:rsid w:val="00E83574"/>
    <w:rsid w:val="00E835F6"/>
    <w:rsid w:val="00E83F9B"/>
    <w:rsid w:val="00E83FA4"/>
    <w:rsid w:val="00E841AF"/>
    <w:rsid w:val="00E8425F"/>
    <w:rsid w:val="00E8473F"/>
    <w:rsid w:val="00E84C14"/>
    <w:rsid w:val="00E850F2"/>
    <w:rsid w:val="00E86152"/>
    <w:rsid w:val="00E86FAC"/>
    <w:rsid w:val="00E87219"/>
    <w:rsid w:val="00E87277"/>
    <w:rsid w:val="00E8765F"/>
    <w:rsid w:val="00E87AE3"/>
    <w:rsid w:val="00E87CD4"/>
    <w:rsid w:val="00E87D15"/>
    <w:rsid w:val="00E90035"/>
    <w:rsid w:val="00E9016E"/>
    <w:rsid w:val="00E90CD7"/>
    <w:rsid w:val="00E90D69"/>
    <w:rsid w:val="00E9191A"/>
    <w:rsid w:val="00E91994"/>
    <w:rsid w:val="00E91B22"/>
    <w:rsid w:val="00E91D08"/>
    <w:rsid w:val="00E9287E"/>
    <w:rsid w:val="00E92E79"/>
    <w:rsid w:val="00E92EDB"/>
    <w:rsid w:val="00E930F0"/>
    <w:rsid w:val="00E93B21"/>
    <w:rsid w:val="00E93B8B"/>
    <w:rsid w:val="00E940A9"/>
    <w:rsid w:val="00E94C80"/>
    <w:rsid w:val="00E9568D"/>
    <w:rsid w:val="00E958D6"/>
    <w:rsid w:val="00E95CE8"/>
    <w:rsid w:val="00E964F4"/>
    <w:rsid w:val="00E97056"/>
    <w:rsid w:val="00E977A7"/>
    <w:rsid w:val="00E97986"/>
    <w:rsid w:val="00EA0594"/>
    <w:rsid w:val="00EA0B10"/>
    <w:rsid w:val="00EA0C4E"/>
    <w:rsid w:val="00EA0D1B"/>
    <w:rsid w:val="00EA1543"/>
    <w:rsid w:val="00EA1A09"/>
    <w:rsid w:val="00EA25DE"/>
    <w:rsid w:val="00EA27FA"/>
    <w:rsid w:val="00EA29C0"/>
    <w:rsid w:val="00EA2DA2"/>
    <w:rsid w:val="00EA3545"/>
    <w:rsid w:val="00EA36E4"/>
    <w:rsid w:val="00EA51C1"/>
    <w:rsid w:val="00EA53A1"/>
    <w:rsid w:val="00EA547D"/>
    <w:rsid w:val="00EA58BA"/>
    <w:rsid w:val="00EA5EE2"/>
    <w:rsid w:val="00EA67B6"/>
    <w:rsid w:val="00EA68A3"/>
    <w:rsid w:val="00EA6C25"/>
    <w:rsid w:val="00EA790D"/>
    <w:rsid w:val="00EA79CD"/>
    <w:rsid w:val="00EA7E5B"/>
    <w:rsid w:val="00EB0511"/>
    <w:rsid w:val="00EB06D2"/>
    <w:rsid w:val="00EB0751"/>
    <w:rsid w:val="00EB158D"/>
    <w:rsid w:val="00EB16FB"/>
    <w:rsid w:val="00EB1AB5"/>
    <w:rsid w:val="00EB1C49"/>
    <w:rsid w:val="00EB1D55"/>
    <w:rsid w:val="00EB1FB1"/>
    <w:rsid w:val="00EB2657"/>
    <w:rsid w:val="00EB2794"/>
    <w:rsid w:val="00EB28EC"/>
    <w:rsid w:val="00EB2CF1"/>
    <w:rsid w:val="00EB313A"/>
    <w:rsid w:val="00EB343B"/>
    <w:rsid w:val="00EB46C8"/>
    <w:rsid w:val="00EB49FC"/>
    <w:rsid w:val="00EB4A9E"/>
    <w:rsid w:val="00EB50B1"/>
    <w:rsid w:val="00EB52DD"/>
    <w:rsid w:val="00EB6372"/>
    <w:rsid w:val="00EB6DE8"/>
    <w:rsid w:val="00EB70B2"/>
    <w:rsid w:val="00EB7363"/>
    <w:rsid w:val="00EB7822"/>
    <w:rsid w:val="00EB7936"/>
    <w:rsid w:val="00EC0151"/>
    <w:rsid w:val="00EC01A6"/>
    <w:rsid w:val="00EC0380"/>
    <w:rsid w:val="00EC0EE1"/>
    <w:rsid w:val="00EC189C"/>
    <w:rsid w:val="00EC19BA"/>
    <w:rsid w:val="00EC1C17"/>
    <w:rsid w:val="00EC1E3E"/>
    <w:rsid w:val="00EC2294"/>
    <w:rsid w:val="00EC2D42"/>
    <w:rsid w:val="00EC2D79"/>
    <w:rsid w:val="00EC3030"/>
    <w:rsid w:val="00EC4FC0"/>
    <w:rsid w:val="00EC53CF"/>
    <w:rsid w:val="00EC5A8C"/>
    <w:rsid w:val="00EC6382"/>
    <w:rsid w:val="00EC6506"/>
    <w:rsid w:val="00EC655A"/>
    <w:rsid w:val="00EC65BE"/>
    <w:rsid w:val="00EC67FE"/>
    <w:rsid w:val="00EC6EE7"/>
    <w:rsid w:val="00EC70BC"/>
    <w:rsid w:val="00EC7877"/>
    <w:rsid w:val="00EC7A83"/>
    <w:rsid w:val="00ED003B"/>
    <w:rsid w:val="00ED1024"/>
    <w:rsid w:val="00ED105A"/>
    <w:rsid w:val="00ED1097"/>
    <w:rsid w:val="00ED164E"/>
    <w:rsid w:val="00ED1F70"/>
    <w:rsid w:val="00ED204B"/>
    <w:rsid w:val="00ED2AF5"/>
    <w:rsid w:val="00ED2D55"/>
    <w:rsid w:val="00ED32AF"/>
    <w:rsid w:val="00ED3DAA"/>
    <w:rsid w:val="00ED3FA7"/>
    <w:rsid w:val="00ED511D"/>
    <w:rsid w:val="00ED5E1E"/>
    <w:rsid w:val="00ED65B4"/>
    <w:rsid w:val="00ED66B2"/>
    <w:rsid w:val="00ED6706"/>
    <w:rsid w:val="00ED6A59"/>
    <w:rsid w:val="00ED6E39"/>
    <w:rsid w:val="00ED6FBB"/>
    <w:rsid w:val="00ED708A"/>
    <w:rsid w:val="00ED70FA"/>
    <w:rsid w:val="00ED7EF4"/>
    <w:rsid w:val="00EE0E7A"/>
    <w:rsid w:val="00EE0F2D"/>
    <w:rsid w:val="00EE0F65"/>
    <w:rsid w:val="00EE135F"/>
    <w:rsid w:val="00EE16A5"/>
    <w:rsid w:val="00EE176B"/>
    <w:rsid w:val="00EE18A6"/>
    <w:rsid w:val="00EE2F7E"/>
    <w:rsid w:val="00EE3292"/>
    <w:rsid w:val="00EE3589"/>
    <w:rsid w:val="00EE3BD0"/>
    <w:rsid w:val="00EE53C7"/>
    <w:rsid w:val="00EE6B89"/>
    <w:rsid w:val="00EE6CB2"/>
    <w:rsid w:val="00EE7581"/>
    <w:rsid w:val="00EE7BE3"/>
    <w:rsid w:val="00EE7FCE"/>
    <w:rsid w:val="00EF0241"/>
    <w:rsid w:val="00EF0713"/>
    <w:rsid w:val="00EF0AAA"/>
    <w:rsid w:val="00EF0AD9"/>
    <w:rsid w:val="00EF12E2"/>
    <w:rsid w:val="00EF16E1"/>
    <w:rsid w:val="00EF1F88"/>
    <w:rsid w:val="00EF2BFC"/>
    <w:rsid w:val="00EF365E"/>
    <w:rsid w:val="00EF39EB"/>
    <w:rsid w:val="00EF428B"/>
    <w:rsid w:val="00EF43A8"/>
    <w:rsid w:val="00EF538D"/>
    <w:rsid w:val="00EF571D"/>
    <w:rsid w:val="00EF586B"/>
    <w:rsid w:val="00EF594A"/>
    <w:rsid w:val="00EF5AAF"/>
    <w:rsid w:val="00EF5EEF"/>
    <w:rsid w:val="00EF73CF"/>
    <w:rsid w:val="00EF7B1B"/>
    <w:rsid w:val="00F000C9"/>
    <w:rsid w:val="00F0031D"/>
    <w:rsid w:val="00F003D7"/>
    <w:rsid w:val="00F0158F"/>
    <w:rsid w:val="00F01A07"/>
    <w:rsid w:val="00F027CF"/>
    <w:rsid w:val="00F03B1B"/>
    <w:rsid w:val="00F04423"/>
    <w:rsid w:val="00F045B7"/>
    <w:rsid w:val="00F04E79"/>
    <w:rsid w:val="00F0515D"/>
    <w:rsid w:val="00F0517A"/>
    <w:rsid w:val="00F05998"/>
    <w:rsid w:val="00F073F7"/>
    <w:rsid w:val="00F075B1"/>
    <w:rsid w:val="00F07F92"/>
    <w:rsid w:val="00F07FF9"/>
    <w:rsid w:val="00F1034F"/>
    <w:rsid w:val="00F105A8"/>
    <w:rsid w:val="00F10843"/>
    <w:rsid w:val="00F10BA2"/>
    <w:rsid w:val="00F10BC3"/>
    <w:rsid w:val="00F10C03"/>
    <w:rsid w:val="00F11215"/>
    <w:rsid w:val="00F113ED"/>
    <w:rsid w:val="00F11B79"/>
    <w:rsid w:val="00F11FA3"/>
    <w:rsid w:val="00F12420"/>
    <w:rsid w:val="00F130B8"/>
    <w:rsid w:val="00F13A56"/>
    <w:rsid w:val="00F13AA6"/>
    <w:rsid w:val="00F14B2C"/>
    <w:rsid w:val="00F154DB"/>
    <w:rsid w:val="00F15A5B"/>
    <w:rsid w:val="00F16E46"/>
    <w:rsid w:val="00F1719C"/>
    <w:rsid w:val="00F17320"/>
    <w:rsid w:val="00F173BE"/>
    <w:rsid w:val="00F173DF"/>
    <w:rsid w:val="00F173EF"/>
    <w:rsid w:val="00F17E11"/>
    <w:rsid w:val="00F17F76"/>
    <w:rsid w:val="00F207B3"/>
    <w:rsid w:val="00F20F8F"/>
    <w:rsid w:val="00F21103"/>
    <w:rsid w:val="00F21276"/>
    <w:rsid w:val="00F21598"/>
    <w:rsid w:val="00F21A6C"/>
    <w:rsid w:val="00F2240B"/>
    <w:rsid w:val="00F22A9C"/>
    <w:rsid w:val="00F23424"/>
    <w:rsid w:val="00F2363F"/>
    <w:rsid w:val="00F23823"/>
    <w:rsid w:val="00F23902"/>
    <w:rsid w:val="00F239D3"/>
    <w:rsid w:val="00F23F5B"/>
    <w:rsid w:val="00F24630"/>
    <w:rsid w:val="00F24D5C"/>
    <w:rsid w:val="00F260DE"/>
    <w:rsid w:val="00F262F0"/>
    <w:rsid w:val="00F2655B"/>
    <w:rsid w:val="00F267BC"/>
    <w:rsid w:val="00F26C77"/>
    <w:rsid w:val="00F26F36"/>
    <w:rsid w:val="00F26FFF"/>
    <w:rsid w:val="00F275F1"/>
    <w:rsid w:val="00F302F3"/>
    <w:rsid w:val="00F3074A"/>
    <w:rsid w:val="00F31255"/>
    <w:rsid w:val="00F31CAC"/>
    <w:rsid w:val="00F31E1D"/>
    <w:rsid w:val="00F326D0"/>
    <w:rsid w:val="00F330B6"/>
    <w:rsid w:val="00F33262"/>
    <w:rsid w:val="00F33437"/>
    <w:rsid w:val="00F3352C"/>
    <w:rsid w:val="00F335AD"/>
    <w:rsid w:val="00F33977"/>
    <w:rsid w:val="00F33B79"/>
    <w:rsid w:val="00F33C99"/>
    <w:rsid w:val="00F3413F"/>
    <w:rsid w:val="00F34683"/>
    <w:rsid w:val="00F34E95"/>
    <w:rsid w:val="00F350BD"/>
    <w:rsid w:val="00F3510A"/>
    <w:rsid w:val="00F354D8"/>
    <w:rsid w:val="00F35C57"/>
    <w:rsid w:val="00F35CB1"/>
    <w:rsid w:val="00F3655D"/>
    <w:rsid w:val="00F36D81"/>
    <w:rsid w:val="00F36F21"/>
    <w:rsid w:val="00F3791C"/>
    <w:rsid w:val="00F37BA0"/>
    <w:rsid w:val="00F402D2"/>
    <w:rsid w:val="00F410C5"/>
    <w:rsid w:val="00F4183E"/>
    <w:rsid w:val="00F41BD1"/>
    <w:rsid w:val="00F42718"/>
    <w:rsid w:val="00F4326A"/>
    <w:rsid w:val="00F43EF1"/>
    <w:rsid w:val="00F44399"/>
    <w:rsid w:val="00F44626"/>
    <w:rsid w:val="00F45E6C"/>
    <w:rsid w:val="00F45F06"/>
    <w:rsid w:val="00F4652C"/>
    <w:rsid w:val="00F46C1C"/>
    <w:rsid w:val="00F470BB"/>
    <w:rsid w:val="00F4725C"/>
    <w:rsid w:val="00F4751A"/>
    <w:rsid w:val="00F47A38"/>
    <w:rsid w:val="00F47D06"/>
    <w:rsid w:val="00F50C84"/>
    <w:rsid w:val="00F51044"/>
    <w:rsid w:val="00F51568"/>
    <w:rsid w:val="00F525E1"/>
    <w:rsid w:val="00F527D6"/>
    <w:rsid w:val="00F527E0"/>
    <w:rsid w:val="00F53388"/>
    <w:rsid w:val="00F53BB4"/>
    <w:rsid w:val="00F53C5A"/>
    <w:rsid w:val="00F546C1"/>
    <w:rsid w:val="00F55D68"/>
    <w:rsid w:val="00F55EC8"/>
    <w:rsid w:val="00F5669D"/>
    <w:rsid w:val="00F56F7B"/>
    <w:rsid w:val="00F60E6E"/>
    <w:rsid w:val="00F60F72"/>
    <w:rsid w:val="00F6337A"/>
    <w:rsid w:val="00F634B3"/>
    <w:rsid w:val="00F63B3C"/>
    <w:rsid w:val="00F63F96"/>
    <w:rsid w:val="00F6428F"/>
    <w:rsid w:val="00F6529C"/>
    <w:rsid w:val="00F6657E"/>
    <w:rsid w:val="00F673A9"/>
    <w:rsid w:val="00F676A0"/>
    <w:rsid w:val="00F67B8B"/>
    <w:rsid w:val="00F67CD6"/>
    <w:rsid w:val="00F67E88"/>
    <w:rsid w:val="00F707C4"/>
    <w:rsid w:val="00F707FE"/>
    <w:rsid w:val="00F7094B"/>
    <w:rsid w:val="00F70DED"/>
    <w:rsid w:val="00F71196"/>
    <w:rsid w:val="00F722D0"/>
    <w:rsid w:val="00F72649"/>
    <w:rsid w:val="00F7289D"/>
    <w:rsid w:val="00F7351B"/>
    <w:rsid w:val="00F73704"/>
    <w:rsid w:val="00F7448E"/>
    <w:rsid w:val="00F7449E"/>
    <w:rsid w:val="00F74782"/>
    <w:rsid w:val="00F7499A"/>
    <w:rsid w:val="00F7530E"/>
    <w:rsid w:val="00F75752"/>
    <w:rsid w:val="00F75F2B"/>
    <w:rsid w:val="00F75FC8"/>
    <w:rsid w:val="00F767DE"/>
    <w:rsid w:val="00F76CAB"/>
    <w:rsid w:val="00F76D98"/>
    <w:rsid w:val="00F7766B"/>
    <w:rsid w:val="00F80101"/>
    <w:rsid w:val="00F80DB7"/>
    <w:rsid w:val="00F812B6"/>
    <w:rsid w:val="00F8143C"/>
    <w:rsid w:val="00F815BA"/>
    <w:rsid w:val="00F81636"/>
    <w:rsid w:val="00F81AD4"/>
    <w:rsid w:val="00F81B4E"/>
    <w:rsid w:val="00F81B76"/>
    <w:rsid w:val="00F81C5B"/>
    <w:rsid w:val="00F821BF"/>
    <w:rsid w:val="00F82616"/>
    <w:rsid w:val="00F8264D"/>
    <w:rsid w:val="00F829C8"/>
    <w:rsid w:val="00F82E06"/>
    <w:rsid w:val="00F834A3"/>
    <w:rsid w:val="00F83515"/>
    <w:rsid w:val="00F83834"/>
    <w:rsid w:val="00F83BCA"/>
    <w:rsid w:val="00F83C53"/>
    <w:rsid w:val="00F8496D"/>
    <w:rsid w:val="00F84FD0"/>
    <w:rsid w:val="00F850AA"/>
    <w:rsid w:val="00F8575A"/>
    <w:rsid w:val="00F86290"/>
    <w:rsid w:val="00F8665F"/>
    <w:rsid w:val="00F869DE"/>
    <w:rsid w:val="00F878B5"/>
    <w:rsid w:val="00F87A71"/>
    <w:rsid w:val="00F901CB"/>
    <w:rsid w:val="00F90A2E"/>
    <w:rsid w:val="00F90F20"/>
    <w:rsid w:val="00F912DE"/>
    <w:rsid w:val="00F91873"/>
    <w:rsid w:val="00F91905"/>
    <w:rsid w:val="00F91BAC"/>
    <w:rsid w:val="00F923AB"/>
    <w:rsid w:val="00F924D9"/>
    <w:rsid w:val="00F92998"/>
    <w:rsid w:val="00F939B4"/>
    <w:rsid w:val="00F93AE8"/>
    <w:rsid w:val="00F93CDD"/>
    <w:rsid w:val="00F93F73"/>
    <w:rsid w:val="00F94403"/>
    <w:rsid w:val="00F9444E"/>
    <w:rsid w:val="00F9455C"/>
    <w:rsid w:val="00F9479A"/>
    <w:rsid w:val="00F95104"/>
    <w:rsid w:val="00F9538E"/>
    <w:rsid w:val="00F9646B"/>
    <w:rsid w:val="00F966BA"/>
    <w:rsid w:val="00F9717E"/>
    <w:rsid w:val="00F97252"/>
    <w:rsid w:val="00F973F6"/>
    <w:rsid w:val="00F975BA"/>
    <w:rsid w:val="00F977E8"/>
    <w:rsid w:val="00F97947"/>
    <w:rsid w:val="00F979E2"/>
    <w:rsid w:val="00F97F2A"/>
    <w:rsid w:val="00F97FCB"/>
    <w:rsid w:val="00FA0CE8"/>
    <w:rsid w:val="00FA1B57"/>
    <w:rsid w:val="00FA268F"/>
    <w:rsid w:val="00FA2C36"/>
    <w:rsid w:val="00FA2C69"/>
    <w:rsid w:val="00FA32E2"/>
    <w:rsid w:val="00FA3B32"/>
    <w:rsid w:val="00FA40BA"/>
    <w:rsid w:val="00FA4415"/>
    <w:rsid w:val="00FA4BCC"/>
    <w:rsid w:val="00FA5892"/>
    <w:rsid w:val="00FA6400"/>
    <w:rsid w:val="00FA643B"/>
    <w:rsid w:val="00FA66D6"/>
    <w:rsid w:val="00FA6A0B"/>
    <w:rsid w:val="00FA6C8C"/>
    <w:rsid w:val="00FA6D8E"/>
    <w:rsid w:val="00FA7255"/>
    <w:rsid w:val="00FA769F"/>
    <w:rsid w:val="00FA7944"/>
    <w:rsid w:val="00FA7A0E"/>
    <w:rsid w:val="00FB02E8"/>
    <w:rsid w:val="00FB0582"/>
    <w:rsid w:val="00FB0AA8"/>
    <w:rsid w:val="00FB0B84"/>
    <w:rsid w:val="00FB0BCB"/>
    <w:rsid w:val="00FB164A"/>
    <w:rsid w:val="00FB16A9"/>
    <w:rsid w:val="00FB2EFC"/>
    <w:rsid w:val="00FB3006"/>
    <w:rsid w:val="00FB305F"/>
    <w:rsid w:val="00FB357B"/>
    <w:rsid w:val="00FB396D"/>
    <w:rsid w:val="00FB4042"/>
    <w:rsid w:val="00FB4D08"/>
    <w:rsid w:val="00FB4F79"/>
    <w:rsid w:val="00FB5415"/>
    <w:rsid w:val="00FB59F4"/>
    <w:rsid w:val="00FB5B17"/>
    <w:rsid w:val="00FB66A3"/>
    <w:rsid w:val="00FB6BEB"/>
    <w:rsid w:val="00FB6BEC"/>
    <w:rsid w:val="00FB72A5"/>
    <w:rsid w:val="00FB7FB4"/>
    <w:rsid w:val="00FB7FD8"/>
    <w:rsid w:val="00FC03C8"/>
    <w:rsid w:val="00FC0614"/>
    <w:rsid w:val="00FC0623"/>
    <w:rsid w:val="00FC0A94"/>
    <w:rsid w:val="00FC0B24"/>
    <w:rsid w:val="00FC0BB5"/>
    <w:rsid w:val="00FC0F9A"/>
    <w:rsid w:val="00FC157C"/>
    <w:rsid w:val="00FC1A7C"/>
    <w:rsid w:val="00FC1E9E"/>
    <w:rsid w:val="00FC254C"/>
    <w:rsid w:val="00FC2A6F"/>
    <w:rsid w:val="00FC2A87"/>
    <w:rsid w:val="00FC2C90"/>
    <w:rsid w:val="00FC2E99"/>
    <w:rsid w:val="00FC31F4"/>
    <w:rsid w:val="00FC33F5"/>
    <w:rsid w:val="00FC34C3"/>
    <w:rsid w:val="00FC3BC5"/>
    <w:rsid w:val="00FC3C6A"/>
    <w:rsid w:val="00FC4273"/>
    <w:rsid w:val="00FC4377"/>
    <w:rsid w:val="00FC4970"/>
    <w:rsid w:val="00FC524F"/>
    <w:rsid w:val="00FC5747"/>
    <w:rsid w:val="00FC57DF"/>
    <w:rsid w:val="00FC61B4"/>
    <w:rsid w:val="00FC6A8E"/>
    <w:rsid w:val="00FC6ED8"/>
    <w:rsid w:val="00FC6EF0"/>
    <w:rsid w:val="00FC729C"/>
    <w:rsid w:val="00FC761F"/>
    <w:rsid w:val="00FC781A"/>
    <w:rsid w:val="00FC7A1A"/>
    <w:rsid w:val="00FC7F46"/>
    <w:rsid w:val="00FD03B4"/>
    <w:rsid w:val="00FD03EB"/>
    <w:rsid w:val="00FD06AE"/>
    <w:rsid w:val="00FD07B5"/>
    <w:rsid w:val="00FD17EA"/>
    <w:rsid w:val="00FD1977"/>
    <w:rsid w:val="00FD1E54"/>
    <w:rsid w:val="00FD2097"/>
    <w:rsid w:val="00FD237B"/>
    <w:rsid w:val="00FD27F7"/>
    <w:rsid w:val="00FD2955"/>
    <w:rsid w:val="00FD3035"/>
    <w:rsid w:val="00FD306B"/>
    <w:rsid w:val="00FD37FF"/>
    <w:rsid w:val="00FD43BE"/>
    <w:rsid w:val="00FD4524"/>
    <w:rsid w:val="00FD49FE"/>
    <w:rsid w:val="00FD4A89"/>
    <w:rsid w:val="00FD4DD1"/>
    <w:rsid w:val="00FD4F46"/>
    <w:rsid w:val="00FD51F2"/>
    <w:rsid w:val="00FD5C40"/>
    <w:rsid w:val="00FD5C85"/>
    <w:rsid w:val="00FD632F"/>
    <w:rsid w:val="00FD6377"/>
    <w:rsid w:val="00FD6421"/>
    <w:rsid w:val="00FD6666"/>
    <w:rsid w:val="00FD7AAE"/>
    <w:rsid w:val="00FE00FE"/>
    <w:rsid w:val="00FE059F"/>
    <w:rsid w:val="00FE084B"/>
    <w:rsid w:val="00FE0B74"/>
    <w:rsid w:val="00FE1446"/>
    <w:rsid w:val="00FE1A18"/>
    <w:rsid w:val="00FE2B39"/>
    <w:rsid w:val="00FE2D61"/>
    <w:rsid w:val="00FE3111"/>
    <w:rsid w:val="00FE3FAB"/>
    <w:rsid w:val="00FE4938"/>
    <w:rsid w:val="00FE4CCC"/>
    <w:rsid w:val="00FE5087"/>
    <w:rsid w:val="00FE5210"/>
    <w:rsid w:val="00FE5448"/>
    <w:rsid w:val="00FE552A"/>
    <w:rsid w:val="00FE5589"/>
    <w:rsid w:val="00FE571E"/>
    <w:rsid w:val="00FE5805"/>
    <w:rsid w:val="00FE60E9"/>
    <w:rsid w:val="00FE68F3"/>
    <w:rsid w:val="00FE69E2"/>
    <w:rsid w:val="00FE6C3E"/>
    <w:rsid w:val="00FE7368"/>
    <w:rsid w:val="00FE7706"/>
    <w:rsid w:val="00FE77B9"/>
    <w:rsid w:val="00FE77C9"/>
    <w:rsid w:val="00FE7A7F"/>
    <w:rsid w:val="00FE7FD1"/>
    <w:rsid w:val="00FF0386"/>
    <w:rsid w:val="00FF05A0"/>
    <w:rsid w:val="00FF1064"/>
    <w:rsid w:val="00FF1674"/>
    <w:rsid w:val="00FF19FE"/>
    <w:rsid w:val="00FF1A5B"/>
    <w:rsid w:val="00FF23F6"/>
    <w:rsid w:val="00FF278A"/>
    <w:rsid w:val="00FF2855"/>
    <w:rsid w:val="00FF38A4"/>
    <w:rsid w:val="00FF3C41"/>
    <w:rsid w:val="00FF581E"/>
    <w:rsid w:val="00FF5901"/>
    <w:rsid w:val="00FF622C"/>
    <w:rsid w:val="00FF6294"/>
    <w:rsid w:val="00FF65B5"/>
    <w:rsid w:val="00FF6A42"/>
    <w:rsid w:val="00FF6C9C"/>
    <w:rsid w:val="00FF748B"/>
    <w:rsid w:val="00FF74AC"/>
    <w:rsid w:val="00FF7779"/>
    <w:rsid w:val="00FF7E3D"/>
    <w:rsid w:val="13AA5AD0"/>
    <w:rsid w:val="14B464B0"/>
    <w:rsid w:val="2D0E06C0"/>
    <w:rsid w:val="2E434167"/>
    <w:rsid w:val="3A55468D"/>
    <w:rsid w:val="433547B1"/>
    <w:rsid w:val="6F73378D"/>
  </w:rsids>
  <m:mathPr>
    <m:mathFont m:val="Cambria Math"/>
    <m:brkBin m:val="before"/>
    <m:brkBinSub m:val="--"/>
    <m:smallFrac m:val="0"/>
    <m:dispDef/>
    <m:lMargin m:val="0"/>
    <m:rMargin m:val="0"/>
    <m:defJc m:val="centerGroup"/>
    <m:wrapIndent m:val="1440"/>
    <m:intLim m:val="subSup"/>
    <m:naryLim m:val="undOvr"/>
  </m:mathPr>
  <w:themeFontLang w:val="sr-Latn-ME"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70930421"/>
  <w15:docId w15:val="{370D7FF0-A4A9-4427-9106-E9EAEF8918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qFormat="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88" w:lineRule="auto"/>
    </w:pPr>
    <w:rPr>
      <w:sz w:val="21"/>
      <w:szCs w:val="21"/>
      <w:lang w:val="sr-Latn-ME"/>
    </w:rPr>
  </w:style>
  <w:style w:type="paragraph" w:styleId="Heading1">
    <w:name w:val="heading 1"/>
    <w:basedOn w:val="Normal"/>
    <w:next w:val="Normal"/>
    <w:link w:val="Heading1Char"/>
    <w:uiPriority w:val="9"/>
    <w:qFormat/>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Heading2">
    <w:name w:val="heading 2"/>
    <w:basedOn w:val="Normal"/>
    <w:next w:val="Normal"/>
    <w:link w:val="Heading2Char"/>
    <w:uiPriority w:val="9"/>
    <w:semiHidden/>
    <w:unhideWhenUsed/>
    <w:qFormat/>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Heading3">
    <w:name w:val="heading 3"/>
    <w:basedOn w:val="Normal"/>
    <w:next w:val="Normal"/>
    <w:link w:val="Heading3Char"/>
    <w:uiPriority w:val="9"/>
    <w:semiHidden/>
    <w:unhideWhenUsed/>
    <w:qFormat/>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Heading4">
    <w:name w:val="heading 4"/>
    <w:basedOn w:val="Normal"/>
    <w:next w:val="Normal"/>
    <w:link w:val="Heading4Char"/>
    <w:uiPriority w:val="9"/>
    <w:semiHidden/>
    <w:unhideWhenUsed/>
    <w:qFormat/>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Heading6">
    <w:name w:val="heading 6"/>
    <w:basedOn w:val="Normal"/>
    <w:next w:val="Normal"/>
    <w:link w:val="Heading6Char"/>
    <w:uiPriority w:val="9"/>
    <w:semiHidden/>
    <w:unhideWhenUsed/>
    <w:qFormat/>
    <w:pPr>
      <w:keepNext/>
      <w:keepLines/>
      <w:spacing w:before="40" w:after="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pPr>
      <w:keepNext/>
      <w:keepLines/>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Segoe UI" w:hAnsi="Segoe UI" w:cs="Segoe UI"/>
      <w:sz w:val="18"/>
      <w:szCs w:val="18"/>
    </w:rPr>
  </w:style>
  <w:style w:type="paragraph" w:styleId="Caption">
    <w:name w:val="caption"/>
    <w:basedOn w:val="Normal"/>
    <w:next w:val="Normal"/>
    <w:uiPriority w:val="35"/>
    <w:semiHidden/>
    <w:unhideWhenUsed/>
    <w:qFormat/>
    <w:pPr>
      <w:spacing w:line="240" w:lineRule="auto"/>
    </w:pPr>
    <w:rPr>
      <w:b/>
      <w:bCs/>
      <w:smallCaps/>
      <w:color w:val="595959" w:themeColor="text1" w:themeTint="A6"/>
    </w:r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unhideWhenUsed/>
    <w:qFormat/>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styleId="Emphasis">
    <w:name w:val="Emphasis"/>
    <w:basedOn w:val="DefaultParagraphFont"/>
    <w:uiPriority w:val="20"/>
    <w:qFormat/>
    <w:rPr>
      <w:i/>
      <w:iCs/>
      <w:color w:val="70AD47" w:themeColor="accent6"/>
    </w:rPr>
  </w:style>
  <w:style w:type="paragraph" w:styleId="Footer">
    <w:name w:val="footer"/>
    <w:basedOn w:val="Normal"/>
    <w:link w:val="FooterChar"/>
    <w:uiPriority w:val="99"/>
    <w:unhideWhenUsed/>
    <w:qFormat/>
    <w:pPr>
      <w:tabs>
        <w:tab w:val="center" w:pos="4536"/>
        <w:tab w:val="right" w:pos="9072"/>
      </w:tabs>
      <w:spacing w:after="0" w:line="240" w:lineRule="auto"/>
    </w:pPr>
  </w:style>
  <w:style w:type="paragraph" w:styleId="FootnoteText">
    <w:name w:val="footnote text"/>
    <w:basedOn w:val="Normal"/>
    <w:link w:val="FootnoteTextChar"/>
    <w:uiPriority w:val="99"/>
    <w:unhideWhenUsed/>
    <w:qFormat/>
    <w:pPr>
      <w:spacing w:after="0" w:line="240" w:lineRule="auto"/>
    </w:pPr>
    <w:rPr>
      <w:rFonts w:cs="Times New Roman"/>
      <w:sz w:val="20"/>
      <w:szCs w:val="20"/>
      <w:lang w:val="en-US"/>
    </w:rPr>
  </w:style>
  <w:style w:type="paragraph" w:styleId="Header">
    <w:name w:val="header"/>
    <w:basedOn w:val="Normal"/>
    <w:link w:val="HeaderChar"/>
    <w:uiPriority w:val="99"/>
    <w:unhideWhenUsed/>
    <w:qFormat/>
    <w:pPr>
      <w:tabs>
        <w:tab w:val="center" w:pos="4536"/>
        <w:tab w:val="right" w:pos="9072"/>
      </w:tabs>
      <w:spacing w:after="0" w:line="240" w:lineRule="auto"/>
    </w:pPr>
  </w:style>
  <w:style w:type="paragraph" w:styleId="HTMLPreformatted">
    <w:name w:val="HTML Preformatted"/>
    <w:basedOn w:val="Normal"/>
    <w:link w:val="HTMLPreformattedChar"/>
    <w:uiPriority w:val="99"/>
    <w:semiHidden/>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styleId="Hyperlink">
    <w:name w:val="Hyperlink"/>
    <w:basedOn w:val="DefaultParagraphFont"/>
    <w:uiPriority w:val="99"/>
    <w:unhideWhenUsed/>
    <w:qFormat/>
    <w:rPr>
      <w:color w:val="0563C1" w:themeColor="hyperlink"/>
      <w:u w:val="single"/>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Pr>
      <w:b/>
      <w:bCs/>
    </w:rPr>
  </w:style>
  <w:style w:type="paragraph" w:styleId="Subtitle">
    <w:name w:val="Subtitle"/>
    <w:basedOn w:val="Normal"/>
    <w:next w:val="Normal"/>
    <w:link w:val="SubtitleChar"/>
    <w:uiPriority w:val="11"/>
    <w:qFormat/>
    <w:pPr>
      <w:spacing w:line="240" w:lineRule="auto"/>
    </w:pPr>
    <w:rPr>
      <w:rFonts w:asciiTheme="majorHAnsi" w:eastAsiaTheme="majorEastAsia" w:hAnsiTheme="majorHAnsi" w:cstheme="majorBidi"/>
      <w:sz w:val="30"/>
      <w:szCs w:val="30"/>
    </w:rPr>
  </w:style>
  <w:style w:type="table" w:styleId="TableGrid">
    <w:name w:val="Table Grid"/>
    <w:basedOn w:val="TableNormal"/>
    <w:uiPriority w:val="39"/>
    <w:qFormat/>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table" w:styleId="LightShading-Accent1">
    <w:name w:val="Light Shading Accent 1"/>
    <w:basedOn w:val="TableNormal"/>
    <w:uiPriority w:val="60"/>
    <w:qFormat/>
    <w:rPr>
      <w:color w:val="2F5496" w:themeColor="accent1" w:themeShade="BF"/>
      <w:sz w:val="22"/>
      <w:szCs w:val="22"/>
    </w:rPr>
    <w:tblPr>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customStyle="1" w:styleId="HeaderChar">
    <w:name w:val="Header Char"/>
    <w:basedOn w:val="DefaultParagraphFont"/>
    <w:link w:val="Header"/>
    <w:uiPriority w:val="99"/>
    <w:qFormat/>
    <w:rPr>
      <w:kern w:val="0"/>
      <w:lang w:val="en-US"/>
      <w14:ligatures w14:val="none"/>
    </w:rPr>
  </w:style>
  <w:style w:type="character" w:customStyle="1" w:styleId="FooterChar">
    <w:name w:val="Footer Char"/>
    <w:basedOn w:val="DefaultParagraphFont"/>
    <w:link w:val="Footer"/>
    <w:uiPriority w:val="99"/>
    <w:qFormat/>
    <w:rPr>
      <w:kern w:val="0"/>
      <w:lang w:val="en-US"/>
      <w14:ligatures w14:val="none"/>
    </w:rPr>
  </w:style>
  <w:style w:type="paragraph" w:customStyle="1" w:styleId="teza1">
    <w:name w:val="teza 1"/>
    <w:basedOn w:val="Heading1"/>
    <w:link w:val="teza1Char"/>
    <w:pPr>
      <w:keepNext w:val="0"/>
      <w:keepLines w:val="0"/>
      <w:widowControl w:val="0"/>
      <w:autoSpaceDE w:val="0"/>
      <w:autoSpaceDN w:val="0"/>
      <w:spacing w:after="360" w:line="360" w:lineRule="auto"/>
      <w:ind w:right="147"/>
      <w:jc w:val="right"/>
    </w:pPr>
    <w:rPr>
      <w:rFonts w:ascii="Segoe UI" w:eastAsia="Calibri" w:hAnsi="Segoe UI" w:cs="Segoe UI"/>
      <w:b/>
      <w:bCs/>
      <w:szCs w:val="24"/>
    </w:rPr>
  </w:style>
  <w:style w:type="character" w:customStyle="1" w:styleId="teza1Char">
    <w:name w:val="teza 1 Char"/>
    <w:basedOn w:val="DefaultParagraphFont"/>
    <w:link w:val="teza1"/>
    <w:qFormat/>
    <w:rPr>
      <w:rFonts w:ascii="Segoe UI" w:eastAsia="Calibri" w:hAnsi="Segoe UI" w:cs="Segoe UI"/>
      <w:b/>
      <w:bCs/>
      <w:color w:val="2F5496" w:themeColor="accent1" w:themeShade="BF"/>
      <w:kern w:val="0"/>
      <w:sz w:val="32"/>
      <w:szCs w:val="24"/>
      <w:lang w:val="en-US"/>
      <w14:ligatures w14:val="none"/>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538135" w:themeColor="accent6" w:themeShade="BF"/>
      <w:sz w:val="40"/>
      <w:szCs w:val="40"/>
    </w:rPr>
  </w:style>
  <w:style w:type="paragraph" w:styleId="ListParagraph">
    <w:name w:val="List Paragraph"/>
    <w:basedOn w:val="Normal"/>
    <w:uiPriority w:val="34"/>
    <w:qFormat/>
    <w:pPr>
      <w:ind w:left="720"/>
      <w:contextualSpacing/>
    </w:pPr>
  </w:style>
  <w:style w:type="character" w:customStyle="1" w:styleId="Heading2Char">
    <w:name w:val="Heading 2 Char"/>
    <w:basedOn w:val="DefaultParagraphFont"/>
    <w:link w:val="Heading2"/>
    <w:uiPriority w:val="9"/>
    <w:semiHidden/>
    <w:qFormat/>
    <w:rPr>
      <w:rFonts w:asciiTheme="majorHAnsi" w:eastAsiaTheme="majorEastAsia" w:hAnsiTheme="majorHAnsi" w:cstheme="majorBidi"/>
      <w:color w:val="538135" w:themeColor="accent6" w:themeShade="BF"/>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538135" w:themeColor="accent6" w:themeShade="BF"/>
      <w:sz w:val="24"/>
      <w:szCs w:val="24"/>
    </w:rPr>
  </w:style>
  <w:style w:type="character" w:customStyle="1" w:styleId="Heading4Char">
    <w:name w:val="Heading 4 Char"/>
    <w:basedOn w:val="DefaultParagraphFont"/>
    <w:link w:val="Heading4"/>
    <w:uiPriority w:val="9"/>
    <w:semiHidden/>
    <w:qFormat/>
    <w:rPr>
      <w:rFonts w:asciiTheme="majorHAnsi" w:eastAsiaTheme="majorEastAsia" w:hAnsiTheme="majorHAnsi" w:cstheme="majorBidi"/>
      <w:color w:val="70AD47" w:themeColor="accent6"/>
      <w:sz w:val="22"/>
      <w:szCs w:val="22"/>
    </w:rPr>
  </w:style>
  <w:style w:type="character" w:customStyle="1" w:styleId="Heading5Char">
    <w:name w:val="Heading 5 Char"/>
    <w:basedOn w:val="DefaultParagraphFont"/>
    <w:link w:val="Heading5"/>
    <w:uiPriority w:val="9"/>
    <w:semiHidden/>
    <w:qFormat/>
    <w:rPr>
      <w:rFonts w:asciiTheme="majorHAnsi" w:eastAsiaTheme="majorEastAsia" w:hAnsiTheme="majorHAnsi" w:cstheme="majorBidi"/>
      <w:i/>
      <w:iCs/>
      <w:color w:val="70AD47" w:themeColor="accent6"/>
      <w:sz w:val="22"/>
      <w:szCs w:val="22"/>
    </w:rPr>
  </w:style>
  <w:style w:type="character" w:customStyle="1" w:styleId="Heading6Char">
    <w:name w:val="Heading 6 Char"/>
    <w:basedOn w:val="DefaultParagraphFont"/>
    <w:link w:val="Heading6"/>
    <w:uiPriority w:val="9"/>
    <w:semiHidden/>
    <w:qFormat/>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qFormat/>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qFormat/>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qFormat/>
    <w:rPr>
      <w:rFonts w:asciiTheme="majorHAnsi" w:eastAsiaTheme="majorEastAsia" w:hAnsiTheme="majorHAnsi" w:cstheme="majorBidi"/>
      <w:i/>
      <w:iCs/>
      <w:color w:val="70AD47" w:themeColor="accent6"/>
      <w:sz w:val="20"/>
      <w:szCs w:val="20"/>
    </w:rPr>
  </w:style>
  <w:style w:type="character" w:customStyle="1" w:styleId="TitleChar">
    <w:name w:val="Title Char"/>
    <w:basedOn w:val="DefaultParagraphFont"/>
    <w:link w:val="Title"/>
    <w:uiPriority w:val="10"/>
    <w:qFormat/>
    <w:rPr>
      <w:rFonts w:asciiTheme="majorHAnsi" w:eastAsiaTheme="majorEastAsia" w:hAnsiTheme="majorHAnsi" w:cstheme="majorBidi"/>
      <w:color w:val="262626" w:themeColor="text1" w:themeTint="D9"/>
      <w:spacing w:val="-15"/>
      <w:sz w:val="96"/>
      <w:szCs w:val="96"/>
    </w:rPr>
  </w:style>
  <w:style w:type="character" w:customStyle="1" w:styleId="SubtitleChar">
    <w:name w:val="Subtitle Char"/>
    <w:basedOn w:val="DefaultParagraphFont"/>
    <w:link w:val="Subtitle"/>
    <w:uiPriority w:val="11"/>
    <w:qFormat/>
    <w:rPr>
      <w:rFonts w:asciiTheme="majorHAnsi" w:eastAsiaTheme="majorEastAsia" w:hAnsiTheme="majorHAnsi" w:cstheme="majorBidi"/>
      <w:sz w:val="30"/>
      <w:szCs w:val="30"/>
    </w:rPr>
  </w:style>
  <w:style w:type="paragraph" w:styleId="NoSpacing">
    <w:name w:val="No Spacing"/>
    <w:uiPriority w:val="1"/>
    <w:qFormat/>
    <w:rPr>
      <w:sz w:val="21"/>
      <w:szCs w:val="21"/>
      <w:lang w:val="sr-Latn-ME"/>
    </w:rPr>
  </w:style>
  <w:style w:type="paragraph" w:styleId="Quote">
    <w:name w:val="Quote"/>
    <w:basedOn w:val="Normal"/>
    <w:next w:val="Normal"/>
    <w:link w:val="QuoteChar"/>
    <w:uiPriority w:val="29"/>
    <w:qFormat/>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qFormat/>
    <w:rPr>
      <w:i/>
      <w:iCs/>
      <w:color w:val="262626" w:themeColor="text1" w:themeTint="D9"/>
    </w:rPr>
  </w:style>
  <w:style w:type="paragraph" w:styleId="IntenseQuote">
    <w:name w:val="Intense Quote"/>
    <w:basedOn w:val="Normal"/>
    <w:next w:val="Normal"/>
    <w:link w:val="IntenseQuoteChar"/>
    <w:uiPriority w:val="30"/>
    <w:qFormat/>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qFormat/>
    <w:rPr>
      <w:rFonts w:asciiTheme="majorHAnsi" w:eastAsiaTheme="majorEastAsia" w:hAnsiTheme="majorHAnsi" w:cstheme="majorBidi"/>
      <w:i/>
      <w:iCs/>
      <w:color w:val="70AD47" w:themeColor="accent6"/>
      <w:sz w:val="32"/>
      <w:szCs w:val="32"/>
    </w:rPr>
  </w:style>
  <w:style w:type="character" w:customStyle="1" w:styleId="SubtleEmphasis1">
    <w:name w:val="Subtle Emphasis1"/>
    <w:basedOn w:val="DefaultParagraphFont"/>
    <w:uiPriority w:val="19"/>
    <w:qFormat/>
    <w:rPr>
      <w:i/>
      <w:iCs/>
    </w:rPr>
  </w:style>
  <w:style w:type="character" w:customStyle="1" w:styleId="IntenseEmphasis1">
    <w:name w:val="Intense Emphasis1"/>
    <w:basedOn w:val="DefaultParagraphFont"/>
    <w:uiPriority w:val="21"/>
    <w:qFormat/>
    <w:rPr>
      <w:b/>
      <w:bCs/>
      <w:i/>
      <w:iCs/>
    </w:rPr>
  </w:style>
  <w:style w:type="character" w:customStyle="1" w:styleId="SubtleReference1">
    <w:name w:val="Subtle Reference1"/>
    <w:basedOn w:val="DefaultParagraphFont"/>
    <w:uiPriority w:val="31"/>
    <w:qFormat/>
    <w:rPr>
      <w:smallCaps/>
      <w:color w:val="595959" w:themeColor="text1" w:themeTint="A6"/>
    </w:rPr>
  </w:style>
  <w:style w:type="character" w:customStyle="1" w:styleId="IntenseReference1">
    <w:name w:val="Intense Reference1"/>
    <w:basedOn w:val="DefaultParagraphFont"/>
    <w:uiPriority w:val="32"/>
    <w:qFormat/>
    <w:rPr>
      <w:b/>
      <w:bCs/>
      <w:smallCaps/>
      <w:color w:val="70AD47" w:themeColor="accent6"/>
    </w:rPr>
  </w:style>
  <w:style w:type="character" w:customStyle="1" w:styleId="BookTitle1">
    <w:name w:val="Book Title1"/>
    <w:basedOn w:val="DefaultParagraphFont"/>
    <w:uiPriority w:val="33"/>
    <w:qFormat/>
    <w:rPr>
      <w:b/>
      <w:bCs/>
      <w:smallCaps/>
      <w:spacing w:val="7"/>
      <w:sz w:val="21"/>
      <w:szCs w:val="21"/>
    </w:rPr>
  </w:style>
  <w:style w:type="paragraph" w:customStyle="1" w:styleId="TOCHeading1">
    <w:name w:val="TOC Heading1"/>
    <w:basedOn w:val="Heading1"/>
    <w:next w:val="Normal"/>
    <w:uiPriority w:val="39"/>
    <w:semiHidden/>
    <w:unhideWhenUsed/>
    <w:qFormat/>
    <w:pPr>
      <w:outlineLvl w:val="9"/>
    </w:pPr>
  </w:style>
  <w:style w:type="table" w:customStyle="1" w:styleId="GridTable1Light-Accent11">
    <w:name w:val="Grid Table 1 Light - Accent 11"/>
    <w:basedOn w:val="TableNormal"/>
    <w:uiPriority w:val="46"/>
    <w:qFormat/>
    <w:tblPr>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qFormat/>
    <w:tblPr>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qFormat/>
    <w:tblPr>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qFormat/>
    <w:tblPr>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UnresolvedMention1">
    <w:name w:val="Unresolved Mention1"/>
    <w:basedOn w:val="DefaultParagraphFont"/>
    <w:uiPriority w:val="99"/>
    <w:semiHidden/>
    <w:unhideWhenUsed/>
    <w:qFormat/>
    <w:rPr>
      <w:color w:val="605E5C"/>
      <w:shd w:val="clear" w:color="auto" w:fill="E1DFDD"/>
    </w:rPr>
  </w:style>
  <w:style w:type="character" w:customStyle="1" w:styleId="UnresolvedMention2">
    <w:name w:val="Unresolved Mention2"/>
    <w:basedOn w:val="DefaultParagraphFont"/>
    <w:uiPriority w:val="99"/>
    <w:semiHidden/>
    <w:unhideWhenUsed/>
    <w:qFormat/>
    <w:rPr>
      <w:color w:val="605E5C"/>
      <w:shd w:val="clear" w:color="auto" w:fill="E1DFDD"/>
    </w:rPr>
  </w:style>
  <w:style w:type="character" w:customStyle="1" w:styleId="UnresolvedMention3">
    <w:name w:val="Unresolved Mention3"/>
    <w:basedOn w:val="DefaultParagraphFont"/>
    <w:uiPriority w:val="99"/>
    <w:semiHidden/>
    <w:unhideWhenUsed/>
    <w:qFormat/>
    <w:rPr>
      <w:color w:val="605E5C"/>
      <w:shd w:val="clear" w:color="auto" w:fill="E1DFDD"/>
    </w:rPr>
  </w:style>
  <w:style w:type="table" w:customStyle="1" w:styleId="TableGridLight1">
    <w:name w:val="Table Grid Light1"/>
    <w:basedOn w:val="TableNormal"/>
    <w:uiPriority w:val="40"/>
    <w:qFormat/>
    <w:rPr>
      <w:rFonts w:eastAsiaTheme="minorHAnsi"/>
      <w:kern w:val="2"/>
      <w:sz w:val="22"/>
      <w:szCs w:val="22"/>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alloonTextChar">
    <w:name w:val="Balloon Text Char"/>
    <w:basedOn w:val="DefaultParagraphFont"/>
    <w:link w:val="BalloonText"/>
    <w:uiPriority w:val="99"/>
    <w:semiHidden/>
    <w:qFormat/>
    <w:rPr>
      <w:rFonts w:ascii="Segoe UI" w:hAnsi="Segoe UI" w:cs="Segoe UI"/>
      <w:sz w:val="18"/>
      <w:szCs w:val="18"/>
    </w:rPr>
  </w:style>
  <w:style w:type="character" w:styleId="PlaceholderText">
    <w:name w:val="Placeholder Text"/>
    <w:basedOn w:val="DefaultParagraphFont"/>
    <w:uiPriority w:val="99"/>
    <w:semiHidden/>
    <w:qFormat/>
    <w:rPr>
      <w:color w:val="666666"/>
    </w:rPr>
  </w:style>
  <w:style w:type="paragraph" w:customStyle="1" w:styleId="DecimalAligned">
    <w:name w:val="Decimal Aligned"/>
    <w:basedOn w:val="Normal"/>
    <w:uiPriority w:val="40"/>
    <w:qFormat/>
    <w:pPr>
      <w:tabs>
        <w:tab w:val="decimal" w:pos="360"/>
      </w:tabs>
      <w:spacing w:line="276" w:lineRule="auto"/>
    </w:pPr>
    <w:rPr>
      <w:rFonts w:cs="Times New Roman"/>
      <w:sz w:val="22"/>
      <w:szCs w:val="22"/>
      <w:lang w:val="en-US"/>
    </w:rPr>
  </w:style>
  <w:style w:type="character" w:customStyle="1" w:styleId="FootnoteTextChar">
    <w:name w:val="Footnote Text Char"/>
    <w:basedOn w:val="DefaultParagraphFont"/>
    <w:link w:val="FootnoteText"/>
    <w:uiPriority w:val="99"/>
    <w:qFormat/>
    <w:rPr>
      <w:rFonts w:cs="Times New Roman"/>
      <w:sz w:val="20"/>
      <w:szCs w:val="20"/>
      <w:lang w:val="en-US"/>
    </w:rPr>
  </w:style>
  <w:style w:type="table" w:customStyle="1" w:styleId="PlainTable11">
    <w:name w:val="Plain Table 11"/>
    <w:basedOn w:val="TableNormal"/>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qFormat/>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Accent31">
    <w:name w:val="List Table 1 Light - Accent 31"/>
    <w:basedOn w:val="TableNormal"/>
    <w:uiPriority w:val="46"/>
    <w:qFormat/>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1Light-Accent21">
    <w:name w:val="List Table 1 Light - Accent 21"/>
    <w:basedOn w:val="TableNormal"/>
    <w:uiPriority w:val="46"/>
    <w:qFormat/>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UnresolvedMention4">
    <w:name w:val="Unresolved Mention4"/>
    <w:basedOn w:val="DefaultParagraphFont"/>
    <w:uiPriority w:val="99"/>
    <w:semiHidden/>
    <w:unhideWhenUsed/>
    <w:qFormat/>
    <w:rPr>
      <w:color w:val="605E5C"/>
      <w:shd w:val="clear" w:color="auto" w:fill="E1DFDD"/>
    </w:rPr>
  </w:style>
  <w:style w:type="table" w:customStyle="1" w:styleId="PlainTable210">
    <w:name w:val="Plain Table 21"/>
    <w:basedOn w:val="TableNormal"/>
    <w:uiPriority w:val="42"/>
    <w:qFormat/>
    <w:pPr>
      <w:jc w:val="both"/>
    </w:pPr>
    <w:rPr>
      <w:sz w:val="22"/>
      <w:szCs w:val="22"/>
    </w:r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Revision1">
    <w:name w:val="Revision1"/>
    <w:hidden/>
    <w:uiPriority w:val="99"/>
    <w:semiHidden/>
    <w:qFormat/>
    <w:rPr>
      <w:sz w:val="21"/>
      <w:szCs w:val="21"/>
      <w:lang w:val="sr-Latn-ME"/>
    </w:rPr>
  </w:style>
  <w:style w:type="character" w:customStyle="1" w:styleId="CommentTextChar">
    <w:name w:val="Comment Text Char"/>
    <w:basedOn w:val="DefaultParagraphFont"/>
    <w:link w:val="CommentText"/>
    <w:uiPriority w:val="99"/>
    <w:qFormat/>
    <w:rPr>
      <w:sz w:val="20"/>
      <w:szCs w:val="20"/>
    </w:rPr>
  </w:style>
  <w:style w:type="character" w:customStyle="1" w:styleId="CommentSubjectChar">
    <w:name w:val="Comment Subject Char"/>
    <w:basedOn w:val="CommentTextChar"/>
    <w:link w:val="CommentSubject"/>
    <w:uiPriority w:val="99"/>
    <w:semiHidden/>
    <w:qFormat/>
    <w:rPr>
      <w:b/>
      <w:bCs/>
      <w:sz w:val="20"/>
      <w:szCs w:val="20"/>
    </w:rPr>
  </w:style>
  <w:style w:type="character" w:customStyle="1" w:styleId="UnresolvedMention5">
    <w:name w:val="Unresolved Mention5"/>
    <w:basedOn w:val="DefaultParagraphFont"/>
    <w:uiPriority w:val="99"/>
    <w:semiHidden/>
    <w:unhideWhenUsed/>
    <w:qFormat/>
    <w:rPr>
      <w:color w:val="605E5C"/>
      <w:shd w:val="clear" w:color="auto" w:fill="E1DFDD"/>
    </w:rPr>
  </w:style>
  <w:style w:type="character" w:customStyle="1" w:styleId="UnresolvedMention6">
    <w:name w:val="Unresolved Mention6"/>
    <w:basedOn w:val="DefaultParagraphFont"/>
    <w:uiPriority w:val="99"/>
    <w:semiHidden/>
    <w:unhideWhenUsed/>
    <w:qFormat/>
    <w:rPr>
      <w:color w:val="605E5C"/>
      <w:shd w:val="clear" w:color="auto" w:fill="E1DFDD"/>
    </w:rPr>
  </w:style>
  <w:style w:type="character" w:customStyle="1" w:styleId="katex-mathml">
    <w:name w:val="katex-mathml"/>
    <w:basedOn w:val="DefaultParagraphFont"/>
    <w:qFormat/>
  </w:style>
  <w:style w:type="character" w:customStyle="1" w:styleId="mord">
    <w:name w:val="mord"/>
    <w:basedOn w:val="DefaultParagraphFont"/>
    <w:qFormat/>
  </w:style>
  <w:style w:type="character" w:customStyle="1" w:styleId="mrel">
    <w:name w:val="mrel"/>
    <w:basedOn w:val="DefaultParagraphFont"/>
    <w:qFormat/>
  </w:style>
  <w:style w:type="character" w:customStyle="1" w:styleId="mbin">
    <w:name w:val="mbin"/>
    <w:basedOn w:val="DefaultParagraphFont"/>
    <w:qFormat/>
  </w:style>
  <w:style w:type="character" w:customStyle="1" w:styleId="vlist-s">
    <w:name w:val="vlist-s"/>
    <w:basedOn w:val="DefaultParagraphFont"/>
    <w:qFormat/>
  </w:style>
  <w:style w:type="character" w:customStyle="1" w:styleId="HTMLPreformattedChar">
    <w:name w:val="HTML Preformatted Char"/>
    <w:basedOn w:val="DefaultParagraphFont"/>
    <w:link w:val="HTMLPreformatted"/>
    <w:uiPriority w:val="99"/>
    <w:semiHidden/>
    <w:qFormat/>
    <w:rPr>
      <w:rFonts w:ascii="Courier New" w:eastAsia="Times New Roman" w:hAnsi="Courier New" w:cs="Courier New"/>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chart" Target="charts/chart5.xml"/><Relationship Id="rId42" Type="http://schemas.openxmlformats.org/officeDocument/2006/relationships/image" Target="media/image26.jpeg"/><Relationship Id="rId47" Type="http://schemas.openxmlformats.org/officeDocument/2006/relationships/image" Target="media/image31.png"/><Relationship Id="rId63" Type="http://schemas.openxmlformats.org/officeDocument/2006/relationships/hyperlink" Target="https://doi.org/10.1094/PDIS-09-18-1686-PDN" TargetMode="External"/><Relationship Id="rId68" Type="http://schemas.openxmlformats.org/officeDocument/2006/relationships/hyperlink" Target="http://doi.org/10.1007/s10658-015-0782-9" TargetMode="External"/><Relationship Id="rId84" Type="http://schemas.openxmlformats.org/officeDocument/2006/relationships/hyperlink" Target="https://doi.org/10.1371/journal-.pone.0222586" TargetMode="External"/><Relationship Id="rId89" Type="http://schemas.openxmlformats.org/officeDocument/2006/relationships/hyperlink" Target="https://doi.org/10.59904/gi.v1.i1.2023.9" TargetMode="External"/><Relationship Id="rId16" Type="http://schemas.openxmlformats.org/officeDocument/2006/relationships/image" Target="media/image5.jpeg"/><Relationship Id="rId11" Type="http://schemas.openxmlformats.org/officeDocument/2006/relationships/hyperlink" Target="https://www.ncbi.nlm.nih.gov/nuccore/KC343107" TargetMode="Externa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chart" Target="charts/chart9.xml"/><Relationship Id="rId58" Type="http://schemas.openxmlformats.org/officeDocument/2006/relationships/chart" Target="charts/chart11.xml"/><Relationship Id="rId74" Type="http://schemas.openxmlformats.org/officeDocument/2006/relationships/hyperlink" Target="https://doi.org/10.1094/pdis-05-22-1220-re" TargetMode="External"/><Relationship Id="rId79" Type="http://schemas.openxmlformats.org/officeDocument/2006/relationships/hyperlink" Target="https://doi.org//10.1094/PDIS-09-11-0776-RE" TargetMode="External"/><Relationship Id="rId5" Type="http://schemas.openxmlformats.org/officeDocument/2006/relationships/settings" Target="settings.xml"/><Relationship Id="rId90" Type="http://schemas.openxmlformats.org/officeDocument/2006/relationships/hyperlink" Target="http://doi.org/10.14601/Phy-topathol_Mediterr-2727" TargetMode="External"/><Relationship Id="rId95" Type="http://schemas.openxmlformats.org/officeDocument/2006/relationships/image" Target="media/image38.png"/><Relationship Id="rId22" Type="http://schemas.openxmlformats.org/officeDocument/2006/relationships/image" Target="media/image6.pn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hyperlink" Target="https://doi.org/10.36253/phyto-5208" TargetMode="External"/><Relationship Id="rId69" Type="http://schemas.openxmlformats.org/officeDocument/2006/relationships/hyperlink" Target="https://doi.org//10.5073/vitis.2019.58.141-149" TargetMode="External"/><Relationship Id="rId80" Type="http://schemas.openxmlformats.org/officeDocument/2006/relationships/hyperlink" Target="https://doi.org/10.14601/Phytopathol_Mediterr-1841" TargetMode="External"/><Relationship Id="rId85" Type="http://schemas.openxmlformats.org/officeDocument/2006/relationships/hyperlink" Target="https://doi.org/10.1111/j.1439-0434.2007.01362.x" TargetMode="External"/><Relationship Id="rId3" Type="http://schemas.openxmlformats.org/officeDocument/2006/relationships/numbering" Target="numbering.xml"/><Relationship Id="rId12" Type="http://schemas.openxmlformats.org/officeDocument/2006/relationships/hyperlink" Target="https://www.ncbi.nlm.nih.gov/nuccore/KC343833" TargetMode="External"/><Relationship Id="rId17" Type="http://schemas.openxmlformats.org/officeDocument/2006/relationships/chart" Target="charts/chart1.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hyperlink" Target="https://doi.org/10.1111/ajgw.12254" TargetMode="External"/><Relationship Id="rId67" Type="http://schemas.openxmlformats.org/officeDocument/2006/relationships/hyperlink" Target="https://doi.org/10.3389/fpls.2019.00910" TargetMode="External"/><Relationship Id="rId20" Type="http://schemas.openxmlformats.org/officeDocument/2006/relationships/chart" Target="charts/chart4.xml"/><Relationship Id="rId41" Type="http://schemas.openxmlformats.org/officeDocument/2006/relationships/image" Target="media/image25.jpeg"/><Relationship Id="rId54" Type="http://schemas.openxmlformats.org/officeDocument/2006/relationships/image" Target="media/image34.jpeg"/><Relationship Id="rId62" Type="http://schemas.openxmlformats.org/officeDocument/2006/relationships/hyperlink" Target="https://doi.org/10.14601/Phytopathol_Mediterr-11578" TargetMode="External"/><Relationship Id="rId70" Type="http://schemas.openxmlformats.org/officeDocument/2006/relationships/hyperlink" Target="https://doi.org/10.1111/j.1744-7348.2008.00229.x" TargetMode="External"/><Relationship Id="rId75" Type="http://schemas.openxmlformats.org/officeDocument/2006/relationships/hyperlink" Target="http://dx.doi.org/10.1094/PHYTO-07-16-0274-R" TargetMode="External"/><Relationship Id="rId83" Type="http://schemas.openxmlformats.org/officeDocument/2006/relationships/hyperlink" Target="http://doi.org/10.1094/PDIS.1999.83.5.404" TargetMode="External"/><Relationship Id="rId88" Type="http://schemas.openxmlformats.org/officeDocument/2006/relationships/hyperlink" Target="https://doi.org/10.5424/sjar/2008064-357" TargetMode="External"/><Relationship Id="rId91" Type="http://schemas.openxmlformats.org/officeDocument/2006/relationships/hyperlink" Target="http://dx.doi.org/10.14601/Phytopathol_Mediterr-1842" TargetMode="External"/><Relationship Id="rId96"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chart" Target="charts/chart6.xml"/><Relationship Id="rId57" Type="http://schemas.openxmlformats.org/officeDocument/2006/relationships/chart" Target="charts/chart10.xml"/><Relationship Id="rId10" Type="http://schemas.openxmlformats.org/officeDocument/2006/relationships/image" Target="media/image2.png"/><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chart" Target="charts/chart8.xml"/><Relationship Id="rId60" Type="http://schemas.openxmlformats.org/officeDocument/2006/relationships/hyperlink" Target="http://doi.org/10.1111/j.1365-3059.2012.02674.x" TargetMode="External"/><Relationship Id="rId65" Type="http://schemas.openxmlformats.org/officeDocument/2006/relationships/hyperlink" Target="https://doi.org/10.14601/Phytopathol_Mediterr-23787" TargetMode="External"/><Relationship Id="rId73" Type="http://schemas.openxmlformats.org/officeDocument/2006/relationships/hyperlink" Target="https://doi.org/10.1128/aem.61.4.1323-1330.1995" TargetMode="External"/><Relationship Id="rId78" Type="http://schemas.openxmlformats.org/officeDocument/2006/relationships/hyperlink" Target="https://doi.org/10.1093/oxfordjournals.molbev.a026092" TargetMode="External"/><Relationship Id="rId81" Type="http://schemas.openxmlformats.org/officeDocument/2006/relationships/hyperlink" Target="https://doi.org//10.1094/MPMI-02-17-0036" TargetMode="External"/><Relationship Id="rId86" Type="http://schemas.openxmlformats.org/officeDocument/2006/relationships/hyperlink" Target="https://doi.org//10.1016/S0953-7562(09)80409-7" TargetMode="External"/><Relationship Id="rId94" Type="http://schemas.openxmlformats.org/officeDocument/2006/relationships/hyperlink" Target="https://grapes.extension.org/" TargetMode="External"/><Relationship Id="rId9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www.ncbi.nlm.nih.gov/nuccore/KC344075" TargetMode="External"/><Relationship Id="rId18" Type="http://schemas.openxmlformats.org/officeDocument/2006/relationships/chart" Target="charts/chart2.xml"/><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chart" Target="charts/chart7.xml"/><Relationship Id="rId55" Type="http://schemas.openxmlformats.org/officeDocument/2006/relationships/image" Target="media/image35.jpeg"/><Relationship Id="rId76" Type="http://schemas.openxmlformats.org/officeDocument/2006/relationships/hyperlink" Target="https://doi.org/10.14601/Phytopathol_Mediterr-8960" TargetMode="External"/><Relationship Id="rId97" Type="http://schemas.openxmlformats.org/officeDocument/2006/relationships/image" Target="media/image40.png"/><Relationship Id="rId7" Type="http://schemas.openxmlformats.org/officeDocument/2006/relationships/footnotes" Target="footnotes.xml"/><Relationship Id="rId71" Type="http://schemas.openxmlformats.org/officeDocument/2006/relationships/hyperlink" Target="http://doi.org/10.14601/Phytopathol" TargetMode="External"/><Relationship Id="rId92" Type="http://schemas.openxmlformats.org/officeDocument/2006/relationships/hyperlink" Target="http://doi.org/Doi%2010.1094/Pdis-91-8-0924" TargetMode="Externa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hyperlink" Target="https://www.sciencedirect.com/book/9780128132784/postharvest-physiology-and-biochemistry-of-fruits-and-vegetables" TargetMode="External"/><Relationship Id="rId87" Type="http://schemas.openxmlformats.org/officeDocument/2006/relationships/hyperlink" Target="https://ui.adsabs.harvard.edu/link_gateway/2002AuPP...31..267R/doi:10.1071/AP02021" TargetMode="External"/><Relationship Id="rId61" Type="http://schemas.openxmlformats.org/officeDocument/2006/relationships/hyperlink" Target="http://dx.doi.org/10.5772/intechopen.105897" TargetMode="External"/><Relationship Id="rId82" Type="http://schemas.openxmlformats.org/officeDocument/2006/relationships/hyperlink" Target="https://monstat.org/eng/publikacije_page.php?id=1891&amp;pageid=1" TargetMode="External"/><Relationship Id="rId19" Type="http://schemas.openxmlformats.org/officeDocument/2006/relationships/chart" Target="charts/chart3.xml"/><Relationship Id="rId14" Type="http://schemas.openxmlformats.org/officeDocument/2006/relationships/image" Target="media/image3.png"/><Relationship Id="rId30" Type="http://schemas.openxmlformats.org/officeDocument/2006/relationships/image" Target="media/image14.png"/><Relationship Id="rId35" Type="http://schemas.openxmlformats.org/officeDocument/2006/relationships/image" Target="media/image19.jpeg"/><Relationship Id="rId56" Type="http://schemas.openxmlformats.org/officeDocument/2006/relationships/image" Target="media/image36.jpeg"/><Relationship Id="rId77" Type="http://schemas.openxmlformats.org/officeDocument/2006/relationships/hyperlink" Target="https://doi.org/10.14601/Phytopathol_Mediterr-21865" TargetMode="External"/><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hyperlink" Target="http://doi.org/10.1094/PDIS-04-17-0512-FE" TargetMode="External"/><Relationship Id="rId93" Type="http://schemas.openxmlformats.org/officeDocument/2006/relationships/hyperlink" Target="https://doi.org/10.5424/sjar/200806S1-382" TargetMode="External"/><Relationship Id="rId98"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Korisnik\Desktop\Doktorske%20studije\Statistika\Klimatski%20faktori\Klimatski%20faktori%20statistika.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01766508373288"/>
          <c:y val="6.2605345533349399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Da li se javljaju simptomi eska oboljenja u vinogradu?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62A-4C91-A4EE-6E0D5D563EF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62A-4C91-A4EE-6E0D5D563EF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62A-4C91-A4EE-6E0D5D563EF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62A-4C91-A4EE-6E0D5D563EF7}"/>
              </c:ext>
            </c:extLst>
          </c:dPt>
          <c:dLbls>
            <c:dLbl>
              <c:idx val="0"/>
              <c:layout>
                <c:manualLayout>
                  <c:x val="-9.2966882324422795E-2"/>
                  <c:y val="-0.1486878312185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62A-4C91-A4EE-6E0D5D563EF7}"/>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DA</c:v>
                </c:pt>
                <c:pt idx="1">
                  <c:v>NE</c:v>
                </c:pt>
              </c:strCache>
            </c:strRef>
          </c:cat>
          <c:val>
            <c:numRef>
              <c:f>Sheet1!$B$2:$B$5</c:f>
              <c:numCache>
                <c:formatCode>General</c:formatCode>
                <c:ptCount val="4"/>
                <c:pt idx="0">
                  <c:v>58</c:v>
                </c:pt>
                <c:pt idx="1">
                  <c:v>12</c:v>
                </c:pt>
              </c:numCache>
            </c:numRef>
          </c:val>
          <c:extLst>
            <c:ext xmlns:c16="http://schemas.microsoft.com/office/drawing/2014/chart" uri="{C3380CC4-5D6E-409C-BE32-E72D297353CC}">
              <c16:uniqueId val="{00000008-962A-4C91-A4EE-6E0D5D563EF7}"/>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8ee4401a-4073-400a-a0ba-b47fb7871dfa}"/>
      </c:ext>
    </c:extLst>
  </c:chart>
  <c:spPr>
    <a:solidFill>
      <a:schemeClr val="bg1"/>
    </a:solidFill>
    <a:ln w="9525" cap="flat" cmpd="sng" algn="ctr">
      <a:noFill/>
      <a:round/>
    </a:ln>
    <a:effectLst/>
  </c:spPr>
  <c:txPr>
    <a:bodyPr/>
    <a:lstStyle/>
    <a:p>
      <a:pPr>
        <a:defRPr lang="en-US"/>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sr-Latn-ME" sz="1200"/>
              <a:t>April 2021-2024</a:t>
            </a:r>
          </a:p>
        </c:rich>
      </c:tx>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Temperatura</c:f>
              <c:strCache>
                <c:ptCount val="1"/>
                <c:pt idx="0">
                  <c:v>Temperatura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yVal>
            <c:numRef>
              <c:f>Sheet1!$T$12:$T$15</c:f>
              <c:numCache>
                <c:formatCode>General</c:formatCode>
                <c:ptCount val="4"/>
                <c:pt idx="0">
                  <c:v>70.8</c:v>
                </c:pt>
                <c:pt idx="1">
                  <c:v>113.2</c:v>
                </c:pt>
                <c:pt idx="2">
                  <c:v>97.2</c:v>
                </c:pt>
                <c:pt idx="3">
                  <c:v>180.6</c:v>
                </c:pt>
              </c:numCache>
            </c:numRef>
          </c:yVal>
          <c:smooth val="1"/>
          <c:extLst>
            <c:ext xmlns:c16="http://schemas.microsoft.com/office/drawing/2014/chart" uri="{C3380CC4-5D6E-409C-BE32-E72D297353CC}">
              <c16:uniqueId val="{00000000-E65D-4FAC-8C7E-81A963CF7C6C}"/>
            </c:ext>
          </c:extLst>
        </c:ser>
        <c:ser>
          <c:idx val="1"/>
          <c:order val="1"/>
          <c:tx>
            <c:strRef>
              <c:f>Padavine</c:f>
              <c:strCache>
                <c:ptCount val="1"/>
                <c:pt idx="0">
                  <c:v>Padavine</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yVal>
            <c:numRef>
              <c:f>Sheet1!$U$12:$U$15</c:f>
              <c:numCache>
                <c:formatCode>General</c:formatCode>
                <c:ptCount val="4"/>
                <c:pt idx="0">
                  <c:v>94.4</c:v>
                </c:pt>
                <c:pt idx="1">
                  <c:v>92</c:v>
                </c:pt>
                <c:pt idx="2">
                  <c:v>100</c:v>
                </c:pt>
                <c:pt idx="3">
                  <c:v>62.8</c:v>
                </c:pt>
              </c:numCache>
            </c:numRef>
          </c:yVal>
          <c:smooth val="1"/>
          <c:extLst>
            <c:ext xmlns:c16="http://schemas.microsoft.com/office/drawing/2014/chart" uri="{C3380CC4-5D6E-409C-BE32-E72D297353CC}">
              <c16:uniqueId val="{00000001-E65D-4FAC-8C7E-81A963CF7C6C}"/>
            </c:ext>
          </c:extLst>
        </c:ser>
        <c:ser>
          <c:idx val="2"/>
          <c:order val="2"/>
          <c:tx>
            <c:strRef>
              <c:f>Simptomi</c:f>
              <c:strCache>
                <c:ptCount val="1"/>
                <c:pt idx="0">
                  <c:v>Simptomi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yVal>
            <c:numRef>
              <c:f>Sheet1!$V$12:$V$15</c:f>
              <c:numCache>
                <c:formatCode>General</c:formatCode>
                <c:ptCount val="4"/>
                <c:pt idx="0">
                  <c:v>295</c:v>
                </c:pt>
                <c:pt idx="1">
                  <c:v>718</c:v>
                </c:pt>
                <c:pt idx="2">
                  <c:v>865</c:v>
                </c:pt>
                <c:pt idx="3">
                  <c:v>536</c:v>
                </c:pt>
              </c:numCache>
            </c:numRef>
          </c:yVal>
          <c:smooth val="1"/>
          <c:extLst>
            <c:ext xmlns:c16="http://schemas.microsoft.com/office/drawing/2014/chart" uri="{C3380CC4-5D6E-409C-BE32-E72D297353CC}">
              <c16:uniqueId val="{00000002-E65D-4FAC-8C7E-81A963CF7C6C}"/>
            </c:ext>
          </c:extLst>
        </c:ser>
        <c:dLbls>
          <c:showLegendKey val="0"/>
          <c:showVal val="0"/>
          <c:showCatName val="0"/>
          <c:showSerName val="0"/>
          <c:showPercent val="0"/>
          <c:showBubbleSize val="0"/>
        </c:dLbls>
        <c:axId val="1748415536"/>
        <c:axId val="1748407376"/>
      </c:scatterChart>
      <c:valAx>
        <c:axId val="1748415536"/>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sr-Latn-ME"/>
                  <a:t>2021                     2022                 2023                 2024 </a:t>
                </a:r>
              </a:p>
            </c:rich>
          </c:tx>
          <c:layout>
            <c:manualLayout>
              <c:xMode val="edge"/>
              <c:yMode val="edge"/>
              <c:x val="0.20630451879435599"/>
              <c:y val="0.887939632545932"/>
            </c:manualLayout>
          </c:layout>
          <c:overlay val="0"/>
          <c:spPr>
            <a:noFill/>
            <a:ln>
              <a:noFill/>
            </a:ln>
            <a:effectLst/>
          </c:spPr>
          <c:txPr>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endParaRPr lang="en-US"/>
            </a:p>
          </c:txPr>
        </c:title>
        <c:majorTickMark val="out"/>
        <c:minorTickMark val="none"/>
        <c:tickLblPos val="nextTo"/>
        <c:crossAx val="1748407376"/>
        <c:crosses val="autoZero"/>
        <c:crossBetween val="midCat"/>
      </c:valAx>
      <c:valAx>
        <c:axId val="1748407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74841553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5e10fa28-fdc7-4f04-bfc2-b69207225fda}"/>
      </c:ext>
    </c:extLst>
  </c:chart>
  <c:spPr>
    <a:solidFill>
      <a:schemeClr val="bg1"/>
    </a:solidFill>
    <a:ln w="9525" cap="flat" cmpd="sng" algn="ctr">
      <a:solidFill>
        <a:schemeClr val="tx1">
          <a:lumMod val="15000"/>
          <a:lumOff val="85000"/>
        </a:schemeClr>
      </a:solidFill>
      <a:round/>
    </a:ln>
    <a:effectLst/>
  </c:spPr>
  <c:txPr>
    <a:bodyPr/>
    <a:lstStyle/>
    <a:p>
      <a:pPr>
        <a:defRPr lang="en-US"/>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sr-Latn-ME" sz="1200"/>
              <a:t>Maj 2021 - 2024</a:t>
            </a:r>
          </a:p>
        </c:rich>
      </c:tx>
      <c:layout>
        <c:manualLayout>
          <c:xMode val="edge"/>
          <c:yMode val="edge"/>
          <c:x val="0.35754855643044597"/>
          <c:y val="2.7777777777777801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Temperatura</c:f>
              <c:strCache>
                <c:ptCount val="1"/>
                <c:pt idx="0">
                  <c:v>Temperatura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yVal>
            <c:numRef>
              <c:f>'Pirsov i SRL korelacije'!$V$5:$V$8</c:f>
              <c:numCache>
                <c:formatCode>General</c:formatCode>
                <c:ptCount val="4"/>
                <c:pt idx="0">
                  <c:v>272.2</c:v>
                </c:pt>
                <c:pt idx="1">
                  <c:v>324.2</c:v>
                </c:pt>
                <c:pt idx="2">
                  <c:v>284.89999999999998</c:v>
                </c:pt>
                <c:pt idx="3">
                  <c:v>292.10000000000002</c:v>
                </c:pt>
              </c:numCache>
            </c:numRef>
          </c:yVal>
          <c:smooth val="0"/>
          <c:extLst>
            <c:ext xmlns:c16="http://schemas.microsoft.com/office/drawing/2014/chart" uri="{C3380CC4-5D6E-409C-BE32-E72D297353CC}">
              <c16:uniqueId val="{00000000-D76A-44E9-9E5A-C0CBF7F18E2D}"/>
            </c:ext>
          </c:extLst>
        </c:ser>
        <c:ser>
          <c:idx val="1"/>
          <c:order val="1"/>
          <c:tx>
            <c:strRef>
              <c:f>Padavine</c:f>
              <c:strCache>
                <c:ptCount val="1"/>
                <c:pt idx="0">
                  <c:v>Padavine</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yVal>
            <c:numRef>
              <c:f>'Pirsov i SRL korelacije'!$W$5:$W$8</c:f>
              <c:numCache>
                <c:formatCode>General</c:formatCode>
                <c:ptCount val="4"/>
                <c:pt idx="0">
                  <c:v>41.8</c:v>
                </c:pt>
                <c:pt idx="1">
                  <c:v>40</c:v>
                </c:pt>
                <c:pt idx="2">
                  <c:v>134</c:v>
                </c:pt>
                <c:pt idx="3">
                  <c:v>118.6</c:v>
                </c:pt>
              </c:numCache>
            </c:numRef>
          </c:yVal>
          <c:smooth val="0"/>
          <c:extLst>
            <c:ext xmlns:c16="http://schemas.microsoft.com/office/drawing/2014/chart" uri="{C3380CC4-5D6E-409C-BE32-E72D297353CC}">
              <c16:uniqueId val="{00000001-D76A-44E9-9E5A-C0CBF7F18E2D}"/>
            </c:ext>
          </c:extLst>
        </c:ser>
        <c:ser>
          <c:idx val="2"/>
          <c:order val="2"/>
          <c:tx>
            <c:strRef>
              <c:f>Simptomi</c:f>
              <c:strCache>
                <c:ptCount val="1"/>
                <c:pt idx="0">
                  <c:v>Simptomi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yVal>
            <c:numRef>
              <c:f>'Pirsov i SRL korelacije'!$X$5:$X$8</c:f>
              <c:numCache>
                <c:formatCode>General</c:formatCode>
                <c:ptCount val="4"/>
                <c:pt idx="0">
                  <c:v>295</c:v>
                </c:pt>
                <c:pt idx="1">
                  <c:v>718</c:v>
                </c:pt>
                <c:pt idx="2">
                  <c:v>865</c:v>
                </c:pt>
                <c:pt idx="3">
                  <c:v>536</c:v>
                </c:pt>
              </c:numCache>
            </c:numRef>
          </c:yVal>
          <c:smooth val="0"/>
          <c:extLst>
            <c:ext xmlns:c16="http://schemas.microsoft.com/office/drawing/2014/chart" uri="{C3380CC4-5D6E-409C-BE32-E72D297353CC}">
              <c16:uniqueId val="{00000002-D76A-44E9-9E5A-C0CBF7F18E2D}"/>
            </c:ext>
          </c:extLst>
        </c:ser>
        <c:dLbls>
          <c:showLegendKey val="0"/>
          <c:showVal val="0"/>
          <c:showCatName val="0"/>
          <c:showSerName val="0"/>
          <c:showPercent val="0"/>
          <c:showBubbleSize val="0"/>
        </c:dLbls>
        <c:axId val="1748392144"/>
        <c:axId val="1748395408"/>
      </c:scatterChart>
      <c:valAx>
        <c:axId val="1748392144"/>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sr-Latn-ME"/>
                  <a:t>2021</a:t>
                </a:r>
                <a:r>
                  <a:rPr lang="sr-Latn-ME" baseline="0"/>
                  <a:t>                     2022                           2023                     2024      </a:t>
                </a:r>
                <a:endParaRPr lang="sr-Latn-ME"/>
              </a:p>
            </c:rich>
          </c:tx>
          <c:layout>
            <c:manualLayout>
              <c:xMode val="edge"/>
              <c:yMode val="edge"/>
              <c:x val="0.21066585743719199"/>
              <c:y val="0.903533814209171"/>
            </c:manualLayout>
          </c:layout>
          <c:overlay val="0"/>
          <c:spPr>
            <a:noFill/>
            <a:ln>
              <a:noFill/>
            </a:ln>
            <a:effectLst/>
          </c:spPr>
          <c:txPr>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endParaRPr lang="sr-Latn-ME"/>
            </a:p>
          </c:txPr>
        </c:title>
        <c:majorTickMark val="none"/>
        <c:minorTickMark val="none"/>
        <c:tickLblPos val="nextTo"/>
        <c:crossAx val="1748395408"/>
        <c:crosses val="autoZero"/>
        <c:crossBetween val="midCat"/>
      </c:valAx>
      <c:valAx>
        <c:axId val="1748395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748392144"/>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9934dc95-d677-40d7-887b-ef503c469ffc}"/>
      </c:ext>
    </c:extLst>
  </c:chart>
  <c:spPr>
    <a:solidFill>
      <a:schemeClr val="bg1"/>
    </a:solidFill>
    <a:ln w="9525" cap="flat" cmpd="sng" algn="ctr">
      <a:solidFill>
        <a:schemeClr val="tx1">
          <a:lumMod val="15000"/>
          <a:lumOff val="85000"/>
        </a:schemeClr>
      </a:solidFill>
      <a:round/>
    </a:ln>
    <a:effectLst/>
  </c:spPr>
  <c:txPr>
    <a:bodyPr/>
    <a:lstStyle/>
    <a:p>
      <a:pPr>
        <a:defRPr lang="en-US"/>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9.3063062486807305E-2"/>
          <c:y val="4.8618083813348799E-3"/>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Da li vinogradari znaju o kom oboljenju je rijec?</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2FD-4547-A5B5-6CB1D162820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2FD-4547-A5B5-6CB1D162820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2FD-4547-A5B5-6CB1D162820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2FD-4547-A5B5-6CB1D1628201}"/>
              </c:ext>
            </c:extLst>
          </c:dPt>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DA</c:v>
                </c:pt>
                <c:pt idx="1">
                  <c:v>NE</c:v>
                </c:pt>
              </c:strCache>
            </c:strRef>
          </c:cat>
          <c:val>
            <c:numRef>
              <c:f>Sheet1!$B$2:$B$5</c:f>
              <c:numCache>
                <c:formatCode>General</c:formatCode>
                <c:ptCount val="4"/>
                <c:pt idx="0">
                  <c:v>22</c:v>
                </c:pt>
                <c:pt idx="1">
                  <c:v>48</c:v>
                </c:pt>
              </c:numCache>
            </c:numRef>
          </c:val>
          <c:extLst>
            <c:ext xmlns:c16="http://schemas.microsoft.com/office/drawing/2014/chart" uri="{C3380CC4-5D6E-409C-BE32-E72D297353CC}">
              <c16:uniqueId val="{00000008-D2FD-4547-A5B5-6CB1D1628201}"/>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4c41fcd1-d32e-43c4-a38e-b1dab435f514}"/>
      </c:ext>
    </c:extLst>
  </c:chart>
  <c:spPr>
    <a:noFill/>
    <a:ln w="9525" cap="flat" cmpd="sng" algn="ctr">
      <a:noFill/>
      <a:round/>
    </a:ln>
    <a:effectLst/>
  </c:spPr>
  <c:txPr>
    <a:bodyPr/>
    <a:lstStyle/>
    <a:p>
      <a:pPr>
        <a:defRPr lang="en-US"/>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Ocjena intenziteta zaraze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Ocjena 1 - nekoliko biljaka u vinogradu</c:v>
                </c:pt>
                <c:pt idx="1">
                  <c:v>Ocjena 2 - nekoliko biljaka u jednom redu vinograda</c:v>
                </c:pt>
                <c:pt idx="2">
                  <c:v>Ocjena 3 - veliki broj biljaka u vinogradu</c:v>
                </c:pt>
              </c:strCache>
            </c:strRef>
          </c:cat>
          <c:val>
            <c:numRef>
              <c:f>Sheet1!$B$2:$B$4</c:f>
              <c:numCache>
                <c:formatCode>0%</c:formatCode>
                <c:ptCount val="3"/>
                <c:pt idx="0">
                  <c:v>0.25</c:v>
                </c:pt>
                <c:pt idx="1">
                  <c:v>0.49</c:v>
                </c:pt>
                <c:pt idx="2">
                  <c:v>0.26</c:v>
                </c:pt>
              </c:numCache>
            </c:numRef>
          </c:val>
          <c:extLst>
            <c:ext xmlns:c16="http://schemas.microsoft.com/office/drawing/2014/chart" uri="{C3380CC4-5D6E-409C-BE32-E72D297353CC}">
              <c16:uniqueId val="{00000000-D8DA-47BC-9872-931025922FF0}"/>
            </c:ext>
          </c:extLst>
        </c:ser>
        <c:dLbls>
          <c:showLegendKey val="0"/>
          <c:showVal val="1"/>
          <c:showCatName val="0"/>
          <c:showSerName val="0"/>
          <c:showPercent val="0"/>
          <c:showBubbleSize val="0"/>
        </c:dLbls>
        <c:gapWidth val="219"/>
        <c:overlap val="-27"/>
        <c:axId val="1748392688"/>
        <c:axId val="1748394320"/>
      </c:barChart>
      <c:catAx>
        <c:axId val="1748392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748394320"/>
        <c:crosses val="autoZero"/>
        <c:auto val="1"/>
        <c:lblAlgn val="ctr"/>
        <c:lblOffset val="100"/>
        <c:noMultiLvlLbl val="0"/>
      </c:catAx>
      <c:valAx>
        <c:axId val="17483943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748392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27c7319c-5e2c-47a4-8613-355fb34bcba1}"/>
      </c:ext>
    </c:extLst>
  </c:chart>
  <c:spPr>
    <a:solidFill>
      <a:schemeClr val="bg1"/>
    </a:solidFill>
    <a:ln w="9525" cap="flat" cmpd="sng" algn="ctr">
      <a:solidFill>
        <a:schemeClr val="tx1">
          <a:lumMod val="15000"/>
          <a:lumOff val="85000"/>
        </a:schemeClr>
      </a:solidFill>
      <a:round/>
    </a:ln>
    <a:effectLst/>
  </c:spPr>
  <c:txPr>
    <a:bodyPr/>
    <a:lstStyle/>
    <a:p>
      <a:pPr>
        <a:defRPr lang="en-US"/>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sr-Latn-ME"/>
              <a:t>Pojava eska oboljenja u odnosu na starost vinograda</a:t>
            </a:r>
          </a:p>
        </c:rich>
      </c:tx>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0-5 godina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Sheet1!$A$2</c:f>
              <c:strCache>
                <c:ptCount val="1"/>
                <c:pt idx="0">
                  <c:v>Category 1</c:v>
                </c:pt>
              </c:strCache>
            </c:strRef>
          </c:cat>
          <c:val>
            <c:numRef>
              <c:f>Sheet1!$B$2</c:f>
              <c:numCache>
                <c:formatCode>0.00%</c:formatCode>
                <c:ptCount val="1"/>
                <c:pt idx="0">
                  <c:v>1E-4</c:v>
                </c:pt>
              </c:numCache>
            </c:numRef>
          </c:val>
          <c:extLst>
            <c:ext xmlns:c16="http://schemas.microsoft.com/office/drawing/2014/chart" uri="{C3380CC4-5D6E-409C-BE32-E72D297353CC}">
              <c16:uniqueId val="{00000000-C293-456D-8CB1-7ED2E9CDF716}"/>
            </c:ext>
          </c:extLst>
        </c:ser>
        <c:ser>
          <c:idx val="1"/>
          <c:order val="1"/>
          <c:tx>
            <c:strRef>
              <c:f>Sheet1!$C$1</c:f>
              <c:strCache>
                <c:ptCount val="1"/>
                <c:pt idx="0">
                  <c:v>5-10 godina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Sheet1!$A$2</c:f>
              <c:strCache>
                <c:ptCount val="1"/>
                <c:pt idx="0">
                  <c:v>Category 1</c:v>
                </c:pt>
              </c:strCache>
            </c:strRef>
          </c:cat>
          <c:val>
            <c:numRef>
              <c:f>Sheet1!$C$2</c:f>
              <c:numCache>
                <c:formatCode>0.00%</c:formatCode>
                <c:ptCount val="1"/>
                <c:pt idx="0">
                  <c:v>0.1857</c:v>
                </c:pt>
              </c:numCache>
            </c:numRef>
          </c:val>
          <c:extLst>
            <c:ext xmlns:c16="http://schemas.microsoft.com/office/drawing/2014/chart" uri="{C3380CC4-5D6E-409C-BE32-E72D297353CC}">
              <c16:uniqueId val="{00000001-C293-456D-8CB1-7ED2E9CDF716}"/>
            </c:ext>
          </c:extLst>
        </c:ser>
        <c:ser>
          <c:idx val="2"/>
          <c:order val="2"/>
          <c:tx>
            <c:strRef>
              <c:f>Sheet1!$D$1</c:f>
              <c:strCache>
                <c:ptCount val="1"/>
                <c:pt idx="0">
                  <c:v>10-15 godina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Sheet1!$A$2</c:f>
              <c:strCache>
                <c:ptCount val="1"/>
                <c:pt idx="0">
                  <c:v>Category 1</c:v>
                </c:pt>
              </c:strCache>
            </c:strRef>
          </c:cat>
          <c:val>
            <c:numRef>
              <c:f>Sheet1!$D$2</c:f>
              <c:numCache>
                <c:formatCode>0%</c:formatCode>
                <c:ptCount val="1"/>
                <c:pt idx="0">
                  <c:v>0.56000000000000005</c:v>
                </c:pt>
              </c:numCache>
            </c:numRef>
          </c:val>
          <c:extLst>
            <c:ext xmlns:c16="http://schemas.microsoft.com/office/drawing/2014/chart" uri="{C3380CC4-5D6E-409C-BE32-E72D297353CC}">
              <c16:uniqueId val="{00000002-C293-456D-8CB1-7ED2E9CDF716}"/>
            </c:ext>
          </c:extLst>
        </c:ser>
        <c:ser>
          <c:idx val="3"/>
          <c:order val="3"/>
          <c:tx>
            <c:strRef>
              <c:f>Sheet1!$E$1</c:f>
              <c:strCache>
                <c:ptCount val="1"/>
                <c:pt idx="0">
                  <c:v>15-20 godina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Sheet1!$A$2</c:f>
              <c:strCache>
                <c:ptCount val="1"/>
                <c:pt idx="0">
                  <c:v>Category 1</c:v>
                </c:pt>
              </c:strCache>
            </c:strRef>
          </c:cat>
          <c:val>
            <c:numRef>
              <c:f>Sheet1!$E$2</c:f>
              <c:numCache>
                <c:formatCode>0.00%</c:formatCode>
                <c:ptCount val="1"/>
                <c:pt idx="0">
                  <c:v>4.4999999999999998E-2</c:v>
                </c:pt>
              </c:numCache>
            </c:numRef>
          </c:val>
          <c:extLst>
            <c:ext xmlns:c16="http://schemas.microsoft.com/office/drawing/2014/chart" uri="{C3380CC4-5D6E-409C-BE32-E72D297353CC}">
              <c16:uniqueId val="{00000003-C293-456D-8CB1-7ED2E9CDF716}"/>
            </c:ext>
          </c:extLst>
        </c:ser>
        <c:ser>
          <c:idx val="4"/>
          <c:order val="4"/>
          <c:tx>
            <c:strRef>
              <c:f>Sheet1!$F$1</c:f>
              <c:strCache>
                <c:ptCount val="1"/>
                <c:pt idx="0">
                  <c:v>20-30 godina</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Sheet1!$A$2</c:f>
              <c:strCache>
                <c:ptCount val="1"/>
                <c:pt idx="0">
                  <c:v>Category 1</c:v>
                </c:pt>
              </c:strCache>
            </c:strRef>
          </c:cat>
          <c:val>
            <c:numRef>
              <c:f>Sheet1!$F$2</c:f>
              <c:numCache>
                <c:formatCode>0%</c:formatCode>
                <c:ptCount val="1"/>
                <c:pt idx="0">
                  <c:v>0.2</c:v>
                </c:pt>
              </c:numCache>
            </c:numRef>
          </c:val>
          <c:extLst>
            <c:ext xmlns:c16="http://schemas.microsoft.com/office/drawing/2014/chart" uri="{C3380CC4-5D6E-409C-BE32-E72D297353CC}">
              <c16:uniqueId val="{00000004-C293-456D-8CB1-7ED2E9CDF716}"/>
            </c:ext>
          </c:extLst>
        </c:ser>
        <c:ser>
          <c:idx val="5"/>
          <c:order val="5"/>
          <c:tx>
            <c:strRef>
              <c:f>Sheet1!$G$1</c:f>
              <c:strCache>
                <c:ptCount val="1"/>
                <c:pt idx="0">
                  <c:v>30-50 godina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Sheet1!$A$2</c:f>
              <c:strCache>
                <c:ptCount val="1"/>
                <c:pt idx="0">
                  <c:v>Category 1</c:v>
                </c:pt>
              </c:strCache>
            </c:strRef>
          </c:cat>
          <c:val>
            <c:numRef>
              <c:f>Sheet1!$G$2</c:f>
              <c:numCache>
                <c:formatCode>0.00%</c:formatCode>
                <c:ptCount val="1"/>
                <c:pt idx="0">
                  <c:v>8.5699999999999998E-2</c:v>
                </c:pt>
              </c:numCache>
            </c:numRef>
          </c:val>
          <c:extLst>
            <c:ext xmlns:c16="http://schemas.microsoft.com/office/drawing/2014/chart" uri="{C3380CC4-5D6E-409C-BE32-E72D297353CC}">
              <c16:uniqueId val="{00000005-C293-456D-8CB1-7ED2E9CDF716}"/>
            </c:ext>
          </c:extLst>
        </c:ser>
        <c:ser>
          <c:idx val="6"/>
          <c:order val="6"/>
          <c:tx>
            <c:strRef>
              <c:f>Sheet1!$H$1</c:f>
              <c:strCache>
                <c:ptCount val="1"/>
                <c:pt idx="0">
                  <c:v>50-80 godina</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Sheet1!$A$2</c:f>
              <c:strCache>
                <c:ptCount val="1"/>
                <c:pt idx="0">
                  <c:v>Category 1</c:v>
                </c:pt>
              </c:strCache>
            </c:strRef>
          </c:cat>
          <c:val>
            <c:numRef>
              <c:f>Sheet1!$H$2</c:f>
              <c:numCache>
                <c:formatCode>0.00%</c:formatCode>
                <c:ptCount val="1"/>
                <c:pt idx="0">
                  <c:v>4.2900000000000001E-2</c:v>
                </c:pt>
              </c:numCache>
            </c:numRef>
          </c:val>
          <c:extLst>
            <c:ext xmlns:c16="http://schemas.microsoft.com/office/drawing/2014/chart" uri="{C3380CC4-5D6E-409C-BE32-E72D297353CC}">
              <c16:uniqueId val="{00000006-C293-456D-8CB1-7ED2E9CDF716}"/>
            </c:ext>
          </c:extLst>
        </c:ser>
        <c:ser>
          <c:idx val="7"/>
          <c:order val="7"/>
          <c:tx>
            <c:strRef>
              <c:f>Sheet1!$I$1</c:f>
              <c:strCache>
                <c:ptCount val="1"/>
                <c:pt idx="0">
                  <c:v>80-100 godina</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Sheet1!$A$2</c:f>
              <c:strCache>
                <c:ptCount val="1"/>
                <c:pt idx="0">
                  <c:v>Category 1</c:v>
                </c:pt>
              </c:strCache>
            </c:strRef>
          </c:cat>
          <c:val>
            <c:numRef>
              <c:f>Sheet1!$I$2</c:f>
              <c:numCache>
                <c:formatCode>General</c:formatCode>
                <c:ptCount val="1"/>
              </c:numCache>
            </c:numRef>
          </c:val>
          <c:extLst>
            <c:ext xmlns:c16="http://schemas.microsoft.com/office/drawing/2014/chart" uri="{C3380CC4-5D6E-409C-BE32-E72D297353CC}">
              <c16:uniqueId val="{00000007-C293-456D-8CB1-7ED2E9CDF716}"/>
            </c:ext>
          </c:extLst>
        </c:ser>
        <c:dLbls>
          <c:showLegendKey val="0"/>
          <c:showVal val="1"/>
          <c:showCatName val="0"/>
          <c:showSerName val="0"/>
          <c:showPercent val="0"/>
          <c:showBubbleSize val="0"/>
        </c:dLbls>
        <c:gapWidth val="219"/>
        <c:overlap val="-27"/>
        <c:axId val="1748396496"/>
        <c:axId val="1748412816"/>
      </c:barChart>
      <c:catAx>
        <c:axId val="1748396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748412816"/>
        <c:crosses val="autoZero"/>
        <c:auto val="1"/>
        <c:lblAlgn val="ctr"/>
        <c:lblOffset val="100"/>
        <c:noMultiLvlLbl val="0"/>
      </c:catAx>
      <c:valAx>
        <c:axId val="17484128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748396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ad84836e-b202-4f8a-a0b9-0fd002475ae4}"/>
      </c:ext>
    </c:extLst>
  </c:chart>
  <c:spPr>
    <a:noFill/>
    <a:ln w="9525" cap="flat" cmpd="sng" algn="ctr">
      <a:noFill/>
      <a:round/>
    </a:ln>
    <a:effectLst/>
  </c:spPr>
  <c:txPr>
    <a:bodyPr/>
    <a:lstStyle/>
    <a:p>
      <a:pPr>
        <a:defRPr lang="en-US"/>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Pojava simptoma eska oboljenja u odnosu na sortiment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Sheet1!$A$2:$A$33</c:f>
              <c:strCache>
                <c:ptCount val="32"/>
                <c:pt idx="0">
                  <c:v>Vranac</c:v>
                </c:pt>
                <c:pt idx="1">
                  <c:v>Kratošija</c:v>
                </c:pt>
                <c:pt idx="2">
                  <c:v>Kardinal</c:v>
                </c:pt>
                <c:pt idx="3">
                  <c:v>Kabernet Franc</c:v>
                </c:pt>
                <c:pt idx="4">
                  <c:v>Širaz</c:v>
                </c:pt>
                <c:pt idx="5">
                  <c:v>Marselan</c:v>
                </c:pt>
                <c:pt idx="6">
                  <c:v>Skadarka</c:v>
                </c:pt>
                <c:pt idx="7">
                  <c:v>Kabernet Souvignon</c:v>
                </c:pt>
                <c:pt idx="8">
                  <c:v>Šardone</c:v>
                </c:pt>
                <c:pt idx="9">
                  <c:v>Souvignon Blanc</c:v>
                </c:pt>
                <c:pt idx="10">
                  <c:v>Krstač</c:v>
                </c:pt>
                <c:pt idx="11">
                  <c:v>Ribijer</c:v>
                </c:pt>
                <c:pt idx="12">
                  <c:v>Afus ali</c:v>
                </c:pt>
                <c:pt idx="13">
                  <c:v>Probus</c:v>
                </c:pt>
                <c:pt idx="14">
                  <c:v>Merlot</c:v>
                </c:pt>
                <c:pt idx="15">
                  <c:v>Smederevka</c:v>
                </c:pt>
                <c:pt idx="16">
                  <c:v>Župljanka</c:v>
                </c:pt>
                <c:pt idx="17">
                  <c:v>Malvazija</c:v>
                </c:pt>
                <c:pt idx="18">
                  <c:v>M. Hamburg</c:v>
                </c:pt>
                <c:pt idx="19">
                  <c:v>Grenaž</c:v>
                </c:pt>
                <c:pt idx="20">
                  <c:v>Žilavka</c:v>
                </c:pt>
                <c:pt idx="21">
                  <c:v>B. Tamjanika</c:v>
                </c:pt>
                <c:pt idx="22">
                  <c:v>C. Tamjanika</c:v>
                </c:pt>
                <c:pt idx="23">
                  <c:v>Pinot Noir</c:v>
                </c:pt>
                <c:pt idx="24">
                  <c:v>Viktorija</c:v>
                </c:pt>
                <c:pt idx="25">
                  <c:v>Lisičina</c:v>
                </c:pt>
                <c:pt idx="26">
                  <c:v>Moldava</c:v>
                </c:pt>
                <c:pt idx="27">
                  <c:v>Rozaklija</c:v>
                </c:pt>
                <c:pt idx="28">
                  <c:v>Blek Medžik</c:v>
                </c:pt>
                <c:pt idx="29">
                  <c:v>Frankovka</c:v>
                </c:pt>
                <c:pt idx="30">
                  <c:v>Čubrica</c:v>
                </c:pt>
                <c:pt idx="31">
                  <c:v>Demir Kapija</c:v>
                </c:pt>
              </c:strCache>
            </c:strRef>
          </c:cat>
          <c:val>
            <c:numRef>
              <c:f>Sheet1!$B$2:$B$33</c:f>
              <c:numCache>
                <c:formatCode>0%</c:formatCode>
                <c:ptCount val="32"/>
                <c:pt idx="0">
                  <c:v>0.95</c:v>
                </c:pt>
                <c:pt idx="1">
                  <c:v>0.9</c:v>
                </c:pt>
                <c:pt idx="2">
                  <c:v>0.75</c:v>
                </c:pt>
                <c:pt idx="3">
                  <c:v>0</c:v>
                </c:pt>
                <c:pt idx="4">
                  <c:v>0</c:v>
                </c:pt>
                <c:pt idx="5">
                  <c:v>0</c:v>
                </c:pt>
                <c:pt idx="6">
                  <c:v>0</c:v>
                </c:pt>
                <c:pt idx="7">
                  <c:v>0.15</c:v>
                </c:pt>
                <c:pt idx="8">
                  <c:v>0</c:v>
                </c:pt>
                <c:pt idx="9">
                  <c:v>0</c:v>
                </c:pt>
                <c:pt idx="10">
                  <c:v>0.5</c:v>
                </c:pt>
                <c:pt idx="11">
                  <c:v>0.85</c:v>
                </c:pt>
                <c:pt idx="12">
                  <c:v>0.9</c:v>
                </c:pt>
                <c:pt idx="13">
                  <c:v>0</c:v>
                </c:pt>
                <c:pt idx="14">
                  <c:v>0.25</c:v>
                </c:pt>
                <c:pt idx="15">
                  <c:v>0</c:v>
                </c:pt>
                <c:pt idx="16">
                  <c:v>0</c:v>
                </c:pt>
                <c:pt idx="17">
                  <c:v>0</c:v>
                </c:pt>
                <c:pt idx="18">
                  <c:v>0.5</c:v>
                </c:pt>
                <c:pt idx="19">
                  <c:v>0</c:v>
                </c:pt>
                <c:pt idx="20">
                  <c:v>0</c:v>
                </c:pt>
                <c:pt idx="21">
                  <c:v>0</c:v>
                </c:pt>
                <c:pt idx="22">
                  <c:v>0</c:v>
                </c:pt>
                <c:pt idx="23">
                  <c:v>0</c:v>
                </c:pt>
                <c:pt idx="24">
                  <c:v>0.75</c:v>
                </c:pt>
                <c:pt idx="25">
                  <c:v>0</c:v>
                </c:pt>
                <c:pt idx="26">
                  <c:v>0.25</c:v>
                </c:pt>
                <c:pt idx="27">
                  <c:v>0.5</c:v>
                </c:pt>
                <c:pt idx="28">
                  <c:v>0</c:v>
                </c:pt>
                <c:pt idx="29">
                  <c:v>0</c:v>
                </c:pt>
                <c:pt idx="30">
                  <c:v>0.5</c:v>
                </c:pt>
                <c:pt idx="31">
                  <c:v>0</c:v>
                </c:pt>
              </c:numCache>
            </c:numRef>
          </c:val>
          <c:extLst>
            <c:ext xmlns:c16="http://schemas.microsoft.com/office/drawing/2014/chart" uri="{C3380CC4-5D6E-409C-BE32-E72D297353CC}">
              <c16:uniqueId val="{00000000-E61C-4756-8EE2-6AEA932D4445}"/>
            </c:ext>
          </c:extLst>
        </c:ser>
        <c:dLbls>
          <c:showLegendKey val="0"/>
          <c:showVal val="1"/>
          <c:showCatName val="0"/>
          <c:showSerName val="0"/>
          <c:showPercent val="0"/>
          <c:showBubbleSize val="0"/>
        </c:dLbls>
        <c:gapWidth val="219"/>
        <c:overlap val="-27"/>
        <c:axId val="1748391600"/>
        <c:axId val="1748405744"/>
      </c:barChart>
      <c:catAx>
        <c:axId val="1748391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748405744"/>
        <c:crosses val="autoZero"/>
        <c:auto val="1"/>
        <c:lblAlgn val="ctr"/>
        <c:lblOffset val="100"/>
        <c:noMultiLvlLbl val="0"/>
      </c:catAx>
      <c:valAx>
        <c:axId val="17484057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748391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beefbf62-ee3a-4e35-9be9-740fcaadaad0}"/>
      </c:ext>
    </c:extLst>
  </c:chart>
  <c:spPr>
    <a:solidFill>
      <a:schemeClr val="bg1"/>
    </a:solidFill>
    <a:ln w="9525" cap="flat" cmpd="sng" algn="ctr">
      <a:solidFill>
        <a:schemeClr val="tx1">
          <a:lumMod val="15000"/>
          <a:lumOff val="85000"/>
        </a:schemeClr>
      </a:solidFill>
      <a:round/>
    </a:ln>
    <a:effectLst/>
  </c:spPr>
  <c:txPr>
    <a:bodyPr/>
    <a:lstStyle/>
    <a:p>
      <a:pPr>
        <a:defRPr lang="en-US"/>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N. parvum</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ln>
                      <a:noFill/>
                    </a:ln>
                    <a:solidFill>
                      <a:schemeClr val="tx2"/>
                    </a:solidFill>
                    <a:effectLst>
                      <a:outerShdw blurRad="50800" dist="50800" dir="5400000" algn="ctr" rotWithShape="0">
                        <a:srgbClr val="000000">
                          <a:alpha val="0"/>
                        </a:srgbClr>
                      </a:outerShdw>
                    </a:effectLst>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Sheet1!$A$2:$A$5</c:f>
              <c:strCache>
                <c:ptCount val="4"/>
                <c:pt idx="0">
                  <c:v>Negativna kontrola</c:v>
                </c:pt>
                <c:pt idx="1">
                  <c:v>Pozitivna kontrola</c:v>
                </c:pt>
                <c:pt idx="2">
                  <c:v>T. cit</c:v>
                </c:pt>
                <c:pt idx="3">
                  <c:v>T. atr SC1</c:v>
                </c:pt>
              </c:strCache>
            </c:strRef>
          </c:cat>
          <c:val>
            <c:numRef>
              <c:f>Sheet1!$B$2:$B$5</c:f>
              <c:numCache>
                <c:formatCode>0%</c:formatCode>
                <c:ptCount val="4"/>
                <c:pt idx="0">
                  <c:v>0</c:v>
                </c:pt>
                <c:pt idx="1">
                  <c:v>1</c:v>
                </c:pt>
                <c:pt idx="2" formatCode="0.00%">
                  <c:v>0.44444444444444398</c:v>
                </c:pt>
                <c:pt idx="3" formatCode="0.00%">
                  <c:v>0.33329999999999999</c:v>
                </c:pt>
              </c:numCache>
            </c:numRef>
          </c:val>
          <c:extLst>
            <c:ext xmlns:c16="http://schemas.microsoft.com/office/drawing/2014/chart" uri="{C3380CC4-5D6E-409C-BE32-E72D297353CC}">
              <c16:uniqueId val="{00000000-0C9D-426C-87FA-DBA0BD4DF480}"/>
            </c:ext>
          </c:extLst>
        </c:ser>
        <c:ser>
          <c:idx val="1"/>
          <c:order val="1"/>
          <c:tx>
            <c:strRef>
              <c:f>Sheet1!$C$1</c:f>
              <c:strCache>
                <c:ptCount val="1"/>
                <c:pt idx="0">
                  <c:v>P. minimum</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ln>
                      <a:noFill/>
                    </a:ln>
                    <a:solidFill>
                      <a:schemeClr val="tx2"/>
                    </a:solidFill>
                    <a:effectLst>
                      <a:outerShdw blurRad="50800" dist="50800" dir="5400000" algn="ctr" rotWithShape="0">
                        <a:srgbClr val="000000">
                          <a:alpha val="0"/>
                        </a:srgbClr>
                      </a:outerShdw>
                    </a:effectLst>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Sheet1!$A$2:$A$5</c:f>
              <c:strCache>
                <c:ptCount val="4"/>
                <c:pt idx="0">
                  <c:v>Negativna kontrola</c:v>
                </c:pt>
                <c:pt idx="1">
                  <c:v>Pozitivna kontrola</c:v>
                </c:pt>
                <c:pt idx="2">
                  <c:v>T. cit</c:v>
                </c:pt>
                <c:pt idx="3">
                  <c:v>T. atr SC1</c:v>
                </c:pt>
              </c:strCache>
            </c:strRef>
          </c:cat>
          <c:val>
            <c:numRef>
              <c:f>Sheet1!$C$2:$C$5</c:f>
              <c:numCache>
                <c:formatCode>0.00%</c:formatCode>
                <c:ptCount val="4"/>
                <c:pt idx="0" formatCode="0%">
                  <c:v>0</c:v>
                </c:pt>
                <c:pt idx="1">
                  <c:v>0.88888888888888895</c:v>
                </c:pt>
                <c:pt idx="2">
                  <c:v>0.33329999999999999</c:v>
                </c:pt>
                <c:pt idx="3">
                  <c:v>0.22220000000000001</c:v>
                </c:pt>
              </c:numCache>
            </c:numRef>
          </c:val>
          <c:extLst>
            <c:ext xmlns:c16="http://schemas.microsoft.com/office/drawing/2014/chart" uri="{C3380CC4-5D6E-409C-BE32-E72D297353CC}">
              <c16:uniqueId val="{00000001-0C9D-426C-87FA-DBA0BD4DF480}"/>
            </c:ext>
          </c:extLst>
        </c:ser>
        <c:ser>
          <c:idx val="2"/>
          <c:order val="2"/>
          <c:tx>
            <c:strRef>
              <c:f>Sheet1!$D$1</c:f>
              <c:strCache>
                <c:ptCount val="1"/>
                <c:pt idx="0">
                  <c:v>P. chlamydospora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ln>
                      <a:noFill/>
                    </a:ln>
                    <a:solidFill>
                      <a:schemeClr val="tx2"/>
                    </a:solidFill>
                    <a:effectLst>
                      <a:outerShdw blurRad="50800" dist="50800" dir="5400000" algn="ctr" rotWithShape="0">
                        <a:srgbClr val="000000">
                          <a:alpha val="0"/>
                        </a:srgbClr>
                      </a:outerShdw>
                    </a:effectLst>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Sheet1!$A$2:$A$5</c:f>
              <c:strCache>
                <c:ptCount val="4"/>
                <c:pt idx="0">
                  <c:v>Negativna kontrola</c:v>
                </c:pt>
                <c:pt idx="1">
                  <c:v>Pozitivna kontrola</c:v>
                </c:pt>
                <c:pt idx="2">
                  <c:v>T. cit</c:v>
                </c:pt>
                <c:pt idx="3">
                  <c:v>T. atr SC1</c:v>
                </c:pt>
              </c:strCache>
            </c:strRef>
          </c:cat>
          <c:val>
            <c:numRef>
              <c:f>Sheet1!$D$2:$D$5</c:f>
              <c:numCache>
                <c:formatCode>0.00%</c:formatCode>
                <c:ptCount val="4"/>
                <c:pt idx="0" formatCode="0%">
                  <c:v>0</c:v>
                </c:pt>
                <c:pt idx="1">
                  <c:v>0.66666666666666696</c:v>
                </c:pt>
                <c:pt idx="2" formatCode="0%">
                  <c:v>0</c:v>
                </c:pt>
                <c:pt idx="3" formatCode="General">
                  <c:v>0</c:v>
                </c:pt>
              </c:numCache>
            </c:numRef>
          </c:val>
          <c:extLst>
            <c:ext xmlns:c16="http://schemas.microsoft.com/office/drawing/2014/chart" uri="{C3380CC4-5D6E-409C-BE32-E72D297353CC}">
              <c16:uniqueId val="{00000002-0C9D-426C-87FA-DBA0BD4DF480}"/>
            </c:ext>
          </c:extLst>
        </c:ser>
        <c:dLbls>
          <c:showLegendKey val="0"/>
          <c:showVal val="1"/>
          <c:showCatName val="0"/>
          <c:showSerName val="0"/>
          <c:showPercent val="0"/>
          <c:showBubbleSize val="0"/>
        </c:dLbls>
        <c:gapWidth val="100"/>
        <c:overlap val="-24"/>
        <c:axId val="1748393776"/>
        <c:axId val="1748416624"/>
      </c:barChart>
      <c:catAx>
        <c:axId val="17483937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ln>
                  <a:noFill/>
                </a:ln>
                <a:solidFill>
                  <a:schemeClr val="tx2"/>
                </a:solidFill>
                <a:effectLst>
                  <a:outerShdw blurRad="50800" dist="50800" dir="5400000" algn="ctr" rotWithShape="0">
                    <a:srgbClr val="000000">
                      <a:alpha val="0"/>
                    </a:srgbClr>
                  </a:outerShdw>
                </a:effectLst>
                <a:latin typeface="+mn-lt"/>
                <a:ea typeface="+mn-ea"/>
                <a:cs typeface="+mn-cs"/>
              </a:defRPr>
            </a:pPr>
            <a:endParaRPr lang="en-US"/>
          </a:p>
        </c:txPr>
        <c:crossAx val="1748416624"/>
        <c:crosses val="autoZero"/>
        <c:auto val="1"/>
        <c:lblAlgn val="ctr"/>
        <c:lblOffset val="100"/>
        <c:noMultiLvlLbl val="0"/>
      </c:catAx>
      <c:valAx>
        <c:axId val="1748416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ln>
                  <a:noFill/>
                </a:ln>
                <a:solidFill>
                  <a:schemeClr val="tx2"/>
                </a:solidFill>
                <a:effectLst>
                  <a:outerShdw blurRad="50800" dist="50800" dir="5400000" algn="ctr" rotWithShape="0">
                    <a:srgbClr val="000000">
                      <a:alpha val="0"/>
                    </a:srgbClr>
                  </a:outerShdw>
                </a:effectLst>
                <a:latin typeface="+mn-lt"/>
                <a:ea typeface="+mn-ea"/>
                <a:cs typeface="+mn-cs"/>
              </a:defRPr>
            </a:pPr>
            <a:endParaRPr lang="en-US"/>
          </a:p>
        </c:txPr>
        <c:crossAx val="1748393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ln>
                <a:noFill/>
              </a:ln>
              <a:solidFill>
                <a:schemeClr val="tx2"/>
              </a:solidFill>
              <a:effectLst>
                <a:outerShdw blurRad="50800" dist="50800" dir="5400000" algn="ctr" rotWithShape="0">
                  <a:srgbClr val="000000">
                    <a:alpha val="0"/>
                  </a:srgbClr>
                </a:outerShdw>
              </a:effectLst>
              <a:latin typeface="+mn-lt"/>
              <a:ea typeface="+mn-ea"/>
              <a:cs typeface="+mn-cs"/>
            </a:defRPr>
          </a:pPr>
          <a:endParaRPr lang="en-US"/>
        </a:p>
      </c:txPr>
    </c:legend>
    <c:plotVisOnly val="1"/>
    <c:dispBlanksAs val="gap"/>
    <c:showDLblsOverMax val="0"/>
    <c:extLst>
      <c:ext uri="{0b15fc19-7d7d-44ad-8c2d-2c3a37ce22c3}">
        <chartProps xmlns="https://web.wps.cn/et/2018/main" chartId="{908fa2b7-375c-4e12-9913-0e810f928358}"/>
      </c:ext>
    </c:extLst>
  </c:chart>
  <c:spPr>
    <a:noFill/>
    <a:ln w="9525" cap="flat" cmpd="sng" algn="ctr">
      <a:noFill/>
      <a:round/>
    </a:ln>
    <a:effectLst/>
  </c:spPr>
  <c:txPr>
    <a:bodyPr rot="5400000" vert="horz" anchor="b" anchorCtr="0"/>
    <a:lstStyle/>
    <a:p>
      <a:pPr>
        <a:defRPr lang="en-US">
          <a:ln>
            <a:noFill/>
          </a:ln>
          <a:solidFill>
            <a:schemeClr val="tx2"/>
          </a:solidFill>
          <a:effectLst>
            <a:outerShdw blurRad="50800" dist="50800" dir="5400000" algn="ctr" rotWithShape="0">
              <a:srgbClr val="000000">
                <a:alpha val="0"/>
              </a:srgbClr>
            </a:outerShdw>
          </a:effectLst>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N. parvum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dk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errBars>
            <c:errBarType val="both"/>
            <c:errValType val="stdErr"/>
            <c:noEndCap val="0"/>
            <c:spPr>
              <a:noFill/>
              <a:ln w="9525" cap="flat" cmpd="sng" algn="ctr">
                <a:solidFill>
                  <a:schemeClr val="dk1">
                    <a:lumMod val="50000"/>
                    <a:lumOff val="50000"/>
                  </a:schemeClr>
                </a:solidFill>
                <a:round/>
              </a:ln>
              <a:effectLst/>
            </c:spPr>
          </c:errBars>
          <c:cat>
            <c:strRef>
              <c:f>Sheet1!$A$2:$A$3</c:f>
              <c:strCache>
                <c:ptCount val="2"/>
                <c:pt idx="0">
                  <c:v>T. citrinoviride mnvl 23</c:v>
                </c:pt>
                <c:pt idx="1">
                  <c:v>T. atroviride SC1</c:v>
                </c:pt>
              </c:strCache>
            </c:strRef>
          </c:cat>
          <c:val>
            <c:numRef>
              <c:f>Sheet1!$B$2:$B$3</c:f>
              <c:numCache>
                <c:formatCode>0.00%</c:formatCode>
                <c:ptCount val="2"/>
                <c:pt idx="0">
                  <c:v>0.55555555555555602</c:v>
                </c:pt>
                <c:pt idx="1">
                  <c:v>0.66666666666666696</c:v>
                </c:pt>
              </c:numCache>
            </c:numRef>
          </c:val>
          <c:extLst>
            <c:ext xmlns:c16="http://schemas.microsoft.com/office/drawing/2014/chart" uri="{C3380CC4-5D6E-409C-BE32-E72D297353CC}">
              <c16:uniqueId val="{00000000-3CCF-45E0-9877-957AE2E86F9B}"/>
            </c:ext>
          </c:extLst>
        </c:ser>
        <c:ser>
          <c:idx val="1"/>
          <c:order val="1"/>
          <c:tx>
            <c:strRef>
              <c:f>Sheet1!$C$1</c:f>
              <c:strCache>
                <c:ptCount val="1"/>
                <c:pt idx="0">
                  <c:v>P. minimum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dk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errBars>
            <c:errBarType val="both"/>
            <c:errValType val="stdErr"/>
            <c:noEndCap val="0"/>
            <c:spPr>
              <a:noFill/>
              <a:ln w="9525" cap="flat" cmpd="sng" algn="ctr">
                <a:solidFill>
                  <a:schemeClr val="dk1">
                    <a:lumMod val="50000"/>
                    <a:lumOff val="50000"/>
                  </a:schemeClr>
                </a:solidFill>
                <a:round/>
              </a:ln>
              <a:effectLst/>
            </c:spPr>
          </c:errBars>
          <c:cat>
            <c:strRef>
              <c:f>Sheet1!$A$2:$A$3</c:f>
              <c:strCache>
                <c:ptCount val="2"/>
                <c:pt idx="0">
                  <c:v>T. citrinoviride mnvl 23</c:v>
                </c:pt>
                <c:pt idx="1">
                  <c:v>T. atroviride SC1</c:v>
                </c:pt>
              </c:strCache>
            </c:strRef>
          </c:cat>
          <c:val>
            <c:numRef>
              <c:f>Sheet1!$C$2:$C$3</c:f>
              <c:numCache>
                <c:formatCode>0.00%</c:formatCode>
                <c:ptCount val="2"/>
                <c:pt idx="0">
                  <c:v>0.625</c:v>
                </c:pt>
                <c:pt idx="1">
                  <c:v>0.75</c:v>
                </c:pt>
              </c:numCache>
            </c:numRef>
          </c:val>
          <c:extLst>
            <c:ext xmlns:c16="http://schemas.microsoft.com/office/drawing/2014/chart" uri="{C3380CC4-5D6E-409C-BE32-E72D297353CC}">
              <c16:uniqueId val="{00000001-3CCF-45E0-9877-957AE2E86F9B}"/>
            </c:ext>
          </c:extLst>
        </c:ser>
        <c:ser>
          <c:idx val="2"/>
          <c:order val="2"/>
          <c:tx>
            <c:strRef>
              <c:f>Sheet1!$D$1</c:f>
              <c:strCache>
                <c:ptCount val="1"/>
                <c:pt idx="0">
                  <c:v>P. chlamydospora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dk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errBars>
            <c:errBarType val="both"/>
            <c:errValType val="stdErr"/>
            <c:noEndCap val="0"/>
            <c:spPr>
              <a:noFill/>
              <a:ln w="9525" cap="flat" cmpd="sng" algn="ctr">
                <a:solidFill>
                  <a:schemeClr val="dk1">
                    <a:lumMod val="50000"/>
                    <a:lumOff val="50000"/>
                  </a:schemeClr>
                </a:solidFill>
                <a:round/>
              </a:ln>
              <a:effectLst/>
            </c:spPr>
          </c:errBars>
          <c:cat>
            <c:strRef>
              <c:f>Sheet1!$A$2:$A$3</c:f>
              <c:strCache>
                <c:ptCount val="2"/>
                <c:pt idx="0">
                  <c:v>T. citrinoviride mnvl 23</c:v>
                </c:pt>
                <c:pt idx="1">
                  <c:v>T. atroviride SC1</c:v>
                </c:pt>
              </c:strCache>
            </c:strRef>
          </c:cat>
          <c:val>
            <c:numRef>
              <c:f>Sheet1!$D$2:$D$3</c:f>
              <c:numCache>
                <c:formatCode>0.00%</c:formatCode>
                <c:ptCount val="2"/>
                <c:pt idx="0">
                  <c:v>1</c:v>
                </c:pt>
                <c:pt idx="1">
                  <c:v>1</c:v>
                </c:pt>
              </c:numCache>
            </c:numRef>
          </c:val>
          <c:extLst>
            <c:ext xmlns:c16="http://schemas.microsoft.com/office/drawing/2014/chart" uri="{C3380CC4-5D6E-409C-BE32-E72D297353CC}">
              <c16:uniqueId val="{00000002-3CCF-45E0-9877-957AE2E86F9B}"/>
            </c:ext>
          </c:extLst>
        </c:ser>
        <c:dLbls>
          <c:showLegendKey val="0"/>
          <c:showVal val="1"/>
          <c:showCatName val="0"/>
          <c:showSerName val="0"/>
          <c:showPercent val="0"/>
          <c:showBubbleSize val="0"/>
        </c:dLbls>
        <c:gapWidth val="267"/>
        <c:overlap val="-43"/>
        <c:axId val="1748390512"/>
        <c:axId val="1748398672"/>
      </c:barChart>
      <c:catAx>
        <c:axId val="174839051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lang="en-US" sz="900" b="0" i="0" u="none" strike="noStrike" kern="1200" cap="none" spc="0" normalizeH="0" baseline="0">
                <a:solidFill>
                  <a:schemeClr val="dk1">
                    <a:lumMod val="65000"/>
                    <a:lumOff val="35000"/>
                  </a:schemeClr>
                </a:solidFill>
                <a:latin typeface="+mn-lt"/>
                <a:ea typeface="+mn-ea"/>
                <a:cs typeface="+mn-cs"/>
              </a:defRPr>
            </a:pPr>
            <a:endParaRPr lang="en-US"/>
          </a:p>
        </c:txPr>
        <c:crossAx val="1748398672"/>
        <c:crosses val="autoZero"/>
        <c:auto val="1"/>
        <c:lblAlgn val="ctr"/>
        <c:lblOffset val="100"/>
        <c:noMultiLvlLbl val="0"/>
      </c:catAx>
      <c:valAx>
        <c:axId val="1748398672"/>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endParaRPr lang="en-US"/>
          </a:p>
        </c:txPr>
        <c:crossAx val="1748390512"/>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9.3557706328375595E-2"/>
          <c:y val="0.87202287214098195"/>
          <c:w val="0.82677329396325505"/>
          <c:h val="0.12797712785901799"/>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3542371b-3fe7-488e-a5b7-5aba4c99573f}"/>
      </c:ext>
    </c:extLst>
  </c:chart>
  <c:spPr>
    <a:solidFill>
      <a:schemeClr val="lt1"/>
    </a:solidFill>
    <a:ln w="9525" cap="flat" cmpd="sng" algn="ctr">
      <a:noFill/>
      <a:round/>
    </a:ln>
    <a:effectLst/>
  </c:spPr>
  <c:txPr>
    <a:bodyPr/>
    <a:lstStyle/>
    <a:p>
      <a:pPr>
        <a:defRPr lang="en-US"/>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2021 godina</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Sheet1!$A$2:$A$4</c:f>
              <c:strCache>
                <c:ptCount val="3"/>
                <c:pt idx="0">
                  <c:v>Čokoti bez simptoma</c:v>
                </c:pt>
                <c:pt idx="1">
                  <c:v>Čokoti sa simptomima</c:v>
                </c:pt>
                <c:pt idx="2">
                  <c:v>Prazna mjesta</c:v>
                </c:pt>
              </c:strCache>
            </c:strRef>
          </c:cat>
          <c:val>
            <c:numRef>
              <c:f>Sheet1!$B$2:$B$4</c:f>
              <c:numCache>
                <c:formatCode>0.00%</c:formatCode>
                <c:ptCount val="3"/>
                <c:pt idx="0">
                  <c:v>0.75490000000000002</c:v>
                </c:pt>
                <c:pt idx="1">
                  <c:v>8.1600000000000006E-2</c:v>
                </c:pt>
                <c:pt idx="2">
                  <c:v>0.16350000000000001</c:v>
                </c:pt>
              </c:numCache>
            </c:numRef>
          </c:val>
          <c:extLst>
            <c:ext xmlns:c16="http://schemas.microsoft.com/office/drawing/2014/chart" uri="{C3380CC4-5D6E-409C-BE32-E72D297353CC}">
              <c16:uniqueId val="{00000000-B394-44D0-AD41-17F81BEF8A52}"/>
            </c:ext>
          </c:extLst>
        </c:ser>
        <c:ser>
          <c:idx val="1"/>
          <c:order val="1"/>
          <c:tx>
            <c:strRef>
              <c:f>Sheet1!$C$1</c:f>
              <c:strCache>
                <c:ptCount val="1"/>
                <c:pt idx="0">
                  <c:v>2022 godina</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Sheet1!$A$2:$A$4</c:f>
              <c:strCache>
                <c:ptCount val="3"/>
                <c:pt idx="0">
                  <c:v>Čokoti bez simptoma</c:v>
                </c:pt>
                <c:pt idx="1">
                  <c:v>Čokoti sa simptomima</c:v>
                </c:pt>
                <c:pt idx="2">
                  <c:v>Prazna mjesta</c:v>
                </c:pt>
              </c:strCache>
            </c:strRef>
          </c:cat>
          <c:val>
            <c:numRef>
              <c:f>Sheet1!$C$2:$C$4</c:f>
              <c:numCache>
                <c:formatCode>0.00%</c:formatCode>
                <c:ptCount val="3"/>
                <c:pt idx="0">
                  <c:v>0.61080000000000001</c:v>
                </c:pt>
                <c:pt idx="1">
                  <c:v>0.1986</c:v>
                </c:pt>
                <c:pt idx="2">
                  <c:v>0.19109999999999999</c:v>
                </c:pt>
              </c:numCache>
            </c:numRef>
          </c:val>
          <c:extLst>
            <c:ext xmlns:c16="http://schemas.microsoft.com/office/drawing/2014/chart" uri="{C3380CC4-5D6E-409C-BE32-E72D297353CC}">
              <c16:uniqueId val="{00000001-B394-44D0-AD41-17F81BEF8A52}"/>
            </c:ext>
          </c:extLst>
        </c:ser>
        <c:ser>
          <c:idx val="2"/>
          <c:order val="2"/>
          <c:tx>
            <c:strRef>
              <c:f>Sheet1!$D$1</c:f>
              <c:strCache>
                <c:ptCount val="1"/>
                <c:pt idx="0">
                  <c:v>2023 godina</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Sheet1!$A$2:$A$4</c:f>
              <c:strCache>
                <c:ptCount val="3"/>
                <c:pt idx="0">
                  <c:v>Čokoti bez simptoma</c:v>
                </c:pt>
                <c:pt idx="1">
                  <c:v>Čokoti sa simptomima</c:v>
                </c:pt>
                <c:pt idx="2">
                  <c:v>Prazna mjesta</c:v>
                </c:pt>
              </c:strCache>
            </c:strRef>
          </c:cat>
          <c:val>
            <c:numRef>
              <c:f>Sheet1!$D$2:$D$4</c:f>
              <c:numCache>
                <c:formatCode>0.00%</c:formatCode>
                <c:ptCount val="3"/>
                <c:pt idx="0">
                  <c:v>0.56320000000000003</c:v>
                </c:pt>
                <c:pt idx="1">
                  <c:v>0.23930000000000001</c:v>
                </c:pt>
                <c:pt idx="2">
                  <c:v>0.1981</c:v>
                </c:pt>
              </c:numCache>
            </c:numRef>
          </c:val>
          <c:extLst>
            <c:ext xmlns:c16="http://schemas.microsoft.com/office/drawing/2014/chart" uri="{C3380CC4-5D6E-409C-BE32-E72D297353CC}">
              <c16:uniqueId val="{00000002-B394-44D0-AD41-17F81BEF8A52}"/>
            </c:ext>
          </c:extLst>
        </c:ser>
        <c:ser>
          <c:idx val="3"/>
          <c:order val="3"/>
          <c:tx>
            <c:strRef>
              <c:f>Sheet1!$E$1</c:f>
              <c:strCache>
                <c:ptCount val="1"/>
                <c:pt idx="0">
                  <c:v>2024 godina</c:v>
                </c:pt>
              </c:strCache>
            </c:strRef>
          </c:tx>
          <c:spPr>
            <a:solidFill>
              <a:schemeClr val="accent4"/>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Sheet1!$A$2:$A$4</c:f>
              <c:strCache>
                <c:ptCount val="3"/>
                <c:pt idx="0">
                  <c:v>Čokoti bez simptoma</c:v>
                </c:pt>
                <c:pt idx="1">
                  <c:v>Čokoti sa simptomima</c:v>
                </c:pt>
                <c:pt idx="2">
                  <c:v>Prazna mjesta</c:v>
                </c:pt>
              </c:strCache>
            </c:strRef>
          </c:cat>
          <c:val>
            <c:numRef>
              <c:f>Sheet1!$E$2:$E$4</c:f>
              <c:numCache>
                <c:formatCode>0.00%</c:formatCode>
                <c:ptCount val="3"/>
                <c:pt idx="0">
                  <c:v>0.53500000000000003</c:v>
                </c:pt>
                <c:pt idx="1">
                  <c:v>0.14829999999999999</c:v>
                </c:pt>
                <c:pt idx="2">
                  <c:v>0.31669999999999998</c:v>
                </c:pt>
              </c:numCache>
            </c:numRef>
          </c:val>
          <c:extLst>
            <c:ext xmlns:c16="http://schemas.microsoft.com/office/drawing/2014/chart" uri="{C3380CC4-5D6E-409C-BE32-E72D297353CC}">
              <c16:uniqueId val="{00000003-B394-44D0-AD41-17F81BEF8A52}"/>
            </c:ext>
          </c:extLst>
        </c:ser>
        <c:dLbls>
          <c:showLegendKey val="0"/>
          <c:showVal val="0"/>
          <c:showCatName val="0"/>
          <c:showSerName val="0"/>
          <c:showPercent val="0"/>
          <c:showBubbleSize val="0"/>
        </c:dLbls>
        <c:gapWidth val="219"/>
        <c:overlap val="-27"/>
        <c:axId val="1748407920"/>
        <c:axId val="1748418256"/>
      </c:barChart>
      <c:catAx>
        <c:axId val="17484079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748418256"/>
        <c:crosses val="autoZero"/>
        <c:auto val="1"/>
        <c:lblAlgn val="ctr"/>
        <c:lblOffset val="100"/>
        <c:noMultiLvlLbl val="0"/>
      </c:catAx>
      <c:valAx>
        <c:axId val="17484182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748407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5185b956-f37a-4f3d-89d3-9f2e3ef7128e}"/>
      </c:ext>
    </c:extLst>
  </c:chart>
  <c:spPr>
    <a:solidFill>
      <a:schemeClr val="bg1"/>
    </a:solidFill>
    <a:ln w="9525" cap="flat" cmpd="sng" algn="ctr">
      <a:noFill/>
      <a:round/>
    </a:ln>
    <a:effectLst/>
  </c:spPr>
  <c:txPr>
    <a:bodyPr/>
    <a:lstStyle/>
    <a:p>
      <a:pPr>
        <a:defRPr lang="en-US"/>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712842907484499"/>
          <c:y val="0.10463608156363"/>
          <c:w val="0.42173194624761801"/>
          <c:h val="0.62943054936924803"/>
        </c:manualLayout>
      </c:layout>
      <c:pieChart>
        <c:varyColors val="1"/>
        <c:ser>
          <c:idx val="0"/>
          <c:order val="0"/>
          <c:tx>
            <c:strRef>
              <c:f>Sheet1!$B$1</c:f>
              <c:strCache>
                <c:ptCount val="1"/>
                <c:pt idx="0">
                  <c:v>Sales</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60D3-48D1-B27F-9D721712EC6D}"/>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60D3-48D1-B27F-9D721712EC6D}"/>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60D3-48D1-B27F-9D721712EC6D}"/>
              </c:ext>
            </c:extLst>
          </c:dPt>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dk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2022 godina</c:v>
                </c:pt>
                <c:pt idx="1">
                  <c:v>2023 godina</c:v>
                </c:pt>
                <c:pt idx="2">
                  <c:v>2024 godina</c:v>
                </c:pt>
              </c:strCache>
            </c:strRef>
          </c:cat>
          <c:val>
            <c:numRef>
              <c:f>Sheet1!$B$2:$B$4</c:f>
              <c:numCache>
                <c:formatCode>0.00%</c:formatCode>
                <c:ptCount val="3"/>
                <c:pt idx="0">
                  <c:v>0.29459999999999997</c:v>
                </c:pt>
                <c:pt idx="1">
                  <c:v>0.36130000000000001</c:v>
                </c:pt>
                <c:pt idx="2">
                  <c:v>0.48060000000000003</c:v>
                </c:pt>
              </c:numCache>
            </c:numRef>
          </c:val>
          <c:extLst>
            <c:ext xmlns:c16="http://schemas.microsoft.com/office/drawing/2014/chart" uri="{C3380CC4-5D6E-409C-BE32-E72D297353CC}">
              <c16:uniqueId val="{00000006-60D3-48D1-B27F-9D721712EC6D}"/>
            </c:ext>
          </c:extLst>
        </c:ser>
        <c:dLbls>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83183327994065"/>
          <c:y val="0.34704252572455302"/>
          <c:w val="0.26114215380465"/>
          <c:h val="0.32358807498056003"/>
        </c:manualLayout>
      </c:layout>
      <c:overlay val="0"/>
      <c:spPr>
        <a:solidFill>
          <a:schemeClr val="lt1">
            <a:alpha val="50000"/>
          </a:schemeClr>
        </a:solidFill>
        <a:ln>
          <a:noFill/>
        </a:ln>
        <a:effectLst/>
      </c:spPr>
      <c:txPr>
        <a:bodyPr rot="0" spcFirstLastPara="1"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7baf925f-e413-42d0-b743-ba5275497ab7}"/>
      </c:ext>
    </c:extLst>
  </c:chart>
  <c:spPr>
    <a:pattFill prst="dkDnDiag">
      <a:fgClr>
        <a:schemeClr val="lt1"/>
      </a:fgClr>
      <a:bgClr>
        <a:schemeClr val="dk1">
          <a:lumMod val="10000"/>
          <a:lumOff val="90000"/>
        </a:schemeClr>
      </a:bgClr>
    </a:pattFill>
    <a:ln w="9525" cap="flat" cmpd="sng" algn="ctr">
      <a:noFill/>
      <a:round/>
    </a:ln>
    <a:effectLst/>
  </c:spPr>
  <c:txPr>
    <a:bodyPr/>
    <a:lstStyle/>
    <a:p>
      <a:pPr>
        <a:defRPr lang="en-US"/>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37.png"/></Relationships>
</file>

<file path=word/drawings/drawing1.xml><?xml version="1.0" encoding="utf-8"?>
<c:userShapes xmlns:c="http://schemas.openxmlformats.org/drawingml/2006/chart">
  <cdr:relSizeAnchor xmlns:cdr="http://schemas.openxmlformats.org/drawingml/2006/chartDrawing">
    <cdr:from>
      <cdr:x>0.50897</cdr:x>
      <cdr:y>0.19253</cdr:y>
    </cdr:from>
    <cdr:to>
      <cdr:x>0.57559</cdr:x>
      <cdr:y>0.84265</cdr:y>
    </cdr:to>
    <cdr:pic>
      <cdr:nvPicPr>
        <cdr:cNvPr id="2" name="Picture 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708695" y="664235"/>
          <a:ext cx="354542" cy="2242867"/>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02A089C-3586-46DB-90E4-01B910BD3E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212</Pages>
  <Words>49889</Words>
  <Characters>284373</Characters>
  <Application>Microsoft Office Word</Application>
  <DocSecurity>0</DocSecurity>
  <Lines>2369</Lines>
  <Paragraphs>667</Paragraphs>
  <ScaleCrop>false</ScaleCrop>
  <Company/>
  <LinksUpToDate>false</LinksUpToDate>
  <CharactersWithSpaces>333595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bogoljub.kandic@gmail.com</cp:lastModifiedBy>
  <cp:revision>48</cp:revision>
  <dcterms:created xsi:type="dcterms:W3CDTF">2025-12-30T21:46:00Z</dcterms:created>
  <dcterms:modified xsi:type="dcterms:W3CDTF">2026-02-04T11:14:00Z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1033-12.2.0.23196</vt:lpwstr>
  </property>
  <property fmtid="{D5CDD505-2E9C-101B-9397-08002B2CF9AE}" pid="3" name="ICV">
    <vt:lpwstr>0647C05CB2CD46C697CF22253BEB1D20_12</vt:lpwstr>
  </property>
</Properties>
</file>